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color w:val="000000"/>
          <w:sz w:val="36"/>
          <w:szCs w:val="36"/>
        </w:rPr>
        <w:t>广西建设大厦旧电梯拆除</w:t>
      </w:r>
      <w:r>
        <w:rPr>
          <w:rFonts w:hint="default" w:ascii="Times New Roman" w:hAnsi="Times New Roman" w:eastAsia="方正小标宋_GBK" w:cs="Times New Roman"/>
          <w:b/>
          <w:color w:val="000000"/>
          <w:sz w:val="36"/>
          <w:szCs w:val="36"/>
          <w:lang w:val="en-US" w:eastAsia="zh-CN"/>
        </w:rPr>
        <w:t>及</w:t>
      </w:r>
      <w:r>
        <w:rPr>
          <w:rFonts w:hint="default" w:ascii="Times New Roman" w:hAnsi="Times New Roman" w:eastAsia="方正小标宋_GBK" w:cs="Times New Roman"/>
          <w:b/>
          <w:color w:val="000000"/>
          <w:sz w:val="36"/>
          <w:szCs w:val="36"/>
        </w:rPr>
        <w:t>回收残值处置项目服务商采购的评标标准及办法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lang w:val="en-US" w:eastAsia="zh-CN"/>
        </w:rPr>
        <w:t>评委组成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成立评标小组，由5位成员组成，成员中选1位担任组长。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资格审后评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先对投标人资格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进行审查，只有通过资格审查合格的投标人，才能进入评审程序。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评标办法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本项目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评标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采用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lang w:eastAsia="zh-CN"/>
        </w:rPr>
        <w:t>综合评分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法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评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定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方法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评委以投标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文件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为评定依据，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根据评分标准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逐项进行评分，总分按5位评委评分之和除以5。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得分最高者作为本项目中标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第一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候选人。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计分按四舍五入取至小数点后二位。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五、分值构成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总分100分，其中技术标（拆除施工方案）5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分；投标报价40分；企业信誉实力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六、评分标准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lang w:val="en-US" w:eastAsia="zh-CN"/>
        </w:rPr>
        <w:t>1、技术标（拆除施工方案）满分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lang w:val="en-US" w:eastAsia="zh-CN"/>
        </w:rPr>
        <w:t>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1.1总体概述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（满分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分），一档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分、二档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分、三档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一档：对项目总体有深刻认识，表达清晰、完整、严谨、合理；措施具体、有效、成熟；拆除各分部划分清晰、合理。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电梯特种作业人员持特种作业证书不少于5人（含）。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二档：对项目总体有一定认识，表达较清晰、完整、严谨、合理，措施较具体、有效、成熟；拆除各分部划分较清晰、合理。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电梯特种作业人员持特种作业证书不少于3人（含）—5人。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三档：对项目总体有认识，表达一般；有措施但不够具体；拆除各分部划分较合理。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电梯特种作业人员持特种作业证书3人以下。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1.2拆除施工方法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（满分15分），一档15分、二档12分、三档9分。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一档：各主要拆除分部方法符合项目实际，方案详尽，方法合理、可行，能指导具体拆除施工并确保安全。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二档：各主要拆除分部方法较符合项目实际，方案较详尽，方法较合理、可行，能指导具体拆除施工并确保安全。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三档：各主要拆除分部方法能满足拆除施工要求，有方案，能指导拆除施工并确保安全。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1.3施工进度措施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（满分5分），一档5分、二档4分、三档3分。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一档：关键线路清晰、准确、完整；计划编制合理、可行；关键节点控制措施有力、保证。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二档：关键线路较清晰、准确、完整；计划编制较合理、可行；关键节点控制措施保证。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三档：关键线路基本准确；计划编制基本合理、可行；关键节点控制措施基本可行。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1.4劳动力投入计划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（满分5分），一档5分、二档4分、三档3分。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一档：投入计划与进度呼应，满足施工要求，调配投入计划合理、准确。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二档：投入计划与进度呼应，基本满足施工要求，调配投入计划基本合理、准确。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三档：投入计划与进度基本呼应，基本满足施工要求，调配投入计划基本合理。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1.5安全保证措施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（满分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分），一档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分、二档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分、三档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一档：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措施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规范标准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；安全防护具体详实；安全方案可靠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；安全保障有力；能确保拆除施工安全。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二档：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措施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规范标准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；安全防护较具体详实；安全方案较可靠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；安全保障较有力；能确保拆除施工安全。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三档：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措施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规范标准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；安全防护基本具体详实；安全方案基本可靠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；安全保障基本有力；能确保拆除施工安全。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1.6施工文明措施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（满分5分），一档5分、二档4分、三档3分。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一档：针对项目实际情况，有具体、完整、可行的实施措施，采用规范正确、清晰。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二档：针对项目实际情况，有较合理措施且具体、完整，采用规范正确。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三档：有措施，采用规范正确。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lang w:val="en-US" w:eastAsia="zh-CN"/>
        </w:rPr>
        <w:t>2、投标报价满分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lang w:val="en-US" w:eastAsia="zh-CN"/>
        </w:rPr>
        <w:t>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2.1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拆除报价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价格分计算办法：某投标人价格分=参与投标单位中最低投标报价金额(万元)÷该投标人投标报价金额(万元)×20分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.2回收残值价格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价格分计算办法：某投标人价格分=该投标人投标报价金额(万元)÷参与投标单位中最高投标报价金额(万元)×20分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企业信誉实力、服务承诺满分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3.1 业绩能力满分5分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投标人自2016年后具有类似项目业绩（拆除电梯25层/站/门及以上），每拆除1台电梯得1分，满分5分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业绩提供合同协议书复印件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3.2服务承诺满分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3.2.1承诺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拆除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作业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能避开上班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时间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，做好防护围栏、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警戒标志、地面保护，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及时清运拆下电梯配件，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场地清洁卫生。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满分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分.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3.2.2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其它服务承诺，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满分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lang w:val="en-US" w:eastAsia="zh-CN"/>
        </w:rPr>
        <w:t>投标人得分=技术标得分+投标报价得分+企业信誉实力、服务承诺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lang w:eastAsia="zh-CN"/>
        </w:rPr>
        <w:t>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/>
          <w:color w:val="000000"/>
          <w:sz w:val="32"/>
          <w:szCs w:val="32"/>
        </w:rPr>
      </w:pPr>
    </w:p>
    <w:p>
      <w:pPr>
        <w:pStyle w:val="2"/>
        <w:spacing w:line="36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6"/>
          <w:szCs w:val="36"/>
          <w:lang w:val="en-US" w:eastAsia="zh-CN"/>
        </w:rPr>
        <w:t>广西建设大厦旧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电</w:t>
      </w:r>
      <w:r>
        <w:rPr>
          <w:rFonts w:hint="default" w:ascii="Times New Roman" w:hAnsi="Times New Roman" w:eastAsia="方正小标宋_GBK" w:cs="Times New Roman"/>
          <w:b/>
          <w:color w:val="000000"/>
          <w:sz w:val="36"/>
          <w:szCs w:val="36"/>
        </w:rPr>
        <w:t>梯拆除及</w:t>
      </w:r>
      <w:r>
        <w:rPr>
          <w:rFonts w:hint="default" w:ascii="Times New Roman" w:hAnsi="Times New Roman" w:eastAsia="方正小标宋_GBK" w:cs="Times New Roman"/>
          <w:b/>
          <w:color w:val="000000"/>
          <w:kern w:val="0"/>
          <w:sz w:val="36"/>
          <w:szCs w:val="36"/>
        </w:rPr>
        <w:t>回收残值</w:t>
      </w: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6"/>
          <w:szCs w:val="36"/>
          <w:lang w:val="en-US" w:eastAsia="zh-CN"/>
        </w:rPr>
        <w:t>报价表（样式）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6"/>
          <w:szCs w:val="36"/>
          <w:lang w:val="en-US" w:eastAsia="zh-CN"/>
        </w:rPr>
        <w:t xml:space="preserve">单位：XXXXX(盖章）   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3317"/>
        <w:gridCol w:w="3283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6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3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6"/>
                <w:szCs w:val="36"/>
                <w:vertAlign w:val="baseline"/>
                <w:lang w:val="en-US" w:eastAsia="zh-CN"/>
              </w:rPr>
              <w:t>两台电梯拆除费用（元）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6"/>
                <w:szCs w:val="36"/>
                <w:vertAlign w:val="baseline"/>
                <w:lang w:val="en-US" w:eastAsia="zh-CN"/>
              </w:rPr>
              <w:t>两台电梯回收残值（元）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6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33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6"/>
                <w:szCs w:val="36"/>
                <w:vertAlign w:val="baseline"/>
                <w:lang w:val="en-US" w:eastAsia="zh-CN"/>
              </w:rPr>
              <w:t>XXX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6"/>
                <w:szCs w:val="36"/>
                <w:vertAlign w:val="baseline"/>
                <w:lang w:val="en-US" w:eastAsia="zh-CN"/>
              </w:rPr>
              <w:t>XXX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E58359"/>
    <w:multiLevelType w:val="singleLevel"/>
    <w:tmpl w:val="99E583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0345F4"/>
    <w:multiLevelType w:val="singleLevel"/>
    <w:tmpl w:val="0B0345F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B15FB"/>
    <w:rsid w:val="178B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2022-12-08T09:38:00Z</dcterms:created>
  <dc:creator>信息中心收发文</dc:creator>
  <cp:lastModifiedBy>信息中心收发文</cp:lastModifiedBy>
  <dcterms:modified xsi:type="dcterms:W3CDTF">2022-12-08T09:39:21Z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