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4C2C0">
      <w:pPr>
        <w:spacing w:line="540" w:lineRule="exact"/>
        <w:ind w:firstLine="437"/>
        <w:rPr>
          <w:rFonts w:hint="eastAsia"/>
          <w:color w:val="auto"/>
          <w:sz w:val="28"/>
          <w:szCs w:val="28"/>
          <w:highlight w:val="none"/>
        </w:rPr>
      </w:pPr>
      <w:bookmarkStart w:id="2312" w:name="_GoBack"/>
    </w:p>
    <w:p w14:paraId="455D2356">
      <w:pPr>
        <w:spacing w:line="360" w:lineRule="auto"/>
        <w:jc w:val="center"/>
        <w:rPr>
          <w:rFonts w:cs="宋体"/>
          <w:b/>
          <w:bCs/>
          <w:color w:val="auto"/>
          <w:sz w:val="48"/>
          <w:szCs w:val="48"/>
          <w:highlight w:val="none"/>
        </w:rPr>
      </w:pPr>
      <w:r>
        <w:rPr>
          <w:rFonts w:hint="eastAsia" w:cs="宋体"/>
          <w:b/>
          <w:bCs/>
          <w:color w:val="auto"/>
          <w:sz w:val="48"/>
          <w:szCs w:val="48"/>
          <w:highlight w:val="none"/>
        </w:rPr>
        <w:t>广西壮族自治区房屋建筑和市政基础设施工程施工招标文件范本（</w:t>
      </w:r>
      <w:r>
        <w:rPr>
          <w:rFonts w:hint="eastAsia"/>
          <w:b/>
          <w:bCs/>
          <w:color w:val="auto"/>
          <w:sz w:val="48"/>
          <w:szCs w:val="48"/>
          <w:highlight w:val="none"/>
          <w:lang w:eastAsia="zh-CN"/>
        </w:rPr>
        <w:t>2026年版</w:t>
      </w:r>
      <w:r>
        <w:rPr>
          <w:rFonts w:hint="eastAsia" w:cs="宋体"/>
          <w:b/>
          <w:bCs/>
          <w:color w:val="auto"/>
          <w:sz w:val="48"/>
          <w:szCs w:val="48"/>
          <w:highlight w:val="none"/>
        </w:rPr>
        <w:t>）</w:t>
      </w:r>
    </w:p>
    <w:p w14:paraId="6C0DCE32">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eastAsia="zh-CN"/>
        </w:rPr>
        <w:t>（</w:t>
      </w:r>
      <w:r>
        <w:rPr>
          <w:rFonts w:hint="eastAsia"/>
          <w:b/>
          <w:color w:val="auto"/>
          <w:sz w:val="52"/>
          <w:szCs w:val="52"/>
          <w:highlight w:val="none"/>
          <w:lang w:val="en-US" w:eastAsia="zh-CN"/>
        </w:rPr>
        <w:t xml:space="preserve">征求意见稿） </w:t>
      </w:r>
    </w:p>
    <w:p w14:paraId="52E149B5">
      <w:pPr>
        <w:spacing w:line="540" w:lineRule="exact"/>
        <w:ind w:firstLine="437"/>
        <w:rPr>
          <w:color w:val="auto"/>
          <w:sz w:val="28"/>
          <w:szCs w:val="28"/>
          <w:highlight w:val="none"/>
        </w:rPr>
      </w:pPr>
    </w:p>
    <w:p w14:paraId="78CEDA93">
      <w:pPr>
        <w:spacing w:line="540" w:lineRule="exact"/>
        <w:ind w:firstLine="437"/>
        <w:rPr>
          <w:color w:val="auto"/>
          <w:sz w:val="28"/>
          <w:szCs w:val="28"/>
          <w:highlight w:val="none"/>
        </w:rPr>
      </w:pPr>
    </w:p>
    <w:p w14:paraId="3BF602FC">
      <w:pPr>
        <w:pStyle w:val="135"/>
        <w:jc w:val="center"/>
        <w:rPr>
          <w:color w:val="auto"/>
          <w:sz w:val="32"/>
          <w:szCs w:val="32"/>
          <w:highlight w:val="none"/>
        </w:rPr>
      </w:pPr>
      <w:r>
        <w:rPr>
          <w:color w:val="auto"/>
          <w:sz w:val="32"/>
          <w:szCs w:val="32"/>
          <w:highlight w:val="none"/>
          <w:u w:val="single"/>
        </w:rPr>
        <w:t xml:space="preserve">      </w:t>
      </w:r>
      <w:r>
        <w:rPr>
          <w:rFonts w:hint="eastAsia" w:cs="宋体"/>
          <w:color w:val="auto"/>
          <w:sz w:val="32"/>
          <w:szCs w:val="32"/>
          <w:highlight w:val="none"/>
          <w:u w:val="single"/>
        </w:rPr>
        <w:t>（</w:t>
      </w:r>
      <w:r>
        <w:rPr>
          <w:rFonts w:hint="eastAsia" w:cs="宋体"/>
          <w:color w:val="auto"/>
          <w:sz w:val="32"/>
          <w:szCs w:val="32"/>
          <w:highlight w:val="none"/>
          <w:u w:val="single"/>
          <w:lang w:val="en-US" w:eastAsia="zh-CN"/>
        </w:rPr>
        <w:t>招标</w:t>
      </w:r>
      <w:r>
        <w:rPr>
          <w:rFonts w:hint="eastAsia" w:cs="宋体"/>
          <w:color w:val="auto"/>
          <w:sz w:val="32"/>
          <w:szCs w:val="32"/>
          <w:highlight w:val="none"/>
          <w:u w:val="single"/>
        </w:rPr>
        <w:t>项目名称）</w:t>
      </w:r>
      <w:r>
        <w:rPr>
          <w:color w:val="auto"/>
          <w:sz w:val="32"/>
          <w:szCs w:val="32"/>
          <w:highlight w:val="none"/>
          <w:u w:val="single"/>
        </w:rPr>
        <w:t xml:space="preserve">     </w:t>
      </w:r>
      <w:r>
        <w:rPr>
          <w:rFonts w:hint="eastAsia" w:cs="宋体"/>
          <w:color w:val="auto"/>
          <w:sz w:val="32"/>
          <w:szCs w:val="32"/>
          <w:highlight w:val="none"/>
        </w:rPr>
        <w:t>施工招标</w:t>
      </w:r>
    </w:p>
    <w:p w14:paraId="1E0BF787">
      <w:pPr>
        <w:spacing w:line="460" w:lineRule="exact"/>
        <w:ind w:firstLine="437"/>
        <w:rPr>
          <w:color w:val="auto"/>
          <w:highlight w:val="none"/>
        </w:rPr>
      </w:pPr>
    </w:p>
    <w:p w14:paraId="0A393F0B">
      <w:pPr>
        <w:spacing w:line="540" w:lineRule="exact"/>
        <w:rPr>
          <w:color w:val="auto"/>
          <w:highlight w:val="none"/>
        </w:rPr>
      </w:pPr>
    </w:p>
    <w:p w14:paraId="66C64BDB">
      <w:pPr>
        <w:spacing w:line="540" w:lineRule="exact"/>
        <w:rPr>
          <w:color w:val="auto"/>
          <w:highlight w:val="none"/>
        </w:rPr>
      </w:pPr>
    </w:p>
    <w:p w14:paraId="72FDEF0C">
      <w:pPr>
        <w:jc w:val="center"/>
        <w:rPr>
          <w:color w:val="auto"/>
          <w:sz w:val="72"/>
          <w:szCs w:val="72"/>
          <w:highlight w:val="none"/>
        </w:rPr>
      </w:pPr>
      <w:r>
        <w:rPr>
          <w:rFonts w:hint="eastAsia" w:cs="宋体"/>
          <w:color w:val="auto"/>
          <w:sz w:val="72"/>
          <w:szCs w:val="72"/>
          <w:highlight w:val="none"/>
        </w:rPr>
        <w:t>招</w:t>
      </w:r>
      <w:r>
        <w:rPr>
          <w:color w:val="auto"/>
          <w:sz w:val="72"/>
          <w:szCs w:val="72"/>
          <w:highlight w:val="none"/>
        </w:rPr>
        <w:t xml:space="preserve"> </w:t>
      </w:r>
      <w:r>
        <w:rPr>
          <w:rFonts w:hint="eastAsia" w:cs="宋体"/>
          <w:color w:val="auto"/>
          <w:sz w:val="72"/>
          <w:szCs w:val="72"/>
          <w:highlight w:val="none"/>
        </w:rPr>
        <w:t>标</w:t>
      </w:r>
      <w:r>
        <w:rPr>
          <w:color w:val="auto"/>
          <w:sz w:val="72"/>
          <w:szCs w:val="72"/>
          <w:highlight w:val="none"/>
        </w:rPr>
        <w:t xml:space="preserve"> </w:t>
      </w:r>
      <w:r>
        <w:rPr>
          <w:rFonts w:hint="eastAsia" w:cs="宋体"/>
          <w:color w:val="auto"/>
          <w:sz w:val="72"/>
          <w:szCs w:val="72"/>
          <w:highlight w:val="none"/>
        </w:rPr>
        <w:t>文</w:t>
      </w:r>
      <w:r>
        <w:rPr>
          <w:color w:val="auto"/>
          <w:sz w:val="72"/>
          <w:szCs w:val="72"/>
          <w:highlight w:val="none"/>
        </w:rPr>
        <w:t xml:space="preserve"> </w:t>
      </w:r>
      <w:r>
        <w:rPr>
          <w:rFonts w:hint="eastAsia" w:cs="宋体"/>
          <w:color w:val="auto"/>
          <w:sz w:val="72"/>
          <w:szCs w:val="72"/>
          <w:highlight w:val="none"/>
        </w:rPr>
        <w:t>件</w:t>
      </w:r>
    </w:p>
    <w:p w14:paraId="51B73E02">
      <w:pPr>
        <w:spacing w:line="540" w:lineRule="exact"/>
        <w:ind w:firstLine="437"/>
        <w:rPr>
          <w:color w:val="auto"/>
          <w:highlight w:val="none"/>
        </w:rPr>
      </w:pPr>
    </w:p>
    <w:p w14:paraId="0ABA635E">
      <w:pPr>
        <w:spacing w:line="540" w:lineRule="exact"/>
        <w:ind w:firstLine="437"/>
        <w:rPr>
          <w:color w:val="auto"/>
          <w:highlight w:val="none"/>
        </w:rPr>
      </w:pPr>
    </w:p>
    <w:p w14:paraId="78F66201">
      <w:pPr>
        <w:spacing w:line="540" w:lineRule="exact"/>
        <w:ind w:firstLine="1540" w:firstLineChars="550"/>
        <w:jc w:val="left"/>
        <w:rPr>
          <w:rFonts w:hint="eastAsia" w:ascii="Times New Roman" w:hAnsi="Times New Roman" w:cs="Times New Roman"/>
          <w:color w:val="auto"/>
          <w:sz w:val="32"/>
          <w:szCs w:val="32"/>
          <w:highlight w:val="none"/>
        </w:rPr>
      </w:pPr>
      <w:r>
        <w:rPr>
          <w:color w:val="auto"/>
          <w:sz w:val="28"/>
          <w:szCs w:val="28"/>
          <w:highlight w:val="none"/>
        </w:rPr>
        <w:t xml:space="preserve"> </w:t>
      </w:r>
    </w:p>
    <w:p w14:paraId="1D76E3A5">
      <w:pPr>
        <w:spacing w:line="540" w:lineRule="exact"/>
        <w:ind w:firstLine="1760" w:firstLineChars="550"/>
        <w:jc w:val="left"/>
        <w:rPr>
          <w:color w:val="auto"/>
          <w:sz w:val="28"/>
          <w:szCs w:val="28"/>
          <w:highlight w:val="none"/>
          <w:u w:val="single"/>
        </w:rPr>
      </w:pPr>
      <w:r>
        <w:rPr>
          <w:rFonts w:hint="eastAsia" w:ascii="Times New Roman" w:hAnsi="Times New Roman" w:cs="Times New Roman"/>
          <w:color w:val="auto"/>
          <w:sz w:val="32"/>
          <w:szCs w:val="32"/>
          <w:highlight w:val="none"/>
        </w:rPr>
        <w:t xml:space="preserve">招标项目编号：                              </w:t>
      </w:r>
    </w:p>
    <w:p w14:paraId="34AFD117">
      <w:pPr>
        <w:spacing w:line="540" w:lineRule="exact"/>
        <w:ind w:firstLine="437"/>
        <w:rPr>
          <w:color w:val="auto"/>
          <w:highlight w:val="none"/>
        </w:rPr>
      </w:pPr>
    </w:p>
    <w:p w14:paraId="39BEC1A5">
      <w:pPr>
        <w:spacing w:line="540" w:lineRule="exact"/>
        <w:ind w:firstLine="437"/>
        <w:rPr>
          <w:color w:val="auto"/>
          <w:highlight w:val="none"/>
        </w:rPr>
      </w:pPr>
    </w:p>
    <w:p w14:paraId="638CDDDB">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招</w:t>
      </w:r>
      <w:r>
        <w:rPr>
          <w:color w:val="auto"/>
          <w:sz w:val="32"/>
          <w:szCs w:val="32"/>
          <w:highlight w:val="none"/>
        </w:rPr>
        <w:t xml:space="preserve"> </w:t>
      </w:r>
      <w:r>
        <w:rPr>
          <w:rFonts w:hint="eastAsia" w:cs="宋体"/>
          <w:color w:val="auto"/>
          <w:sz w:val="32"/>
          <w:szCs w:val="32"/>
          <w:highlight w:val="none"/>
        </w:rPr>
        <w:t>标</w:t>
      </w:r>
      <w:r>
        <w:rPr>
          <w:color w:val="auto"/>
          <w:sz w:val="32"/>
          <w:szCs w:val="32"/>
          <w:highlight w:val="none"/>
        </w:rPr>
        <w:t xml:space="preserve"> </w:t>
      </w:r>
      <w:r>
        <w:rPr>
          <w:rFonts w:hint="eastAsia" w:cs="宋体"/>
          <w:color w:val="auto"/>
          <w:sz w:val="32"/>
          <w:szCs w:val="32"/>
          <w:highlight w:val="none"/>
        </w:rPr>
        <w:t>人：</w:t>
      </w:r>
      <w:r>
        <w:rPr>
          <w:color w:val="auto"/>
          <w:sz w:val="32"/>
          <w:szCs w:val="32"/>
          <w:highlight w:val="none"/>
          <w:u w:val="single"/>
        </w:rPr>
        <w:t xml:space="preserve">                         </w:t>
      </w:r>
      <w:r>
        <w:rPr>
          <w:rFonts w:hint="eastAsia" w:cs="宋体"/>
          <w:color w:val="auto"/>
          <w:sz w:val="32"/>
          <w:szCs w:val="32"/>
          <w:highlight w:val="none"/>
        </w:rPr>
        <w:t>（盖单位公章）</w:t>
      </w:r>
    </w:p>
    <w:p w14:paraId="3ACAEEB4">
      <w:pPr>
        <w:spacing w:line="540" w:lineRule="exact"/>
        <w:ind w:firstLine="437"/>
        <w:rPr>
          <w:color w:val="auto"/>
          <w:sz w:val="32"/>
          <w:szCs w:val="32"/>
          <w:highlight w:val="none"/>
        </w:rPr>
      </w:pPr>
    </w:p>
    <w:p w14:paraId="66C758A5">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招标代理机构：</w:t>
      </w:r>
      <w:r>
        <w:rPr>
          <w:color w:val="auto"/>
          <w:sz w:val="32"/>
          <w:szCs w:val="32"/>
          <w:highlight w:val="none"/>
          <w:u w:val="single"/>
        </w:rPr>
        <w:t xml:space="preserve">                     </w:t>
      </w:r>
      <w:r>
        <w:rPr>
          <w:rFonts w:hint="eastAsia" w:cs="宋体"/>
          <w:color w:val="auto"/>
          <w:sz w:val="32"/>
          <w:szCs w:val="32"/>
          <w:highlight w:val="none"/>
        </w:rPr>
        <w:t>（盖单位公章）</w:t>
      </w:r>
    </w:p>
    <w:p w14:paraId="13EBE021">
      <w:pPr>
        <w:spacing w:line="540" w:lineRule="exact"/>
        <w:ind w:firstLine="437"/>
        <w:rPr>
          <w:color w:val="auto"/>
          <w:sz w:val="32"/>
          <w:szCs w:val="32"/>
          <w:highlight w:val="none"/>
        </w:rPr>
      </w:pPr>
    </w:p>
    <w:p w14:paraId="4B6C6B0C">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发布日期：</w:t>
      </w:r>
      <w:r>
        <w:rPr>
          <w:color w:val="auto"/>
          <w:sz w:val="32"/>
          <w:szCs w:val="32"/>
          <w:highlight w:val="none"/>
          <w:u w:val="single"/>
        </w:rPr>
        <w:t xml:space="preserve">           </w:t>
      </w:r>
      <w:r>
        <w:rPr>
          <w:rFonts w:hint="eastAsia" w:cs="宋体"/>
          <w:color w:val="auto"/>
          <w:sz w:val="32"/>
          <w:szCs w:val="32"/>
          <w:highlight w:val="none"/>
        </w:rPr>
        <w:t>年</w:t>
      </w:r>
      <w:r>
        <w:rPr>
          <w:color w:val="auto"/>
          <w:sz w:val="32"/>
          <w:szCs w:val="32"/>
          <w:highlight w:val="none"/>
          <w:u w:val="single"/>
        </w:rPr>
        <w:t xml:space="preserve">         </w:t>
      </w:r>
      <w:r>
        <w:rPr>
          <w:rFonts w:hint="eastAsia" w:cs="宋体"/>
          <w:color w:val="auto"/>
          <w:sz w:val="32"/>
          <w:szCs w:val="32"/>
          <w:highlight w:val="none"/>
        </w:rPr>
        <w:t>月</w:t>
      </w:r>
      <w:r>
        <w:rPr>
          <w:color w:val="auto"/>
          <w:sz w:val="32"/>
          <w:szCs w:val="32"/>
          <w:highlight w:val="none"/>
          <w:u w:val="single"/>
        </w:rPr>
        <w:t xml:space="preserve">        </w:t>
      </w:r>
      <w:r>
        <w:rPr>
          <w:color w:val="auto"/>
          <w:sz w:val="32"/>
          <w:szCs w:val="32"/>
          <w:highlight w:val="none"/>
        </w:rPr>
        <w:t xml:space="preserve"> </w:t>
      </w:r>
      <w:r>
        <w:rPr>
          <w:rFonts w:hint="eastAsia" w:cs="宋体"/>
          <w:color w:val="auto"/>
          <w:sz w:val="32"/>
          <w:szCs w:val="32"/>
          <w:highlight w:val="none"/>
        </w:rPr>
        <w:t>日</w:t>
      </w:r>
    </w:p>
    <w:p w14:paraId="507623AC">
      <w:pPr>
        <w:spacing w:line="540" w:lineRule="exact"/>
        <w:ind w:firstLine="437"/>
        <w:rPr>
          <w:color w:val="auto"/>
          <w:sz w:val="32"/>
          <w:szCs w:val="32"/>
          <w:highlight w:val="none"/>
        </w:rPr>
      </w:pPr>
    </w:p>
    <w:p w14:paraId="52F03A06">
      <w:pPr>
        <w:spacing w:after="360" w:afterLines="150" w:line="540" w:lineRule="exact"/>
        <w:jc w:val="center"/>
        <w:rPr>
          <w:b/>
          <w:bCs/>
          <w:color w:val="auto"/>
          <w:sz w:val="52"/>
          <w:szCs w:val="52"/>
          <w:highlight w:val="none"/>
        </w:rPr>
      </w:pPr>
      <w:r>
        <w:rPr>
          <w:rFonts w:hint="eastAsia" w:cs="宋体"/>
          <w:b/>
          <w:bCs/>
          <w:color w:val="auto"/>
          <w:sz w:val="52"/>
          <w:szCs w:val="52"/>
          <w:highlight w:val="none"/>
        </w:rPr>
        <w:t>使用说明</w:t>
      </w:r>
    </w:p>
    <w:p w14:paraId="5F196E9E">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宋体" w:hAnsi="宋体"/>
          <w:color w:val="auto"/>
          <w:highlight w:val="none"/>
        </w:rPr>
        <w:t>一、《广西壮族自</w:t>
      </w:r>
      <w:r>
        <w:rPr>
          <w:rFonts w:hint="default" w:ascii="Times New Roman" w:hAnsi="Times New Roman" w:cs="Times New Roman"/>
          <w:color w:val="auto"/>
          <w:highlight w:val="none"/>
        </w:rPr>
        <w:t>治区房屋建筑和市政基础设施工程施工招标文件范本》（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）》）适用于广西壮族自治区行政区域内依法必须进行招标的房屋建筑和市政基础设施工程的施工招标。</w:t>
      </w:r>
    </w:p>
    <w:p w14:paraId="64E64629">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highlight w:val="none"/>
          <w:lang w:eastAsia="zh-CN"/>
        </w:rPr>
        <w:t>“</w:t>
      </w:r>
      <w:r>
        <w:rPr>
          <w:rFonts w:hint="default" w:ascii="Times New Roman" w:hAnsi="Times New Roman" w:cs="Times New Roman"/>
          <w:color w:val="auto"/>
          <w:highlight w:val="none"/>
        </w:rPr>
        <w:t>”标示。</w:t>
      </w:r>
    </w:p>
    <w:p w14:paraId="202B962A">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的招标文件中，作为投标邀请。其中，招标公告应同时注明发布的所有媒介名称。</w:t>
      </w:r>
    </w:p>
    <w:p w14:paraId="7153B8F9">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）》第三章“评标办法”</w:t>
      </w:r>
      <w:r>
        <w:rPr>
          <w:rFonts w:hint="eastAsia" w:cs="Times New Roman"/>
          <w:color w:val="auto"/>
          <w:highlight w:val="none"/>
          <w:lang w:val="en-US" w:eastAsia="zh-CN"/>
        </w:rPr>
        <w:t>规定的范围内</w:t>
      </w:r>
      <w:r>
        <w:rPr>
          <w:rFonts w:hint="default" w:ascii="Times New Roman" w:hAnsi="Times New Roman" w:cs="Times New Roman"/>
          <w:color w:val="auto"/>
          <w:highlight w:val="none"/>
        </w:rPr>
        <w:t>各评审因素的评审标准、</w:t>
      </w:r>
      <w:r>
        <w:rPr>
          <w:rFonts w:hint="default" w:ascii="Times New Roman" w:hAnsi="Times New Roman" w:eastAsia="宋体" w:cs="Times New Roman"/>
          <w:color w:val="auto"/>
          <w:highlight w:val="none"/>
        </w:rPr>
        <w:t>分值和权重等由招标人确定，但国务院有关部门对各评审因素的评审标准、分值和权重等有规定的，从其规定。第三章“评标办法”前附表应列明全部评审因素和评审标准，并在本章附录B载明投标人不满足要求即否决其投标的全部条款。</w:t>
      </w:r>
    </w:p>
    <w:p w14:paraId="5FA68E86">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）》将根据实际执行过程中出现的问题及时进行修改。《施工招标文件范本（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）》不明确之处由广西壮族自治区住房和城乡建设厅负责解释。</w:t>
      </w:r>
    </w:p>
    <w:p w14:paraId="4B440F4A">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t>zjtjzc@zjt.gxzf.gov.cn</w:t>
      </w:r>
      <w:r>
        <w:rPr>
          <w:rFonts w:hint="default" w:ascii="Times New Roman" w:hAnsi="Times New Roman" w:eastAsia="宋体" w:cs="Times New Roman"/>
          <w:color w:val="auto"/>
          <w:highlight w:val="none"/>
        </w:rPr>
        <w:t>。</w:t>
      </w:r>
    </w:p>
    <w:p w14:paraId="2EDFE52D">
      <w:pPr>
        <w:tabs>
          <w:tab w:val="left" w:pos="1080"/>
        </w:tabs>
        <w:spacing w:line="360" w:lineRule="auto"/>
        <w:ind w:firstLine="420" w:firstLineChars="200"/>
        <w:rPr>
          <w:rFonts w:ascii="宋体" w:hAnsi="宋体" w:cs="宋体"/>
          <w:color w:val="auto"/>
          <w:highlight w:val="none"/>
        </w:rPr>
      </w:pPr>
      <w:r>
        <w:rPr>
          <w:rFonts w:ascii="宋体" w:hAnsi="宋体"/>
          <w:color w:val="auto"/>
          <w:highlight w:val="none"/>
        </w:rPr>
        <w:br w:type="page"/>
      </w:r>
    </w:p>
    <w:p w14:paraId="62211068">
      <w:pPr>
        <w:spacing w:after="240" w:afterLines="100" w:line="540" w:lineRule="exact"/>
        <w:jc w:val="center"/>
        <w:rPr>
          <w:b/>
          <w:bCs/>
          <w:color w:val="auto"/>
          <w:sz w:val="44"/>
          <w:szCs w:val="44"/>
          <w:highlight w:val="none"/>
        </w:rPr>
      </w:pPr>
      <w:r>
        <w:rPr>
          <w:rFonts w:hint="eastAsia" w:cs="宋体"/>
          <w:b/>
          <w:bCs/>
          <w:color w:val="auto"/>
          <w:sz w:val="44"/>
          <w:szCs w:val="44"/>
          <w:highlight w:val="none"/>
        </w:rPr>
        <w:t>目</w:t>
      </w:r>
      <w:r>
        <w:rPr>
          <w:b/>
          <w:bCs/>
          <w:color w:val="auto"/>
          <w:sz w:val="44"/>
          <w:szCs w:val="44"/>
          <w:highlight w:val="none"/>
        </w:rPr>
        <w:t xml:space="preserve">  </w:t>
      </w:r>
      <w:r>
        <w:rPr>
          <w:rFonts w:hint="eastAsia" w:cs="宋体"/>
          <w:b/>
          <w:bCs/>
          <w:color w:val="auto"/>
          <w:sz w:val="44"/>
          <w:szCs w:val="44"/>
          <w:highlight w:val="none"/>
        </w:rPr>
        <w:t>录</w:t>
      </w:r>
    </w:p>
    <w:p w14:paraId="36976608">
      <w:pPr>
        <w:pStyle w:val="28"/>
        <w:tabs>
          <w:tab w:val="right" w:leader="dot" w:pos="8669"/>
        </w:tabs>
        <w:rPr>
          <w:color w:val="auto"/>
          <w:highlight w:val="none"/>
        </w:rPr>
      </w:pPr>
      <w:r>
        <w:rPr>
          <w:color w:val="auto"/>
          <w:highlight w:val="none"/>
        </w:rPr>
        <w:fldChar w:fldCharType="begin"/>
      </w:r>
      <w:r>
        <w:rPr>
          <w:color w:val="auto"/>
          <w:highlight w:val="none"/>
        </w:rPr>
        <w:instrText xml:space="preserve"> TOC \o "1-1" \h \z \t "</w:instrText>
      </w:r>
      <w:r>
        <w:rPr>
          <w:rFonts w:hint="eastAsia" w:cs="黑体"/>
          <w:color w:val="auto"/>
          <w:highlight w:val="none"/>
        </w:rPr>
        <w:instrText xml:space="preserve">标题</w:instrText>
      </w:r>
      <w:r>
        <w:rPr>
          <w:color w:val="auto"/>
          <w:highlight w:val="none"/>
        </w:rPr>
        <w:instrText xml:space="preserve"> 2,2,</w:instrText>
      </w:r>
      <w:r>
        <w:rPr>
          <w:rFonts w:hint="eastAsia" w:cs="黑体"/>
          <w:color w:val="auto"/>
          <w:highlight w:val="none"/>
        </w:rPr>
        <w:instrText xml:space="preserve">标题</w:instrText>
      </w:r>
      <w:r>
        <w:rPr>
          <w:color w:val="auto"/>
          <w:highlight w:val="none"/>
        </w:rPr>
        <w:instrText xml:space="preserve"> 3,3" </w:instrText>
      </w:r>
      <w:r>
        <w:rPr>
          <w:color w:val="auto"/>
          <w:highlight w:val="none"/>
        </w:rPr>
        <w:fldChar w:fldCharType="separate"/>
      </w:r>
      <w:r>
        <w:rPr>
          <w:color w:val="auto"/>
          <w:highlight w:val="none"/>
        </w:rPr>
        <w:fldChar w:fldCharType="begin"/>
      </w:r>
      <w:r>
        <w:rPr>
          <w:color w:val="auto"/>
          <w:highlight w:val="none"/>
        </w:rPr>
        <w:instrText xml:space="preserve"> HYPERLINK \l _Toc27500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_Toc27500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D0927D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_Toc30779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_Toc30779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0E1F963">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_Toc24390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_Toc24390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D76169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_Toc18992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_Toc18992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954300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_Toc4101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_Toc4101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855C1A7">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_Toc14014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w:t>
      </w:r>
      <w:r>
        <w:rPr>
          <w:rFonts w:cs="黑体"/>
          <w:color w:val="auto"/>
          <w:highlight w:val="none"/>
        </w:rPr>
        <w:t>不见</w:t>
      </w:r>
      <w:r>
        <w:rPr>
          <w:rFonts w:hint="eastAsia" w:cs="黑体"/>
          <w:color w:val="auto"/>
          <w:highlight w:val="none"/>
        </w:rPr>
        <w:t>面</w:t>
      </w:r>
      <w:r>
        <w:rPr>
          <w:rFonts w:cs="黑体"/>
          <w:color w:val="auto"/>
          <w:highlight w:val="none"/>
        </w:rPr>
        <w:t>开标说明</w:t>
      </w:r>
      <w:r>
        <w:rPr>
          <w:color w:val="auto"/>
          <w:highlight w:val="none"/>
        </w:rPr>
        <w:tab/>
      </w:r>
      <w:r>
        <w:rPr>
          <w:color w:val="auto"/>
          <w:highlight w:val="none"/>
        </w:rPr>
        <w:fldChar w:fldCharType="begin"/>
      </w:r>
      <w:r>
        <w:rPr>
          <w:color w:val="auto"/>
          <w:highlight w:val="none"/>
        </w:rPr>
        <w:instrText xml:space="preserve"> PAGEREF _Toc14014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F60BCAB">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_Toc30230 </w:instrText>
      </w:r>
      <w:r>
        <w:rPr>
          <w:color w:val="auto"/>
          <w:highlight w:val="none"/>
        </w:rPr>
        <w:fldChar w:fldCharType="separate"/>
      </w:r>
      <w:r>
        <w:rPr>
          <w:color w:val="auto"/>
          <w:highlight w:val="none"/>
        </w:rPr>
        <w:t xml:space="preserve">6.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_Toc30230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6AC2F62C">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_Toc2291 </w:instrText>
      </w:r>
      <w:r>
        <w:rPr>
          <w:color w:val="auto"/>
          <w:highlight w:val="none"/>
        </w:rPr>
        <w:fldChar w:fldCharType="separate"/>
      </w:r>
      <w:r>
        <w:rPr>
          <w:color w:val="auto"/>
          <w:highlight w:val="none"/>
        </w:rPr>
        <w:t xml:space="preserve">7. </w:t>
      </w:r>
      <w:r>
        <w:rPr>
          <w:rFonts w:hint="eastAsia" w:cs="黑体"/>
          <w:color w:val="auto"/>
          <w:highlight w:val="none"/>
        </w:rPr>
        <w:t>预付款和进度款支付方式</w:t>
      </w:r>
      <w:r>
        <w:rPr>
          <w:color w:val="auto"/>
          <w:highlight w:val="none"/>
        </w:rPr>
        <w:tab/>
      </w:r>
      <w:r>
        <w:rPr>
          <w:color w:val="auto"/>
          <w:highlight w:val="none"/>
        </w:rPr>
        <w:fldChar w:fldCharType="begin"/>
      </w:r>
      <w:r>
        <w:rPr>
          <w:color w:val="auto"/>
          <w:highlight w:val="none"/>
        </w:rPr>
        <w:instrText xml:space="preserve"> PAGEREF _Toc2291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50411FAA">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_Toc23394 </w:instrText>
      </w:r>
      <w:r>
        <w:rPr>
          <w:color w:val="auto"/>
          <w:highlight w:val="none"/>
        </w:rPr>
        <w:fldChar w:fldCharType="separate"/>
      </w:r>
      <w:r>
        <w:rPr>
          <w:color w:val="auto"/>
          <w:highlight w:val="none"/>
          <w:lang w:val="en-US"/>
        </w:rPr>
        <w:t xml:space="preserve">8. </w:t>
      </w:r>
      <w:r>
        <w:rPr>
          <w:rFonts w:hint="eastAsia" w:cs="黑体"/>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_Toc23394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62C48BF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_Toc2550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_Toc2550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595F699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_Toc30663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_Toc30663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373E14CC">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color w:val="auto"/>
          <w:highlight w:val="none"/>
          <w:lang w:val="en-US"/>
        </w:rPr>
        <w:t xml:space="preserve">11. </w:t>
      </w:r>
      <w:r>
        <w:rPr>
          <w:rFonts w:hint="eastAsia" w:cs="Times New Roman"/>
          <w:color w:val="auto"/>
          <w:szCs w:val="32"/>
          <w:highlight w:val="none"/>
        </w:rPr>
        <w:t>注意事项</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E29A51F">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_Toc30319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_Toc30319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EC0E6B1">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_Toc5997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投标邀请书（适用于邀请招标）</w:t>
      </w:r>
      <w:r>
        <w:rPr>
          <w:color w:val="auto"/>
          <w:highlight w:val="none"/>
        </w:rPr>
        <w:tab/>
      </w:r>
      <w:r>
        <w:rPr>
          <w:color w:val="auto"/>
          <w:highlight w:val="none"/>
        </w:rPr>
        <w:fldChar w:fldCharType="begin"/>
      </w:r>
      <w:r>
        <w:rPr>
          <w:color w:val="auto"/>
          <w:highlight w:val="none"/>
        </w:rPr>
        <w:instrText xml:space="preserve"> PAGEREF _Toc5997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C49D8F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_Toc21187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0D424B10">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_Toc18238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_Toc18238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149542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_Toc12810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_Toc12810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645B09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_Toc9692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_Toc9692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FF75AAC">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_Toc18168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投标文件的提交及不见面开标说明</w:t>
      </w:r>
      <w:r>
        <w:rPr>
          <w:color w:val="auto"/>
          <w:highlight w:val="none"/>
        </w:rPr>
        <w:tab/>
      </w:r>
      <w:r>
        <w:rPr>
          <w:color w:val="auto"/>
          <w:highlight w:val="none"/>
        </w:rPr>
        <w:fldChar w:fldCharType="begin"/>
      </w:r>
      <w:r>
        <w:rPr>
          <w:color w:val="auto"/>
          <w:highlight w:val="none"/>
        </w:rPr>
        <w:instrText xml:space="preserve"> PAGEREF _Toc18168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C838FF3">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_Toc25179 </w:instrText>
      </w:r>
      <w:r>
        <w:rPr>
          <w:color w:val="auto"/>
          <w:highlight w:val="none"/>
        </w:rPr>
        <w:fldChar w:fldCharType="separate"/>
      </w:r>
      <w:r>
        <w:rPr>
          <w:color w:val="auto"/>
          <w:highlight w:val="none"/>
        </w:rPr>
        <w:t xml:space="preserve">6. </w:t>
      </w:r>
      <w:r>
        <w:rPr>
          <w:rFonts w:hint="eastAsia" w:cs="黑体"/>
          <w:color w:val="auto"/>
          <w:highlight w:val="none"/>
        </w:rPr>
        <w:t>确认</w:t>
      </w:r>
      <w:r>
        <w:rPr>
          <w:color w:val="auto"/>
          <w:highlight w:val="none"/>
        </w:rPr>
        <w:tab/>
      </w:r>
      <w:r>
        <w:rPr>
          <w:color w:val="auto"/>
          <w:highlight w:val="none"/>
        </w:rPr>
        <w:fldChar w:fldCharType="begin"/>
      </w:r>
      <w:r>
        <w:rPr>
          <w:color w:val="auto"/>
          <w:highlight w:val="none"/>
        </w:rPr>
        <w:instrText xml:space="preserve"> PAGEREF _Toc25179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4BBF7AE">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color w:val="auto"/>
          <w:highlight w:val="none"/>
        </w:rPr>
        <w:t xml:space="preserve">7.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_Toc30392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2F9172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_Toc29487 </w:instrText>
      </w:r>
      <w:r>
        <w:rPr>
          <w:color w:val="auto"/>
          <w:highlight w:val="none"/>
        </w:rPr>
        <w:fldChar w:fldCharType="separate"/>
      </w:r>
      <w:r>
        <w:rPr>
          <w:color w:val="auto"/>
          <w:highlight w:val="none"/>
        </w:rPr>
        <w:t xml:space="preserve">8. </w:t>
      </w:r>
      <w:r>
        <w:rPr>
          <w:rFonts w:hint="eastAsia" w:cs="黑体"/>
          <w:color w:val="auto"/>
          <w:highlight w:val="none"/>
        </w:rPr>
        <w:t>预付款和进度款支付方式</w:t>
      </w:r>
      <w:r>
        <w:rPr>
          <w:color w:val="auto"/>
          <w:highlight w:val="none"/>
        </w:rPr>
        <w:tab/>
      </w:r>
      <w:r>
        <w:rPr>
          <w:color w:val="auto"/>
          <w:highlight w:val="none"/>
        </w:rPr>
        <w:fldChar w:fldCharType="begin"/>
      </w:r>
      <w:r>
        <w:rPr>
          <w:color w:val="auto"/>
          <w:highlight w:val="none"/>
        </w:rPr>
        <w:instrText xml:space="preserve"> PAGEREF _Toc29487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456421F2">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_Toc27119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_Toc27119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60890CB">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_Toc23702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_Toc23702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06003C0">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_Toc4825 </w:instrText>
      </w:r>
      <w:r>
        <w:rPr>
          <w:color w:val="auto"/>
          <w:highlight w:val="none"/>
        </w:rPr>
        <w:fldChar w:fldCharType="separate"/>
      </w:r>
      <w:r>
        <w:rPr>
          <w:color w:val="auto"/>
          <w:highlight w:val="none"/>
          <w:lang w:val="en-US"/>
        </w:rPr>
        <w:t xml:space="preserve">11. </w:t>
      </w:r>
      <w:r>
        <w:rPr>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_Toc4825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89F36FB">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_Toc19609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_Toc19609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27097905">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_Toc13360 </w:instrText>
      </w:r>
      <w:r>
        <w:rPr>
          <w:color w:val="auto"/>
          <w:highlight w:val="none"/>
        </w:rPr>
        <w:fldChar w:fldCharType="separate"/>
      </w:r>
      <w:r>
        <w:rPr>
          <w:rFonts w:hint="eastAsia" w:cs="黑体"/>
          <w:color w:val="auto"/>
          <w:highlight w:val="none"/>
        </w:rPr>
        <w:t>第二章</w:t>
      </w:r>
      <w:r>
        <w:rPr>
          <w:color w:val="auto"/>
          <w:highlight w:val="none"/>
        </w:rPr>
        <w:t xml:space="preserve">  </w:t>
      </w:r>
      <w:r>
        <w:rPr>
          <w:rFonts w:hint="eastAsia" w:cs="黑体"/>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_Toc13360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1A38A5F5">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_Toc32659 </w:instrText>
      </w:r>
      <w:r>
        <w:rPr>
          <w:color w:val="auto"/>
          <w:highlight w:val="none"/>
        </w:rPr>
        <w:fldChar w:fldCharType="separate"/>
      </w:r>
      <w:r>
        <w:rPr>
          <w:rFonts w:hint="eastAsia" w:cs="黑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_Toc32659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780C4ECD">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_Toc5349 </w:instrText>
      </w:r>
      <w:r>
        <w:rPr>
          <w:color w:val="auto"/>
          <w:highlight w:val="none"/>
        </w:rPr>
        <w:fldChar w:fldCharType="separate"/>
      </w:r>
      <w:r>
        <w:rPr>
          <w:rFonts w:hint="eastAsia" w:cs="黑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_Toc5349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708A434">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_Toc13483 </w:instrText>
      </w:r>
      <w:r>
        <w:rPr>
          <w:color w:val="auto"/>
          <w:highlight w:val="none"/>
        </w:rPr>
        <w:fldChar w:fldCharType="separate"/>
      </w:r>
      <w:r>
        <w:rPr>
          <w:color w:val="auto"/>
          <w:highlight w:val="none"/>
        </w:rPr>
        <w:t xml:space="preserve">1 </w:t>
      </w:r>
      <w:r>
        <w:rPr>
          <w:rFonts w:hint="eastAsia" w:cs="黑体"/>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_Toc13483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C7A2EA6">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_Toc9107 </w:instrText>
      </w:r>
      <w:r>
        <w:rPr>
          <w:color w:val="auto"/>
          <w:highlight w:val="none"/>
        </w:rPr>
        <w:fldChar w:fldCharType="separate"/>
      </w:r>
      <w:r>
        <w:rPr>
          <w:color w:val="auto"/>
          <w:highlight w:val="none"/>
        </w:rPr>
        <w:t xml:space="preserve">1.1 </w:t>
      </w:r>
      <w:r>
        <w:rPr>
          <w:rFonts w:hint="eastAsia" w:cs="黑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_Toc9107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40ABB474">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_Toc25565 </w:instrText>
      </w:r>
      <w:r>
        <w:rPr>
          <w:color w:val="auto"/>
          <w:highlight w:val="none"/>
        </w:rPr>
        <w:fldChar w:fldCharType="separate"/>
      </w:r>
      <w:r>
        <w:rPr>
          <w:color w:val="auto"/>
          <w:highlight w:val="none"/>
        </w:rPr>
        <w:t xml:space="preserve">1.2 </w:t>
      </w:r>
      <w:r>
        <w:rPr>
          <w:rFonts w:hint="eastAsia" w:cs="黑体"/>
          <w:color w:val="auto"/>
          <w:highlight w:val="none"/>
        </w:rPr>
        <w:t>资金来源和落实及增值税计税方法情况</w:t>
      </w:r>
      <w:r>
        <w:rPr>
          <w:color w:val="auto"/>
          <w:highlight w:val="none"/>
        </w:rPr>
        <w:tab/>
      </w:r>
      <w:r>
        <w:rPr>
          <w:color w:val="auto"/>
          <w:highlight w:val="none"/>
        </w:rPr>
        <w:fldChar w:fldCharType="begin"/>
      </w:r>
      <w:r>
        <w:rPr>
          <w:color w:val="auto"/>
          <w:highlight w:val="none"/>
        </w:rPr>
        <w:instrText xml:space="preserve"> PAGEREF _Toc25565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E56D35D">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_Toc21740 </w:instrText>
      </w:r>
      <w:r>
        <w:rPr>
          <w:color w:val="auto"/>
          <w:highlight w:val="none"/>
        </w:rPr>
        <w:fldChar w:fldCharType="separate"/>
      </w:r>
      <w:r>
        <w:rPr>
          <w:color w:val="auto"/>
          <w:highlight w:val="none"/>
        </w:rPr>
        <w:t xml:space="preserve">1.3 </w:t>
      </w:r>
      <w:r>
        <w:rPr>
          <w:rFonts w:hint="eastAsia" w:cs="黑体"/>
          <w:color w:val="auto"/>
          <w:highlight w:val="none"/>
        </w:rPr>
        <w:t>招标范围、计划工期和质量要求</w:t>
      </w:r>
      <w:r>
        <w:rPr>
          <w:color w:val="auto"/>
          <w:highlight w:val="none"/>
        </w:rPr>
        <w:tab/>
      </w:r>
      <w:r>
        <w:rPr>
          <w:color w:val="auto"/>
          <w:highlight w:val="none"/>
        </w:rPr>
        <w:fldChar w:fldCharType="begin"/>
      </w:r>
      <w:r>
        <w:rPr>
          <w:color w:val="auto"/>
          <w:highlight w:val="none"/>
        </w:rPr>
        <w:instrText xml:space="preserve"> PAGEREF _Toc21740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F26DB3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_Toc8492 </w:instrText>
      </w:r>
      <w:r>
        <w:rPr>
          <w:color w:val="auto"/>
          <w:highlight w:val="none"/>
        </w:rPr>
        <w:fldChar w:fldCharType="separate"/>
      </w:r>
      <w:r>
        <w:rPr>
          <w:color w:val="auto"/>
          <w:highlight w:val="none"/>
        </w:rPr>
        <w:t xml:space="preserve">1.4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_Toc8492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4E4F27E">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_Toc32402 </w:instrText>
      </w:r>
      <w:r>
        <w:rPr>
          <w:color w:val="auto"/>
          <w:highlight w:val="none"/>
        </w:rPr>
        <w:fldChar w:fldCharType="separate"/>
      </w:r>
      <w:r>
        <w:rPr>
          <w:color w:val="auto"/>
          <w:highlight w:val="none"/>
        </w:rPr>
        <w:t xml:space="preserve">1.5 </w:t>
      </w:r>
      <w:r>
        <w:rPr>
          <w:rFonts w:hint="eastAsia" w:cs="黑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_Toc32402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0C5228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color w:val="auto"/>
          <w:highlight w:val="none"/>
        </w:rPr>
        <w:t xml:space="preserve">1.6 </w:t>
      </w:r>
      <w:r>
        <w:rPr>
          <w:rFonts w:hint="eastAsia" w:cs="黑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0EB6A7A">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_Toc22988 </w:instrText>
      </w:r>
      <w:r>
        <w:rPr>
          <w:color w:val="auto"/>
          <w:highlight w:val="none"/>
        </w:rPr>
        <w:fldChar w:fldCharType="separate"/>
      </w:r>
      <w:r>
        <w:rPr>
          <w:color w:val="auto"/>
          <w:highlight w:val="none"/>
        </w:rPr>
        <w:t xml:space="preserve">1.7 </w:t>
      </w:r>
      <w:r>
        <w:rPr>
          <w:rFonts w:hint="eastAsia" w:cs="黑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_Toc22988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994498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_Toc2701 </w:instrText>
      </w:r>
      <w:r>
        <w:rPr>
          <w:color w:val="auto"/>
          <w:highlight w:val="none"/>
        </w:rPr>
        <w:fldChar w:fldCharType="separate"/>
      </w:r>
      <w:r>
        <w:rPr>
          <w:color w:val="auto"/>
          <w:highlight w:val="none"/>
        </w:rPr>
        <w:t xml:space="preserve">1.8 </w:t>
      </w:r>
      <w:r>
        <w:rPr>
          <w:rFonts w:hint="eastAsia" w:cs="黑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_Toc2701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464E8B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_Toc29869 </w:instrText>
      </w:r>
      <w:r>
        <w:rPr>
          <w:color w:val="auto"/>
          <w:highlight w:val="none"/>
        </w:rPr>
        <w:fldChar w:fldCharType="separate"/>
      </w:r>
      <w:r>
        <w:rPr>
          <w:color w:val="auto"/>
          <w:highlight w:val="none"/>
        </w:rPr>
        <w:t xml:space="preserve">1.9 </w:t>
      </w:r>
      <w:r>
        <w:rPr>
          <w:rFonts w:hint="eastAsia" w:cs="黑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_Toc29869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B78AF1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_Toc14039 </w:instrText>
      </w:r>
      <w:r>
        <w:rPr>
          <w:color w:val="auto"/>
          <w:highlight w:val="none"/>
        </w:rPr>
        <w:fldChar w:fldCharType="separate"/>
      </w:r>
      <w:r>
        <w:rPr>
          <w:color w:val="auto"/>
          <w:highlight w:val="none"/>
        </w:rPr>
        <w:t xml:space="preserve">1.10 </w:t>
      </w:r>
      <w:r>
        <w:rPr>
          <w:rFonts w:hint="eastAsia" w:cs="黑体"/>
          <w:color w:val="auto"/>
          <w:highlight w:val="none"/>
        </w:rPr>
        <w:t>投标预备会</w:t>
      </w:r>
      <w:r>
        <w:rPr>
          <w:color w:val="auto"/>
          <w:highlight w:val="none"/>
        </w:rPr>
        <w:tab/>
      </w:r>
      <w:r>
        <w:rPr>
          <w:color w:val="auto"/>
          <w:highlight w:val="none"/>
        </w:rPr>
        <w:fldChar w:fldCharType="begin"/>
      </w:r>
      <w:r>
        <w:rPr>
          <w:color w:val="auto"/>
          <w:highlight w:val="none"/>
        </w:rPr>
        <w:instrText xml:space="preserve"> PAGEREF _Toc14039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A86359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_Toc19880 </w:instrText>
      </w:r>
      <w:r>
        <w:rPr>
          <w:color w:val="auto"/>
          <w:highlight w:val="none"/>
        </w:rPr>
        <w:fldChar w:fldCharType="separate"/>
      </w:r>
      <w:r>
        <w:rPr>
          <w:color w:val="auto"/>
          <w:highlight w:val="none"/>
        </w:rPr>
        <w:t xml:space="preserve">1.11 </w:t>
      </w:r>
      <w:r>
        <w:rPr>
          <w:rFonts w:hint="eastAsia" w:cs="黑体"/>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_Toc19880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3A15C28">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_Toc5240 </w:instrText>
      </w:r>
      <w:r>
        <w:rPr>
          <w:color w:val="auto"/>
          <w:highlight w:val="none"/>
        </w:rPr>
        <w:fldChar w:fldCharType="separate"/>
      </w:r>
      <w:r>
        <w:rPr>
          <w:color w:val="auto"/>
          <w:highlight w:val="none"/>
        </w:rPr>
        <w:t xml:space="preserve">1.12 </w:t>
      </w:r>
      <w:r>
        <w:rPr>
          <w:rFonts w:hint="eastAsia" w:cs="黑体"/>
          <w:color w:val="auto"/>
          <w:highlight w:val="none"/>
        </w:rPr>
        <w:t>偏离</w:t>
      </w:r>
      <w:r>
        <w:rPr>
          <w:color w:val="auto"/>
          <w:highlight w:val="none"/>
        </w:rPr>
        <w:tab/>
      </w:r>
      <w:r>
        <w:rPr>
          <w:color w:val="auto"/>
          <w:highlight w:val="none"/>
        </w:rPr>
        <w:fldChar w:fldCharType="begin"/>
      </w:r>
      <w:r>
        <w:rPr>
          <w:color w:val="auto"/>
          <w:highlight w:val="none"/>
        </w:rPr>
        <w:instrText xml:space="preserve"> PAGEREF _Toc5240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72522E9">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_Toc29871 </w:instrText>
      </w:r>
      <w:r>
        <w:rPr>
          <w:color w:val="auto"/>
          <w:highlight w:val="none"/>
        </w:rPr>
        <w:fldChar w:fldCharType="separate"/>
      </w:r>
      <w:r>
        <w:rPr>
          <w:color w:val="auto"/>
          <w:highlight w:val="none"/>
        </w:rPr>
        <w:t xml:space="preserve">2 </w:t>
      </w:r>
      <w:r>
        <w:rPr>
          <w:rFonts w:hint="eastAsia" w:cs="黑体"/>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_Toc29871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53CBAE0">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_Toc29381 </w:instrText>
      </w:r>
      <w:r>
        <w:rPr>
          <w:color w:val="auto"/>
          <w:highlight w:val="none"/>
        </w:rPr>
        <w:fldChar w:fldCharType="separate"/>
      </w:r>
      <w:r>
        <w:rPr>
          <w:color w:val="auto"/>
          <w:highlight w:val="none"/>
        </w:rPr>
        <w:t xml:space="preserve">2.1 </w:t>
      </w:r>
      <w:r>
        <w:rPr>
          <w:rFonts w:hint="eastAsia" w:cs="黑体"/>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_Toc29381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687A22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_Toc9797 </w:instrText>
      </w:r>
      <w:r>
        <w:rPr>
          <w:color w:val="auto"/>
          <w:highlight w:val="none"/>
        </w:rPr>
        <w:fldChar w:fldCharType="separate"/>
      </w:r>
      <w:r>
        <w:rPr>
          <w:color w:val="auto"/>
          <w:highlight w:val="none"/>
        </w:rPr>
        <w:t xml:space="preserve">2.2 </w:t>
      </w:r>
      <w:r>
        <w:rPr>
          <w:rFonts w:hint="eastAsia" w:cs="黑体"/>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_Toc9797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318EE66">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_Toc14386 </w:instrText>
      </w:r>
      <w:r>
        <w:rPr>
          <w:color w:val="auto"/>
          <w:highlight w:val="none"/>
        </w:rPr>
        <w:fldChar w:fldCharType="separate"/>
      </w:r>
      <w:r>
        <w:rPr>
          <w:color w:val="auto"/>
          <w:highlight w:val="none"/>
        </w:rPr>
        <w:t xml:space="preserve">2.3 </w:t>
      </w:r>
      <w:r>
        <w:rPr>
          <w:rFonts w:hint="eastAsia" w:cs="黑体"/>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_Toc14386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9689000">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_Toc1314 </w:instrText>
      </w:r>
      <w:r>
        <w:rPr>
          <w:color w:val="auto"/>
          <w:highlight w:val="none"/>
        </w:rPr>
        <w:fldChar w:fldCharType="separate"/>
      </w:r>
      <w:r>
        <w:rPr>
          <w:color w:val="auto"/>
          <w:highlight w:val="none"/>
        </w:rPr>
        <w:t xml:space="preserve">3 </w:t>
      </w:r>
      <w:r>
        <w:rPr>
          <w:rFonts w:hint="eastAsia" w:cs="黑体"/>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_Toc1314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B4EE91E">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_Toc11444 </w:instrText>
      </w:r>
      <w:r>
        <w:rPr>
          <w:color w:val="auto"/>
          <w:highlight w:val="none"/>
        </w:rPr>
        <w:fldChar w:fldCharType="separate"/>
      </w:r>
      <w:r>
        <w:rPr>
          <w:color w:val="auto"/>
          <w:highlight w:val="none"/>
        </w:rPr>
        <w:t xml:space="preserve">3.1 </w:t>
      </w:r>
      <w:r>
        <w:rPr>
          <w:rFonts w:hint="eastAsia" w:cs="黑体"/>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_Toc11444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F87B0D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_Toc23559 </w:instrText>
      </w:r>
      <w:r>
        <w:rPr>
          <w:color w:val="auto"/>
          <w:highlight w:val="none"/>
        </w:rPr>
        <w:fldChar w:fldCharType="separate"/>
      </w:r>
      <w:r>
        <w:rPr>
          <w:color w:val="auto"/>
          <w:highlight w:val="none"/>
        </w:rPr>
        <w:t xml:space="preserve">3.2 </w:t>
      </w:r>
      <w:r>
        <w:rPr>
          <w:rFonts w:hint="eastAsia" w:cs="黑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_Toc23559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3D3C6F0">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_Toc10341 </w:instrText>
      </w:r>
      <w:r>
        <w:rPr>
          <w:color w:val="auto"/>
          <w:highlight w:val="none"/>
        </w:rPr>
        <w:fldChar w:fldCharType="separate"/>
      </w:r>
      <w:r>
        <w:rPr>
          <w:color w:val="auto"/>
          <w:highlight w:val="none"/>
        </w:rPr>
        <w:t xml:space="preserve">3.3 </w:t>
      </w:r>
      <w:r>
        <w:rPr>
          <w:rFonts w:hint="eastAsia" w:cs="黑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_Toc10341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65C3876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_Toc3830 </w:instrText>
      </w:r>
      <w:r>
        <w:rPr>
          <w:color w:val="auto"/>
          <w:highlight w:val="none"/>
        </w:rPr>
        <w:fldChar w:fldCharType="separate"/>
      </w:r>
      <w:r>
        <w:rPr>
          <w:color w:val="auto"/>
          <w:highlight w:val="none"/>
        </w:rPr>
        <w:t xml:space="preserve">3.4 </w:t>
      </w:r>
      <w:r>
        <w:rPr>
          <w:rFonts w:hint="eastAsia" w:cs="黑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_Toc3830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F95307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_Toc10290 </w:instrText>
      </w:r>
      <w:r>
        <w:rPr>
          <w:color w:val="auto"/>
          <w:highlight w:val="none"/>
        </w:rPr>
        <w:fldChar w:fldCharType="separate"/>
      </w:r>
      <w:r>
        <w:rPr>
          <w:color w:val="auto"/>
          <w:highlight w:val="none"/>
        </w:rPr>
        <w:t xml:space="preserve">3.5 </w:t>
      </w:r>
      <w:r>
        <w:rPr>
          <w:rFonts w:hint="eastAsia" w:cs="黑体"/>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_Toc10290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594B6F2">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_Toc9700 </w:instrText>
      </w:r>
      <w:r>
        <w:rPr>
          <w:color w:val="auto"/>
          <w:highlight w:val="none"/>
        </w:rPr>
        <w:fldChar w:fldCharType="separate"/>
      </w:r>
      <w:r>
        <w:rPr>
          <w:color w:val="auto"/>
          <w:highlight w:val="none"/>
        </w:rPr>
        <w:t xml:space="preserve">3.6 </w:t>
      </w:r>
      <w:r>
        <w:rPr>
          <w:rFonts w:hint="eastAsia" w:cs="黑体"/>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_Toc9700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04BD24F">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_Toc13 </w:instrText>
      </w:r>
      <w:r>
        <w:rPr>
          <w:color w:val="auto"/>
          <w:highlight w:val="none"/>
        </w:rPr>
        <w:fldChar w:fldCharType="separate"/>
      </w:r>
      <w:r>
        <w:rPr>
          <w:color w:val="auto"/>
          <w:highlight w:val="none"/>
        </w:rPr>
        <w:t xml:space="preserve">4 </w:t>
      </w:r>
      <w:r>
        <w:rPr>
          <w:rFonts w:hint="eastAsia" w:cs="黑体"/>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B41D634">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_Toc10625 </w:instrText>
      </w:r>
      <w:r>
        <w:rPr>
          <w:color w:val="auto"/>
          <w:highlight w:val="none"/>
        </w:rPr>
        <w:fldChar w:fldCharType="separate"/>
      </w:r>
      <w:r>
        <w:rPr>
          <w:color w:val="auto"/>
          <w:highlight w:val="none"/>
        </w:rPr>
        <w:t>4.</w:t>
      </w:r>
      <w:r>
        <w:rPr>
          <w:rFonts w:hint="eastAsia"/>
          <w:color w:val="auto"/>
          <w:highlight w:val="none"/>
        </w:rPr>
        <w:t>1</w:t>
      </w:r>
      <w:r>
        <w:rPr>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_Toc10625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5806895">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_Toc12364 </w:instrText>
      </w:r>
      <w:r>
        <w:rPr>
          <w:color w:val="auto"/>
          <w:highlight w:val="none"/>
        </w:rPr>
        <w:fldChar w:fldCharType="separate"/>
      </w:r>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未加密的电子投标文件U盘的密封和标记</w:t>
      </w:r>
      <w:r>
        <w:rPr>
          <w:color w:val="auto"/>
          <w:highlight w:val="none"/>
        </w:rPr>
        <w:tab/>
      </w:r>
      <w:r>
        <w:rPr>
          <w:color w:val="auto"/>
          <w:highlight w:val="none"/>
        </w:rPr>
        <w:fldChar w:fldCharType="begin"/>
      </w:r>
      <w:r>
        <w:rPr>
          <w:color w:val="auto"/>
          <w:highlight w:val="none"/>
        </w:rPr>
        <w:instrText xml:space="preserve"> PAGEREF _Toc12364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8FD9A2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_Toc20904 </w:instrText>
      </w:r>
      <w:r>
        <w:rPr>
          <w:color w:val="auto"/>
          <w:highlight w:val="none"/>
        </w:rPr>
        <w:fldChar w:fldCharType="separate"/>
      </w:r>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r>
        <w:rPr>
          <w:color w:val="auto"/>
          <w:highlight w:val="none"/>
        </w:rPr>
        <w:tab/>
      </w:r>
      <w:r>
        <w:rPr>
          <w:color w:val="auto"/>
          <w:highlight w:val="none"/>
        </w:rPr>
        <w:fldChar w:fldCharType="begin"/>
      </w:r>
      <w:r>
        <w:rPr>
          <w:color w:val="auto"/>
          <w:highlight w:val="none"/>
        </w:rPr>
        <w:instrText xml:space="preserve"> PAGEREF _Toc20904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2DFB2E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_Toc20170 </w:instrText>
      </w:r>
      <w:r>
        <w:rPr>
          <w:color w:val="auto"/>
          <w:highlight w:val="none"/>
        </w:rPr>
        <w:fldChar w:fldCharType="separate"/>
      </w:r>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_Toc20170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3459047">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_Toc27761 </w:instrText>
      </w:r>
      <w:r>
        <w:rPr>
          <w:color w:val="auto"/>
          <w:highlight w:val="none"/>
        </w:rPr>
        <w:fldChar w:fldCharType="separate"/>
      </w:r>
      <w:r>
        <w:rPr>
          <w:color w:val="auto"/>
          <w:highlight w:val="none"/>
        </w:rPr>
        <w:t xml:space="preserve">5 </w:t>
      </w:r>
      <w:r>
        <w:rPr>
          <w:rFonts w:hint="eastAsia" w:cs="黑体"/>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_Toc27761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507B98F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_Toc27207 </w:instrText>
      </w:r>
      <w:r>
        <w:rPr>
          <w:color w:val="auto"/>
          <w:highlight w:val="none"/>
        </w:rPr>
        <w:fldChar w:fldCharType="separate"/>
      </w:r>
      <w:r>
        <w:rPr>
          <w:color w:val="auto"/>
          <w:highlight w:val="none"/>
        </w:rPr>
        <w:t xml:space="preserve">5.1 </w:t>
      </w:r>
      <w:r>
        <w:rPr>
          <w:rFonts w:hint="eastAsia" w:cs="黑体"/>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_Toc27207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9B309B6">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_Toc27288 </w:instrText>
      </w:r>
      <w:r>
        <w:rPr>
          <w:color w:val="auto"/>
          <w:highlight w:val="none"/>
        </w:rPr>
        <w:fldChar w:fldCharType="separate"/>
      </w:r>
      <w:r>
        <w:rPr>
          <w:color w:val="auto"/>
          <w:highlight w:val="none"/>
        </w:rPr>
        <w:t xml:space="preserve">5.2 </w:t>
      </w:r>
      <w:r>
        <w:rPr>
          <w:rFonts w:hint="eastAsia" w:cs="黑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_Toc27288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09EF73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color w:val="auto"/>
          <w:highlight w:val="none"/>
        </w:rPr>
        <w:t>5.3</w:t>
      </w:r>
      <w:r>
        <w:rPr>
          <w:rFonts w:hint="eastAsia" w:hAnsi="宋体" w:cs="黑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_Toc16796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D3EC8D7">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_Toc9304 </w:instrText>
      </w:r>
      <w:r>
        <w:rPr>
          <w:color w:val="auto"/>
          <w:highlight w:val="none"/>
        </w:rPr>
        <w:fldChar w:fldCharType="separate"/>
      </w:r>
      <w:r>
        <w:rPr>
          <w:color w:val="auto"/>
          <w:highlight w:val="none"/>
        </w:rPr>
        <w:t xml:space="preserve">5.4 </w:t>
      </w:r>
      <w:r>
        <w:rPr>
          <w:rFonts w:hint="eastAsia" w:cs="黑体"/>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_Toc9304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6F60BFE5">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_Toc13758 </w:instrText>
      </w:r>
      <w:r>
        <w:rPr>
          <w:color w:val="auto"/>
          <w:highlight w:val="none"/>
        </w:rPr>
        <w:fldChar w:fldCharType="separate"/>
      </w:r>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_Toc13758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07EF39A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_Toc16878 </w:instrText>
      </w:r>
      <w:r>
        <w:rPr>
          <w:color w:val="auto"/>
          <w:highlight w:val="none"/>
        </w:rPr>
        <w:fldChar w:fldCharType="separate"/>
      </w:r>
      <w:r>
        <w:rPr>
          <w:color w:val="auto"/>
          <w:highlight w:val="none"/>
        </w:rPr>
        <w:t xml:space="preserve">6 </w:t>
      </w:r>
      <w:r>
        <w:rPr>
          <w:rFonts w:hint="eastAsia" w:cs="黑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_Toc16878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4C99D46">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_Toc21669 </w:instrText>
      </w:r>
      <w:r>
        <w:rPr>
          <w:color w:val="auto"/>
          <w:highlight w:val="none"/>
        </w:rPr>
        <w:fldChar w:fldCharType="separate"/>
      </w:r>
      <w:r>
        <w:rPr>
          <w:color w:val="auto"/>
          <w:highlight w:val="none"/>
        </w:rPr>
        <w:t xml:space="preserve">6.1 </w:t>
      </w:r>
      <w:r>
        <w:rPr>
          <w:rFonts w:hint="eastAsia" w:cs="黑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_Toc21669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BD6626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_Toc19804 </w:instrText>
      </w:r>
      <w:r>
        <w:rPr>
          <w:color w:val="auto"/>
          <w:highlight w:val="none"/>
        </w:rPr>
        <w:fldChar w:fldCharType="separate"/>
      </w:r>
      <w:r>
        <w:rPr>
          <w:color w:val="auto"/>
          <w:highlight w:val="none"/>
        </w:rPr>
        <w:t xml:space="preserve">6.2 </w:t>
      </w:r>
      <w:r>
        <w:rPr>
          <w:rFonts w:hint="eastAsia" w:cs="黑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_Toc19804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0AF97A7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_Toc3213 </w:instrText>
      </w:r>
      <w:r>
        <w:rPr>
          <w:color w:val="auto"/>
          <w:highlight w:val="none"/>
        </w:rPr>
        <w:fldChar w:fldCharType="separate"/>
      </w:r>
      <w:r>
        <w:rPr>
          <w:color w:val="auto"/>
          <w:highlight w:val="none"/>
        </w:rPr>
        <w:t xml:space="preserve">6.3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_Toc3213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F751EA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_Toc24363 </w:instrText>
      </w:r>
      <w:r>
        <w:rPr>
          <w:color w:val="auto"/>
          <w:highlight w:val="none"/>
        </w:rPr>
        <w:fldChar w:fldCharType="separate"/>
      </w:r>
      <w:r>
        <w:rPr>
          <w:color w:val="auto"/>
          <w:highlight w:val="none"/>
        </w:rPr>
        <w:t xml:space="preserve">6.4 </w:t>
      </w:r>
      <w:r>
        <w:rPr>
          <w:rFonts w:hint="eastAsia" w:cs="黑体"/>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_Toc24363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0A0E020">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_Toc21041 </w:instrText>
      </w:r>
      <w:r>
        <w:rPr>
          <w:color w:val="auto"/>
          <w:highlight w:val="none"/>
        </w:rPr>
        <w:fldChar w:fldCharType="separate"/>
      </w:r>
      <w:r>
        <w:rPr>
          <w:color w:val="auto"/>
          <w:highlight w:val="none"/>
        </w:rPr>
        <w:t xml:space="preserve">6.5 </w:t>
      </w:r>
      <w:r>
        <w:rPr>
          <w:rFonts w:hint="eastAsia" w:cs="黑体"/>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_Toc21041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BD84072">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_Toc9777 </w:instrText>
      </w:r>
      <w:r>
        <w:rPr>
          <w:color w:val="auto"/>
          <w:highlight w:val="none"/>
        </w:rPr>
        <w:fldChar w:fldCharType="separate"/>
      </w:r>
      <w:r>
        <w:rPr>
          <w:color w:val="auto"/>
          <w:highlight w:val="none"/>
        </w:rPr>
        <w:t xml:space="preserve">6.6 </w:t>
      </w:r>
      <w:r>
        <w:rPr>
          <w:rFonts w:hint="eastAsia" w:cs="黑体"/>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_Toc9777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F15E1C7">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_Toc6638 </w:instrText>
      </w:r>
      <w:r>
        <w:rPr>
          <w:color w:val="auto"/>
          <w:highlight w:val="none"/>
        </w:rPr>
        <w:fldChar w:fldCharType="separate"/>
      </w:r>
      <w:r>
        <w:rPr>
          <w:color w:val="auto"/>
          <w:highlight w:val="none"/>
        </w:rPr>
        <w:t>6.7</w:t>
      </w:r>
      <w:r>
        <w:rPr>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_Toc6638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86C34E8">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_Toc19118 </w:instrText>
      </w:r>
      <w:r>
        <w:rPr>
          <w:color w:val="auto"/>
          <w:highlight w:val="none"/>
        </w:rPr>
        <w:fldChar w:fldCharType="separate"/>
      </w:r>
      <w:r>
        <w:rPr>
          <w:color w:val="auto"/>
          <w:highlight w:val="none"/>
        </w:rPr>
        <w:t xml:space="preserve">7 </w:t>
      </w:r>
      <w:r>
        <w:rPr>
          <w:rFonts w:hint="eastAsia" w:cs="黑体"/>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_Toc19118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2DF23DE">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_Toc17139 </w:instrText>
      </w:r>
      <w:r>
        <w:rPr>
          <w:color w:val="auto"/>
          <w:highlight w:val="none"/>
        </w:rPr>
        <w:fldChar w:fldCharType="separate"/>
      </w:r>
      <w:r>
        <w:rPr>
          <w:color w:val="auto"/>
          <w:highlight w:val="none"/>
        </w:rPr>
        <w:t xml:space="preserve">7.1 </w:t>
      </w:r>
      <w:r>
        <w:rPr>
          <w:rFonts w:hint="eastAsia" w:cs="黑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_Toc17139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5570E9D8">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_Toc28484 </w:instrText>
      </w:r>
      <w:r>
        <w:rPr>
          <w:color w:val="auto"/>
          <w:highlight w:val="none"/>
        </w:rPr>
        <w:fldChar w:fldCharType="separate"/>
      </w:r>
      <w:r>
        <w:rPr>
          <w:color w:val="auto"/>
          <w:highlight w:val="none"/>
        </w:rPr>
        <w:t xml:space="preserve">7.2 </w:t>
      </w:r>
      <w:r>
        <w:rPr>
          <w:rFonts w:hint="eastAsia" w:cs="黑体"/>
          <w:color w:val="auto"/>
          <w:highlight w:val="none"/>
        </w:rPr>
        <w:t>中标通知及</w:t>
      </w:r>
      <w:r>
        <w:rPr>
          <w:rFonts w:hint="eastAsia" w:cs="黑体"/>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_Toc28484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692DDEC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_Toc19682 </w:instrText>
      </w:r>
      <w:r>
        <w:rPr>
          <w:color w:val="auto"/>
          <w:highlight w:val="none"/>
        </w:rPr>
        <w:fldChar w:fldCharType="separate"/>
      </w:r>
      <w:r>
        <w:rPr>
          <w:color w:val="auto"/>
          <w:highlight w:val="none"/>
        </w:rPr>
        <w:t xml:space="preserve">7.3 </w:t>
      </w:r>
      <w:r>
        <w:rPr>
          <w:rFonts w:hint="eastAsia" w:cs="黑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_Toc19682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CCE6AC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_Toc26246 </w:instrText>
      </w:r>
      <w:r>
        <w:rPr>
          <w:color w:val="auto"/>
          <w:highlight w:val="none"/>
        </w:rPr>
        <w:fldChar w:fldCharType="separate"/>
      </w:r>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_Toc26246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6C5C6E4C">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_Toc13201 </w:instrText>
      </w:r>
      <w:r>
        <w:rPr>
          <w:color w:val="auto"/>
          <w:highlight w:val="none"/>
        </w:rPr>
        <w:fldChar w:fldCharType="separate"/>
      </w:r>
      <w:r>
        <w:rPr>
          <w:color w:val="auto"/>
          <w:highlight w:val="none"/>
        </w:rPr>
        <w:t xml:space="preserve">8 </w:t>
      </w:r>
      <w:r>
        <w:rPr>
          <w:rFonts w:hint="eastAsia" w:cs="黑体"/>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_Toc13201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EF51B3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_Toc10809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_Toc10809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3C7AD4A">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_Toc27091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_Toc27091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54D64F3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_Toc18821 </w:instrText>
      </w:r>
      <w:r>
        <w:rPr>
          <w:color w:val="auto"/>
          <w:highlight w:val="none"/>
        </w:rPr>
        <w:fldChar w:fldCharType="separate"/>
      </w:r>
      <w:r>
        <w:rPr>
          <w:color w:val="auto"/>
          <w:highlight w:val="none"/>
        </w:rPr>
        <w:t xml:space="preserve">9 </w:t>
      </w:r>
      <w:r>
        <w:rPr>
          <w:rFonts w:hint="eastAsia" w:cs="黑体"/>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_Toc18821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3AAC86A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_Toc29540 </w:instrText>
      </w:r>
      <w:r>
        <w:rPr>
          <w:color w:val="auto"/>
          <w:highlight w:val="none"/>
        </w:rPr>
        <w:fldChar w:fldCharType="separate"/>
      </w:r>
      <w:r>
        <w:rPr>
          <w:color w:val="auto"/>
          <w:highlight w:val="none"/>
        </w:rPr>
        <w:t xml:space="preserve">9.1 </w:t>
      </w:r>
      <w:r>
        <w:rPr>
          <w:rFonts w:hint="eastAsia" w:cs="黑体"/>
          <w:color w:val="auto"/>
          <w:highlight w:val="none"/>
        </w:rPr>
        <w:t>对招标人或招标代理机构的纪律要求</w:t>
      </w:r>
      <w:r>
        <w:rPr>
          <w:color w:val="auto"/>
          <w:highlight w:val="none"/>
        </w:rPr>
        <w:tab/>
      </w:r>
      <w:r>
        <w:rPr>
          <w:color w:val="auto"/>
          <w:highlight w:val="none"/>
        </w:rPr>
        <w:fldChar w:fldCharType="begin"/>
      </w:r>
      <w:r>
        <w:rPr>
          <w:color w:val="auto"/>
          <w:highlight w:val="none"/>
        </w:rPr>
        <w:instrText xml:space="preserve"> PAGEREF _Toc29540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601048F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_Toc28056 </w:instrText>
      </w:r>
      <w:r>
        <w:rPr>
          <w:color w:val="auto"/>
          <w:highlight w:val="none"/>
        </w:rPr>
        <w:fldChar w:fldCharType="separate"/>
      </w:r>
      <w:r>
        <w:rPr>
          <w:color w:val="auto"/>
          <w:highlight w:val="none"/>
        </w:rPr>
        <w:t xml:space="preserve">9.2 </w:t>
      </w:r>
      <w:r>
        <w:rPr>
          <w:rFonts w:hint="eastAsia" w:cs="黑体"/>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_Toc28056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1BF35300">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_Toc24439 </w:instrText>
      </w:r>
      <w:r>
        <w:rPr>
          <w:color w:val="auto"/>
          <w:highlight w:val="none"/>
        </w:rPr>
        <w:fldChar w:fldCharType="separate"/>
      </w:r>
      <w:r>
        <w:rPr>
          <w:color w:val="auto"/>
          <w:highlight w:val="none"/>
        </w:rPr>
        <w:t xml:space="preserve">9.3 </w:t>
      </w:r>
      <w:r>
        <w:rPr>
          <w:rFonts w:hint="eastAsia" w:cs="黑体"/>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_Toc24439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1A6B722D">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_Toc20629 </w:instrText>
      </w:r>
      <w:r>
        <w:rPr>
          <w:color w:val="auto"/>
          <w:highlight w:val="none"/>
        </w:rPr>
        <w:fldChar w:fldCharType="separate"/>
      </w:r>
      <w:r>
        <w:rPr>
          <w:color w:val="auto"/>
          <w:highlight w:val="none"/>
        </w:rPr>
        <w:t xml:space="preserve">9.4 </w:t>
      </w:r>
      <w:r>
        <w:rPr>
          <w:rFonts w:hint="eastAsia" w:cs="黑体"/>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_Toc20629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5DCE29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_Toc12409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_Toc12409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B45CA27">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_Toc8387 </w:instrText>
      </w:r>
      <w:r>
        <w:rPr>
          <w:color w:val="auto"/>
          <w:highlight w:val="none"/>
        </w:rPr>
        <w:fldChar w:fldCharType="separate"/>
      </w:r>
      <w:r>
        <w:rPr>
          <w:rFonts w:hint="eastAsia" w:cs="黑体"/>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_Toc8387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4023CBF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_Toc25335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_Toc25335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D16233A">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_Toc23119 </w:instrText>
      </w:r>
      <w:r>
        <w:rPr>
          <w:color w:val="auto"/>
          <w:highlight w:val="none"/>
        </w:rPr>
        <w:fldChar w:fldCharType="separate"/>
      </w:r>
      <w:r>
        <w:rPr>
          <w:color w:val="auto"/>
          <w:highlight w:val="none"/>
        </w:rPr>
        <w:t xml:space="preserve">10.2 </w:t>
      </w:r>
      <w:r>
        <w:rPr>
          <w:rFonts w:hint="eastAsia" w:cs="黑体"/>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_Toc23119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9BF411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_Toc5339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_Toc5339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9DF466D">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_Toc13356 </w:instrText>
      </w:r>
      <w:r>
        <w:rPr>
          <w:color w:val="auto"/>
          <w:highlight w:val="none"/>
        </w:rPr>
        <w:fldChar w:fldCharType="separate"/>
      </w:r>
      <w:r>
        <w:rPr>
          <w:color w:val="auto"/>
          <w:highlight w:val="none"/>
        </w:rPr>
        <w:t xml:space="preserve">10.4 </w:t>
      </w:r>
      <w:r>
        <w:rPr>
          <w:rFonts w:hint="eastAsia" w:cs="黑体"/>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_Toc13356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B2F4202">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_Toc5969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_Toc5969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A7A6AD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_Toc24778 </w:instrText>
      </w:r>
      <w:r>
        <w:rPr>
          <w:color w:val="auto"/>
          <w:highlight w:val="none"/>
        </w:rPr>
        <w:fldChar w:fldCharType="separate"/>
      </w:r>
      <w:r>
        <w:rPr>
          <w:color w:val="auto"/>
          <w:highlight w:val="none"/>
        </w:rPr>
        <w:t xml:space="preserve">10.6 </w:t>
      </w:r>
      <w:r>
        <w:rPr>
          <w:rFonts w:hint="eastAsia" w:cs="黑体"/>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_Toc24778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9B9D107">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_Toc18708 </w:instrText>
      </w:r>
      <w:r>
        <w:rPr>
          <w:color w:val="auto"/>
          <w:highlight w:val="none"/>
        </w:rPr>
        <w:fldChar w:fldCharType="separate"/>
      </w:r>
      <w:r>
        <w:rPr>
          <w:color w:val="auto"/>
          <w:highlight w:val="none"/>
        </w:rPr>
        <w:t xml:space="preserve">10.7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_Toc18708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28D19CB">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_Toc10692 </w:instrText>
      </w:r>
      <w:r>
        <w:rPr>
          <w:color w:val="auto"/>
          <w:highlight w:val="none"/>
        </w:rPr>
        <w:fldChar w:fldCharType="separate"/>
      </w:r>
      <w:r>
        <w:rPr>
          <w:color w:val="auto"/>
          <w:highlight w:val="none"/>
        </w:rPr>
        <w:t xml:space="preserve">10.8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_Toc10692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3BBAA93">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_Toc17403 </w:instrText>
      </w:r>
      <w:r>
        <w:rPr>
          <w:color w:val="auto"/>
          <w:highlight w:val="none"/>
        </w:rPr>
        <w:fldChar w:fldCharType="separate"/>
      </w:r>
      <w:r>
        <w:rPr>
          <w:color w:val="auto"/>
          <w:highlight w:val="none"/>
        </w:rPr>
        <w:t>10.9承包人应履行的其他义务</w:t>
      </w:r>
      <w:r>
        <w:rPr>
          <w:color w:val="auto"/>
          <w:highlight w:val="none"/>
        </w:rPr>
        <w:tab/>
      </w:r>
      <w:r>
        <w:rPr>
          <w:color w:val="auto"/>
          <w:highlight w:val="none"/>
        </w:rPr>
        <w:fldChar w:fldCharType="begin"/>
      </w:r>
      <w:r>
        <w:rPr>
          <w:color w:val="auto"/>
          <w:highlight w:val="none"/>
        </w:rPr>
        <w:instrText xml:space="preserve"> PAGEREF _Toc17403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629DFE7">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_Toc26033 </w:instrText>
      </w:r>
      <w:r>
        <w:rPr>
          <w:color w:val="auto"/>
          <w:highlight w:val="none"/>
        </w:rPr>
        <w:fldChar w:fldCharType="separate"/>
      </w:r>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r>
        <w:rPr>
          <w:color w:val="auto"/>
          <w:highlight w:val="none"/>
        </w:rPr>
        <w:tab/>
      </w:r>
      <w:r>
        <w:rPr>
          <w:color w:val="auto"/>
          <w:highlight w:val="none"/>
        </w:rPr>
        <w:fldChar w:fldCharType="begin"/>
      </w:r>
      <w:r>
        <w:rPr>
          <w:color w:val="auto"/>
          <w:highlight w:val="none"/>
        </w:rPr>
        <w:instrText xml:space="preserve"> PAGEREF _Toc26033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D756329">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_Toc32753 </w:instrText>
      </w:r>
      <w:r>
        <w:rPr>
          <w:color w:val="auto"/>
          <w:highlight w:val="none"/>
        </w:rPr>
        <w:fldChar w:fldCharType="separate"/>
      </w:r>
      <w:r>
        <w:rPr>
          <w:color w:val="auto"/>
          <w:highlight w:val="none"/>
        </w:rPr>
        <w:t>10.11</w:t>
      </w:r>
      <w:r>
        <w:rPr>
          <w:rFonts w:hint="eastAsia" w:cs="黑体"/>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_Toc32753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27D235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_Toc439 </w:instrText>
      </w:r>
      <w:r>
        <w:rPr>
          <w:color w:val="auto"/>
          <w:highlight w:val="none"/>
        </w:rPr>
        <w:fldChar w:fldCharType="separate"/>
      </w:r>
      <w:r>
        <w:rPr>
          <w:color w:val="auto"/>
          <w:highlight w:val="none"/>
        </w:rPr>
        <w:t>10.12</w:t>
      </w:r>
      <w:r>
        <w:rPr>
          <w:rFonts w:hint="eastAsia" w:cs="黑体"/>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_Toc439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28E2CE9">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_Toc24265 </w:instrText>
      </w:r>
      <w:r>
        <w:rPr>
          <w:color w:val="auto"/>
          <w:highlight w:val="none"/>
        </w:rPr>
        <w:fldChar w:fldCharType="separate"/>
      </w:r>
      <w:r>
        <w:rPr>
          <w:color w:val="auto"/>
          <w:highlight w:val="none"/>
        </w:rPr>
        <w:t>10.13</w:t>
      </w:r>
      <w:r>
        <w:rPr>
          <w:rFonts w:hint="eastAsia" w:cs="黑体"/>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_Toc24265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BE2FE0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_Toc25753 </w:instrText>
      </w:r>
      <w:r>
        <w:rPr>
          <w:color w:val="auto"/>
          <w:highlight w:val="none"/>
        </w:rPr>
        <w:fldChar w:fldCharType="separate"/>
      </w:r>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_Toc25753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7D07A3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_Toc28550 </w:instrText>
      </w:r>
      <w:r>
        <w:rPr>
          <w:color w:val="auto"/>
          <w:highlight w:val="none"/>
        </w:rPr>
        <w:fldChar w:fldCharType="separate"/>
      </w:r>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_Toc28550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BAF023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_Toc24406 </w:instrText>
      </w:r>
      <w:r>
        <w:rPr>
          <w:color w:val="auto"/>
          <w:highlight w:val="none"/>
        </w:rPr>
        <w:fldChar w:fldCharType="separate"/>
      </w:r>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r>
        <w:rPr>
          <w:color w:val="auto"/>
          <w:highlight w:val="none"/>
        </w:rPr>
        <w:tab/>
      </w:r>
      <w:r>
        <w:rPr>
          <w:color w:val="auto"/>
          <w:highlight w:val="none"/>
        </w:rPr>
        <w:fldChar w:fldCharType="begin"/>
      </w:r>
      <w:r>
        <w:rPr>
          <w:color w:val="auto"/>
          <w:highlight w:val="none"/>
        </w:rPr>
        <w:instrText xml:space="preserve"> PAGEREF _Toc24406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A4B5097">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_Toc27920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评标办法（经评审的合理低价法）</w:t>
      </w:r>
      <w:r>
        <w:rPr>
          <w:color w:val="auto"/>
          <w:highlight w:val="none"/>
        </w:rPr>
        <w:tab/>
      </w:r>
      <w:r>
        <w:rPr>
          <w:color w:val="auto"/>
          <w:highlight w:val="none"/>
        </w:rPr>
        <w:fldChar w:fldCharType="begin"/>
      </w:r>
      <w:r>
        <w:rPr>
          <w:color w:val="auto"/>
          <w:highlight w:val="none"/>
        </w:rPr>
        <w:instrText xml:space="preserve"> PAGEREF _Toc27920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3B0E8CA6">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_Toc16273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_Toc16273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7553CDE3">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_Toc23410 </w:instrText>
      </w:r>
      <w:r>
        <w:rPr>
          <w:color w:val="auto"/>
          <w:highlight w:val="none"/>
        </w:rPr>
        <w:fldChar w:fldCharType="separate"/>
      </w:r>
      <w:r>
        <w:rPr>
          <w:rFonts w:hint="eastAsia" w:cs="黑体"/>
          <w:color w:val="auto"/>
          <w:highlight w:val="none"/>
        </w:rPr>
        <w:t>评标办法（经评审的合理低价法）正文部分</w:t>
      </w:r>
      <w:r>
        <w:rPr>
          <w:color w:val="auto"/>
          <w:highlight w:val="none"/>
        </w:rPr>
        <w:tab/>
      </w:r>
      <w:r>
        <w:rPr>
          <w:color w:val="auto"/>
          <w:highlight w:val="none"/>
        </w:rPr>
        <w:fldChar w:fldCharType="begin"/>
      </w:r>
      <w:r>
        <w:rPr>
          <w:color w:val="auto"/>
          <w:highlight w:val="none"/>
        </w:rPr>
        <w:instrText xml:space="preserve"> PAGEREF _Toc23410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40B55560">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_Toc31316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_Toc31316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30F6C3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_Toc12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2BCAEA1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_Toc23034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_Toc23034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12527BE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_Toc5220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_Toc5220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1A59D8C3">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_Toc12342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_Toc12342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4982A5D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_Toc20607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_Toc20607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7405AD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_Toc21913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_Toc21913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0FFBCC11">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_Toc4318 </w:instrText>
      </w:r>
      <w:r>
        <w:rPr>
          <w:color w:val="auto"/>
          <w:highlight w:val="none"/>
        </w:rPr>
        <w:fldChar w:fldCharType="separate"/>
      </w:r>
      <w:r>
        <w:rPr>
          <w:color w:val="auto"/>
          <w:highlight w:val="none"/>
        </w:rPr>
        <w:t xml:space="preserve">3.3 </w:t>
      </w:r>
      <w:r>
        <w:rPr>
          <w:rFonts w:hint="eastAsia" w:cs="黑体"/>
          <w:color w:val="auto"/>
          <w:highlight w:val="none"/>
        </w:rPr>
        <w:t>投标文件的澄清、说明和补正</w:t>
      </w:r>
      <w:r>
        <w:rPr>
          <w:color w:val="auto"/>
          <w:highlight w:val="none"/>
        </w:rPr>
        <w:tab/>
      </w:r>
      <w:r>
        <w:rPr>
          <w:color w:val="auto"/>
          <w:highlight w:val="none"/>
        </w:rPr>
        <w:fldChar w:fldCharType="begin"/>
      </w:r>
      <w:r>
        <w:rPr>
          <w:color w:val="auto"/>
          <w:highlight w:val="none"/>
        </w:rPr>
        <w:instrText xml:space="preserve"> PAGEREF _Toc4318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BE4502C">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_Toc18949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_Toc18949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7804E35F">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_Toc15771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_Toc15771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26053ACA">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_Toc23274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_Toc23274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190B13D">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_Toc29783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_Toc29783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6753AF7E">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_Toc20976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_Toc20976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5456790F">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_Toc15637 </w:instrText>
      </w:r>
      <w:r>
        <w:rPr>
          <w:color w:val="auto"/>
          <w:highlight w:val="none"/>
        </w:rPr>
        <w:fldChar w:fldCharType="separate"/>
      </w:r>
      <w:r>
        <w:rPr>
          <w:rFonts w:hint="eastAsia" w:cs="黑体"/>
          <w:color w:val="auto"/>
          <w:highlight w:val="none"/>
        </w:rPr>
        <w:t>评标办法（综合评估法）正文部分</w:t>
      </w:r>
      <w:r>
        <w:rPr>
          <w:color w:val="auto"/>
          <w:highlight w:val="none"/>
        </w:rPr>
        <w:tab/>
      </w:r>
      <w:r>
        <w:rPr>
          <w:color w:val="auto"/>
          <w:highlight w:val="none"/>
        </w:rPr>
        <w:fldChar w:fldCharType="begin"/>
      </w:r>
      <w:r>
        <w:rPr>
          <w:color w:val="auto"/>
          <w:highlight w:val="none"/>
        </w:rPr>
        <w:instrText xml:space="preserve"> PAGEREF _Toc15637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01E328C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_Toc22280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_Toc22280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2DFFB60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_Toc383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_Toc383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6C9F1EBD">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_Toc14808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_Toc14808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54E59D5F">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_Toc18303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_Toc18303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5BD25F19">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_Toc8351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_Toc8351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7090E974">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_Toc23666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_Toc23666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78EB5FF8">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_Toc11028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604CB337">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_Toc29136 </w:instrText>
      </w:r>
      <w:r>
        <w:rPr>
          <w:color w:val="auto"/>
          <w:highlight w:val="none"/>
        </w:rPr>
        <w:fldChar w:fldCharType="separate"/>
      </w:r>
      <w:r>
        <w:rPr>
          <w:color w:val="auto"/>
          <w:highlight w:val="none"/>
        </w:rPr>
        <w:t xml:space="preserve">3.3 </w:t>
      </w:r>
      <w:r>
        <w:rPr>
          <w:rFonts w:hint="eastAsia" w:cs="黑体"/>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_Toc29136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1248BB08">
      <w:pPr>
        <w:pStyle w:val="20"/>
        <w:tabs>
          <w:tab w:val="right" w:leader="dot" w:pos="8669"/>
        </w:tabs>
        <w:rPr>
          <w:color w:val="auto"/>
          <w:highlight w:val="none"/>
        </w:rPr>
      </w:pPr>
      <w:r>
        <w:rPr>
          <w:color w:val="auto"/>
          <w:highlight w:val="none"/>
        </w:rPr>
        <w:fldChar w:fldCharType="begin"/>
      </w:r>
      <w:r>
        <w:rPr>
          <w:color w:val="auto"/>
          <w:highlight w:val="none"/>
        </w:rPr>
        <w:instrText xml:space="preserve"> HYPERLINK \l _Toc6880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_Toc6880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244FE131">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_Toc10321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_Toc10321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19FB187C">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_Toc27080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_Toc27080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7B9498B2">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_Toc4213 </w:instrText>
      </w:r>
      <w:r>
        <w:rPr>
          <w:color w:val="auto"/>
          <w:highlight w:val="none"/>
        </w:rPr>
        <w:fldChar w:fldCharType="separate"/>
      </w: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_Toc4213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34585C3D">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_Toc4704 </w:instrText>
      </w:r>
      <w:r>
        <w:rPr>
          <w:color w:val="auto"/>
          <w:highlight w:val="none"/>
        </w:rPr>
        <w:fldChar w:fldCharType="separate"/>
      </w:r>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r>
        <w:rPr>
          <w:color w:val="auto"/>
          <w:highlight w:val="none"/>
        </w:rPr>
        <w:tab/>
      </w:r>
      <w:r>
        <w:rPr>
          <w:color w:val="auto"/>
          <w:highlight w:val="none"/>
        </w:rPr>
        <w:fldChar w:fldCharType="begin"/>
      </w:r>
      <w:r>
        <w:rPr>
          <w:color w:val="auto"/>
          <w:highlight w:val="none"/>
        </w:rPr>
        <w:instrText xml:space="preserve"> PAGEREF _Toc4704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11A7A003">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_Toc7212 </w:instrText>
      </w:r>
      <w:r>
        <w:rPr>
          <w:color w:val="auto"/>
          <w:highlight w:val="none"/>
        </w:rPr>
        <w:fldChar w:fldCharType="separate"/>
      </w:r>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r>
        <w:rPr>
          <w:color w:val="auto"/>
          <w:highlight w:val="none"/>
        </w:rPr>
        <w:tab/>
      </w:r>
      <w:r>
        <w:rPr>
          <w:color w:val="auto"/>
          <w:highlight w:val="none"/>
        </w:rPr>
        <w:fldChar w:fldCharType="begin"/>
      </w:r>
      <w:r>
        <w:rPr>
          <w:color w:val="auto"/>
          <w:highlight w:val="none"/>
        </w:rPr>
        <w:instrText xml:space="preserve"> PAGEREF _Toc7212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2AB05DDE">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_Toc15440 </w:instrText>
      </w:r>
      <w:r>
        <w:rPr>
          <w:color w:val="auto"/>
          <w:highlight w:val="none"/>
        </w:rPr>
        <w:fldChar w:fldCharType="separate"/>
      </w:r>
      <w:r>
        <w:rPr>
          <w:rFonts w:hint="eastAsia" w:hAnsi="宋体" w:cs="黑体"/>
          <w:color w:val="auto"/>
          <w:szCs w:val="30"/>
          <w:highlight w:val="none"/>
        </w:rPr>
        <w:t>第三部分</w:t>
      </w:r>
      <w:r>
        <w:rPr>
          <w:color w:val="auto"/>
          <w:szCs w:val="30"/>
          <w:highlight w:val="none"/>
        </w:rPr>
        <w:t xml:space="preserve"> </w:t>
      </w:r>
      <w:r>
        <w:rPr>
          <w:rFonts w:hint="eastAsia" w:hAnsi="宋体" w:cs="黑体"/>
          <w:color w:val="auto"/>
          <w:szCs w:val="30"/>
          <w:highlight w:val="none"/>
        </w:rPr>
        <w:t>专用合同条款</w:t>
      </w:r>
      <w:r>
        <w:rPr>
          <w:color w:val="auto"/>
          <w:highlight w:val="none"/>
        </w:rPr>
        <w:tab/>
      </w:r>
      <w:r>
        <w:rPr>
          <w:color w:val="auto"/>
          <w:highlight w:val="none"/>
        </w:rPr>
        <w:fldChar w:fldCharType="begin"/>
      </w:r>
      <w:r>
        <w:rPr>
          <w:color w:val="auto"/>
          <w:highlight w:val="none"/>
        </w:rPr>
        <w:instrText xml:space="preserve"> PAGEREF _Toc15440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6D8C333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_Toc7869 </w:instrText>
      </w:r>
      <w:r>
        <w:rPr>
          <w:color w:val="auto"/>
          <w:highlight w:val="none"/>
        </w:rPr>
        <w:fldChar w:fldCharType="separate"/>
      </w:r>
      <w:r>
        <w:rPr>
          <w:color w:val="auto"/>
          <w:highlight w:val="none"/>
        </w:rPr>
        <w:t xml:space="preserve">1. </w:t>
      </w:r>
      <w:r>
        <w:rPr>
          <w:rFonts w:hint="eastAsia" w:hAnsi="宋体" w:cs="黑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_Toc7869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14CC5704">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_Toc10918 </w:instrText>
      </w:r>
      <w:r>
        <w:rPr>
          <w:color w:val="auto"/>
          <w:highlight w:val="none"/>
        </w:rPr>
        <w:fldChar w:fldCharType="separate"/>
      </w:r>
      <w:r>
        <w:rPr>
          <w:color w:val="auto"/>
          <w:highlight w:val="none"/>
        </w:rPr>
        <w:t xml:space="preserve">2. </w:t>
      </w:r>
      <w:r>
        <w:rPr>
          <w:rFonts w:hint="eastAsia" w:hAnsi="宋体" w:cs="黑体"/>
          <w:color w:val="auto"/>
          <w:highlight w:val="none"/>
        </w:rPr>
        <w:t>发包人</w:t>
      </w:r>
      <w:r>
        <w:rPr>
          <w:color w:val="auto"/>
          <w:highlight w:val="none"/>
        </w:rPr>
        <w:tab/>
      </w:r>
      <w:r>
        <w:rPr>
          <w:color w:val="auto"/>
          <w:highlight w:val="none"/>
        </w:rPr>
        <w:fldChar w:fldCharType="begin"/>
      </w:r>
      <w:r>
        <w:rPr>
          <w:color w:val="auto"/>
          <w:highlight w:val="none"/>
        </w:rPr>
        <w:instrText xml:space="preserve"> PAGEREF _Toc10918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6AA3375B">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_Toc28432 </w:instrText>
      </w:r>
      <w:r>
        <w:rPr>
          <w:color w:val="auto"/>
          <w:highlight w:val="none"/>
        </w:rPr>
        <w:fldChar w:fldCharType="separate"/>
      </w:r>
      <w:r>
        <w:rPr>
          <w:color w:val="auto"/>
          <w:highlight w:val="none"/>
        </w:rPr>
        <w:t xml:space="preserve">3. </w:t>
      </w:r>
      <w:r>
        <w:rPr>
          <w:rFonts w:hint="eastAsia" w:hAnsi="宋体" w:cs="黑体"/>
          <w:color w:val="auto"/>
          <w:highlight w:val="none"/>
        </w:rPr>
        <w:t>承包人</w:t>
      </w:r>
      <w:r>
        <w:rPr>
          <w:color w:val="auto"/>
          <w:highlight w:val="none"/>
        </w:rPr>
        <w:tab/>
      </w:r>
      <w:r>
        <w:rPr>
          <w:color w:val="auto"/>
          <w:highlight w:val="none"/>
        </w:rPr>
        <w:fldChar w:fldCharType="begin"/>
      </w:r>
      <w:r>
        <w:rPr>
          <w:color w:val="auto"/>
          <w:highlight w:val="none"/>
        </w:rPr>
        <w:instrText xml:space="preserve"> PAGEREF _Toc28432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21692054">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_Toc17369 </w:instrText>
      </w:r>
      <w:r>
        <w:rPr>
          <w:color w:val="auto"/>
          <w:highlight w:val="none"/>
        </w:rPr>
        <w:fldChar w:fldCharType="separate"/>
      </w:r>
      <w:r>
        <w:rPr>
          <w:color w:val="auto"/>
          <w:highlight w:val="none"/>
        </w:rPr>
        <w:t xml:space="preserve">4. </w:t>
      </w:r>
      <w:r>
        <w:rPr>
          <w:rFonts w:hint="eastAsia" w:hAnsi="宋体" w:cs="黑体"/>
          <w:color w:val="auto"/>
          <w:highlight w:val="none"/>
        </w:rPr>
        <w:t>监理人</w:t>
      </w:r>
      <w:r>
        <w:rPr>
          <w:color w:val="auto"/>
          <w:highlight w:val="none"/>
        </w:rPr>
        <w:tab/>
      </w:r>
      <w:r>
        <w:rPr>
          <w:color w:val="auto"/>
          <w:highlight w:val="none"/>
        </w:rPr>
        <w:fldChar w:fldCharType="begin"/>
      </w:r>
      <w:r>
        <w:rPr>
          <w:color w:val="auto"/>
          <w:highlight w:val="none"/>
        </w:rPr>
        <w:instrText xml:space="preserve"> PAGEREF _Toc17369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28CE7A7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_Toc7948 </w:instrText>
      </w:r>
      <w:r>
        <w:rPr>
          <w:color w:val="auto"/>
          <w:highlight w:val="none"/>
        </w:rPr>
        <w:fldChar w:fldCharType="separate"/>
      </w:r>
      <w:r>
        <w:rPr>
          <w:color w:val="auto"/>
          <w:highlight w:val="none"/>
        </w:rPr>
        <w:t xml:space="preserve">5. </w:t>
      </w:r>
      <w:r>
        <w:rPr>
          <w:rFonts w:hint="eastAsia" w:hAnsi="宋体" w:cs="黑体"/>
          <w:color w:val="auto"/>
          <w:highlight w:val="none"/>
        </w:rPr>
        <w:t>工程质量</w:t>
      </w:r>
      <w:r>
        <w:rPr>
          <w:color w:val="auto"/>
          <w:highlight w:val="none"/>
        </w:rPr>
        <w:tab/>
      </w:r>
      <w:r>
        <w:rPr>
          <w:color w:val="auto"/>
          <w:highlight w:val="none"/>
        </w:rPr>
        <w:fldChar w:fldCharType="begin"/>
      </w:r>
      <w:r>
        <w:rPr>
          <w:color w:val="auto"/>
          <w:highlight w:val="none"/>
        </w:rPr>
        <w:instrText xml:space="preserve"> PAGEREF _Toc7948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3B56C45F">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_Toc12794 </w:instrText>
      </w:r>
      <w:r>
        <w:rPr>
          <w:color w:val="auto"/>
          <w:highlight w:val="none"/>
        </w:rPr>
        <w:fldChar w:fldCharType="separate"/>
      </w:r>
      <w:r>
        <w:rPr>
          <w:color w:val="auto"/>
          <w:highlight w:val="none"/>
        </w:rPr>
        <w:t xml:space="preserve">6. </w:t>
      </w:r>
      <w:r>
        <w:rPr>
          <w:rFonts w:hint="eastAsia" w:cs="黑体"/>
          <w:color w:val="auto"/>
          <w:highlight w:val="none"/>
        </w:rPr>
        <w:t>安全文明施工与环境保护</w:t>
      </w:r>
      <w:r>
        <w:rPr>
          <w:color w:val="auto"/>
          <w:highlight w:val="none"/>
        </w:rPr>
        <w:tab/>
      </w:r>
      <w:r>
        <w:rPr>
          <w:color w:val="auto"/>
          <w:highlight w:val="none"/>
        </w:rPr>
        <w:fldChar w:fldCharType="begin"/>
      </w:r>
      <w:r>
        <w:rPr>
          <w:color w:val="auto"/>
          <w:highlight w:val="none"/>
        </w:rPr>
        <w:instrText xml:space="preserve"> PAGEREF _Toc12794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06F368EA">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_Toc6691 </w:instrText>
      </w:r>
      <w:r>
        <w:rPr>
          <w:color w:val="auto"/>
          <w:highlight w:val="none"/>
        </w:rPr>
        <w:fldChar w:fldCharType="separate"/>
      </w:r>
      <w:r>
        <w:rPr>
          <w:color w:val="auto"/>
          <w:highlight w:val="none"/>
        </w:rPr>
        <w:t xml:space="preserve">7. </w:t>
      </w:r>
      <w:r>
        <w:rPr>
          <w:rFonts w:hint="eastAsia" w:cs="黑体"/>
          <w:color w:val="auto"/>
          <w:highlight w:val="none"/>
        </w:rPr>
        <w:t>工期和进度</w:t>
      </w:r>
      <w:r>
        <w:rPr>
          <w:color w:val="auto"/>
          <w:highlight w:val="none"/>
        </w:rPr>
        <w:tab/>
      </w:r>
      <w:r>
        <w:rPr>
          <w:color w:val="auto"/>
          <w:highlight w:val="none"/>
        </w:rPr>
        <w:fldChar w:fldCharType="begin"/>
      </w:r>
      <w:r>
        <w:rPr>
          <w:color w:val="auto"/>
          <w:highlight w:val="none"/>
        </w:rPr>
        <w:instrText xml:space="preserve"> PAGEREF _Toc6691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511DE648">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_Toc17641 </w:instrText>
      </w:r>
      <w:r>
        <w:rPr>
          <w:color w:val="auto"/>
          <w:highlight w:val="none"/>
        </w:rPr>
        <w:fldChar w:fldCharType="separate"/>
      </w:r>
      <w:r>
        <w:rPr>
          <w:color w:val="auto"/>
          <w:highlight w:val="none"/>
        </w:rPr>
        <w:t xml:space="preserve">8. </w:t>
      </w:r>
      <w:r>
        <w:rPr>
          <w:rFonts w:hint="eastAsia" w:cs="黑体"/>
          <w:color w:val="auto"/>
          <w:highlight w:val="none"/>
        </w:rPr>
        <w:t>材料与设备</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27A079B9">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_Toc27203 </w:instrText>
      </w:r>
      <w:r>
        <w:rPr>
          <w:color w:val="auto"/>
          <w:highlight w:val="none"/>
        </w:rPr>
        <w:fldChar w:fldCharType="separate"/>
      </w:r>
      <w:r>
        <w:rPr>
          <w:color w:val="auto"/>
          <w:highlight w:val="none"/>
        </w:rPr>
        <w:t xml:space="preserve">9. </w:t>
      </w:r>
      <w:r>
        <w:rPr>
          <w:rFonts w:hint="eastAsia" w:cs="黑体"/>
          <w:color w:val="auto"/>
          <w:highlight w:val="none"/>
        </w:rPr>
        <w:t>试验与检验</w:t>
      </w:r>
      <w:r>
        <w:rPr>
          <w:color w:val="auto"/>
          <w:highlight w:val="none"/>
        </w:rPr>
        <w:tab/>
      </w:r>
      <w:r>
        <w:rPr>
          <w:color w:val="auto"/>
          <w:highlight w:val="none"/>
        </w:rPr>
        <w:fldChar w:fldCharType="begin"/>
      </w:r>
      <w:r>
        <w:rPr>
          <w:color w:val="auto"/>
          <w:highlight w:val="none"/>
        </w:rPr>
        <w:instrText xml:space="preserve"> PAGEREF _Toc27203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18519F1A">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_Toc8753 </w:instrText>
      </w:r>
      <w:r>
        <w:rPr>
          <w:color w:val="auto"/>
          <w:highlight w:val="none"/>
        </w:rPr>
        <w:fldChar w:fldCharType="separate"/>
      </w:r>
      <w:r>
        <w:rPr>
          <w:color w:val="auto"/>
          <w:highlight w:val="none"/>
        </w:rPr>
        <w:t xml:space="preserve">10. </w:t>
      </w:r>
      <w:r>
        <w:rPr>
          <w:rFonts w:hint="eastAsia" w:hAnsi="宋体" w:cs="黑体"/>
          <w:color w:val="auto"/>
          <w:highlight w:val="none"/>
        </w:rPr>
        <w:t>变更</w:t>
      </w:r>
      <w:r>
        <w:rPr>
          <w:color w:val="auto"/>
          <w:highlight w:val="none"/>
        </w:rPr>
        <w:tab/>
      </w:r>
      <w:r>
        <w:rPr>
          <w:color w:val="auto"/>
          <w:highlight w:val="none"/>
        </w:rPr>
        <w:fldChar w:fldCharType="begin"/>
      </w:r>
      <w:r>
        <w:rPr>
          <w:color w:val="auto"/>
          <w:highlight w:val="none"/>
        </w:rPr>
        <w:instrText xml:space="preserve"> PAGEREF _Toc8753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7A144EEA">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_Toc16337 </w:instrText>
      </w:r>
      <w:r>
        <w:rPr>
          <w:color w:val="auto"/>
          <w:highlight w:val="none"/>
        </w:rPr>
        <w:fldChar w:fldCharType="separate"/>
      </w:r>
      <w:r>
        <w:rPr>
          <w:color w:val="auto"/>
          <w:highlight w:val="none"/>
        </w:rPr>
        <w:t xml:space="preserve">11. </w:t>
      </w:r>
      <w:r>
        <w:rPr>
          <w:rFonts w:hint="eastAsia" w:hAnsi="宋体" w:cs="黑体"/>
          <w:color w:val="auto"/>
          <w:highlight w:val="none"/>
        </w:rPr>
        <w:t>价格调整</w:t>
      </w:r>
      <w:r>
        <w:rPr>
          <w:color w:val="auto"/>
          <w:highlight w:val="none"/>
        </w:rPr>
        <w:tab/>
      </w:r>
      <w:r>
        <w:rPr>
          <w:color w:val="auto"/>
          <w:highlight w:val="none"/>
        </w:rPr>
        <w:fldChar w:fldCharType="begin"/>
      </w:r>
      <w:r>
        <w:rPr>
          <w:color w:val="auto"/>
          <w:highlight w:val="none"/>
        </w:rPr>
        <w:instrText xml:space="preserve"> PAGEREF _Toc16337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09A5137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_Toc15051 </w:instrText>
      </w:r>
      <w:r>
        <w:rPr>
          <w:color w:val="auto"/>
          <w:highlight w:val="none"/>
        </w:rPr>
        <w:fldChar w:fldCharType="separate"/>
      </w:r>
      <w:r>
        <w:rPr>
          <w:color w:val="auto"/>
          <w:highlight w:val="none"/>
        </w:rPr>
        <w:t xml:space="preserve">12. </w:t>
      </w:r>
      <w:r>
        <w:rPr>
          <w:rFonts w:hint="eastAsia" w:cs="黑体"/>
          <w:color w:val="auto"/>
          <w:highlight w:val="none"/>
        </w:rPr>
        <w:t>合同价格、计量与支付</w:t>
      </w:r>
      <w:r>
        <w:rPr>
          <w:color w:val="auto"/>
          <w:highlight w:val="none"/>
        </w:rPr>
        <w:tab/>
      </w:r>
      <w:r>
        <w:rPr>
          <w:color w:val="auto"/>
          <w:highlight w:val="none"/>
        </w:rPr>
        <w:fldChar w:fldCharType="begin"/>
      </w:r>
      <w:r>
        <w:rPr>
          <w:color w:val="auto"/>
          <w:highlight w:val="none"/>
        </w:rPr>
        <w:instrText xml:space="preserve"> PAGEREF _Toc15051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53427189">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_Toc29308 </w:instrText>
      </w:r>
      <w:r>
        <w:rPr>
          <w:color w:val="auto"/>
          <w:highlight w:val="none"/>
        </w:rPr>
        <w:fldChar w:fldCharType="separate"/>
      </w:r>
      <w:r>
        <w:rPr>
          <w:color w:val="auto"/>
          <w:highlight w:val="none"/>
        </w:rPr>
        <w:t xml:space="preserve">13. </w:t>
      </w:r>
      <w:r>
        <w:rPr>
          <w:rFonts w:hint="eastAsia" w:cs="黑体"/>
          <w:color w:val="auto"/>
          <w:highlight w:val="none"/>
        </w:rPr>
        <w:t>验收和工程试车</w:t>
      </w:r>
      <w:r>
        <w:rPr>
          <w:color w:val="auto"/>
          <w:highlight w:val="none"/>
        </w:rPr>
        <w:tab/>
      </w:r>
      <w:r>
        <w:rPr>
          <w:color w:val="auto"/>
          <w:highlight w:val="none"/>
        </w:rPr>
        <w:fldChar w:fldCharType="begin"/>
      </w:r>
      <w:r>
        <w:rPr>
          <w:color w:val="auto"/>
          <w:highlight w:val="none"/>
        </w:rPr>
        <w:instrText xml:space="preserve"> PAGEREF _Toc29308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46D77794">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_Toc24722 </w:instrText>
      </w:r>
      <w:r>
        <w:rPr>
          <w:color w:val="auto"/>
          <w:highlight w:val="none"/>
        </w:rPr>
        <w:fldChar w:fldCharType="separate"/>
      </w:r>
      <w:r>
        <w:rPr>
          <w:color w:val="auto"/>
          <w:highlight w:val="none"/>
        </w:rPr>
        <w:t xml:space="preserve">14. </w:t>
      </w:r>
      <w:r>
        <w:rPr>
          <w:rFonts w:hint="eastAsia" w:hAnsi="宋体" w:cs="黑体"/>
          <w:color w:val="auto"/>
          <w:highlight w:val="none"/>
        </w:rPr>
        <w:t>竣工结算</w:t>
      </w:r>
      <w:r>
        <w:rPr>
          <w:color w:val="auto"/>
          <w:highlight w:val="none"/>
        </w:rPr>
        <w:tab/>
      </w:r>
      <w:r>
        <w:rPr>
          <w:color w:val="auto"/>
          <w:highlight w:val="none"/>
        </w:rPr>
        <w:fldChar w:fldCharType="begin"/>
      </w:r>
      <w:r>
        <w:rPr>
          <w:color w:val="auto"/>
          <w:highlight w:val="none"/>
        </w:rPr>
        <w:instrText xml:space="preserve"> PAGEREF _Toc24722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7C15F655">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_Toc5429 </w:instrText>
      </w:r>
      <w:r>
        <w:rPr>
          <w:color w:val="auto"/>
          <w:highlight w:val="none"/>
        </w:rPr>
        <w:fldChar w:fldCharType="separate"/>
      </w:r>
      <w:r>
        <w:rPr>
          <w:color w:val="auto"/>
          <w:highlight w:val="none"/>
        </w:rPr>
        <w:t xml:space="preserve">15. </w:t>
      </w:r>
      <w:r>
        <w:rPr>
          <w:rFonts w:hint="eastAsia" w:cs="黑体"/>
          <w:color w:val="auto"/>
          <w:highlight w:val="none"/>
        </w:rPr>
        <w:t>缺陷责任期与保修</w:t>
      </w:r>
      <w:r>
        <w:rPr>
          <w:color w:val="auto"/>
          <w:highlight w:val="none"/>
        </w:rPr>
        <w:tab/>
      </w:r>
      <w:r>
        <w:rPr>
          <w:color w:val="auto"/>
          <w:highlight w:val="none"/>
        </w:rPr>
        <w:fldChar w:fldCharType="begin"/>
      </w:r>
      <w:r>
        <w:rPr>
          <w:color w:val="auto"/>
          <w:highlight w:val="none"/>
        </w:rPr>
        <w:instrText xml:space="preserve"> PAGEREF _Toc5429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1166CF13">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color w:val="auto"/>
          <w:highlight w:val="none"/>
        </w:rPr>
        <w:t xml:space="preserve">16. </w:t>
      </w:r>
      <w:r>
        <w:rPr>
          <w:rFonts w:hint="eastAsia" w:hAnsi="宋体" w:cs="黑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_Toc3143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2A7F1A8">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_Toc31157 </w:instrText>
      </w:r>
      <w:r>
        <w:rPr>
          <w:color w:val="auto"/>
          <w:highlight w:val="none"/>
        </w:rPr>
        <w:fldChar w:fldCharType="separate"/>
      </w:r>
      <w:r>
        <w:rPr>
          <w:color w:val="auto"/>
          <w:highlight w:val="none"/>
        </w:rPr>
        <w:t xml:space="preserve">17. </w:t>
      </w:r>
      <w:r>
        <w:rPr>
          <w:rFonts w:hint="eastAsia" w:hAnsi="宋体" w:cs="黑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_Toc31157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D4D0508">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_Toc30795 </w:instrText>
      </w:r>
      <w:r>
        <w:rPr>
          <w:color w:val="auto"/>
          <w:highlight w:val="none"/>
        </w:rPr>
        <w:fldChar w:fldCharType="separate"/>
      </w:r>
      <w:r>
        <w:rPr>
          <w:color w:val="auto"/>
          <w:highlight w:val="none"/>
        </w:rPr>
        <w:t xml:space="preserve">18. </w:t>
      </w:r>
      <w:r>
        <w:rPr>
          <w:rFonts w:hint="eastAsia" w:hAnsi="宋体" w:cs="黑体"/>
          <w:color w:val="auto"/>
          <w:highlight w:val="none"/>
        </w:rPr>
        <w:t>保险</w:t>
      </w:r>
      <w:r>
        <w:rPr>
          <w:color w:val="auto"/>
          <w:highlight w:val="none"/>
        </w:rPr>
        <w:tab/>
      </w:r>
      <w:r>
        <w:rPr>
          <w:color w:val="auto"/>
          <w:highlight w:val="none"/>
        </w:rPr>
        <w:fldChar w:fldCharType="begin"/>
      </w:r>
      <w:r>
        <w:rPr>
          <w:color w:val="auto"/>
          <w:highlight w:val="none"/>
        </w:rPr>
        <w:instrText xml:space="preserve"> PAGEREF _Toc30795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581A60D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_Toc17775 </w:instrText>
      </w:r>
      <w:r>
        <w:rPr>
          <w:color w:val="auto"/>
          <w:highlight w:val="none"/>
        </w:rPr>
        <w:fldChar w:fldCharType="separate"/>
      </w:r>
      <w:r>
        <w:rPr>
          <w:rFonts w:hint="eastAsia"/>
          <w:color w:val="auto"/>
          <w:highlight w:val="none"/>
        </w:rPr>
        <w:t>19.索赔</w:t>
      </w:r>
      <w:r>
        <w:rPr>
          <w:color w:val="auto"/>
          <w:highlight w:val="none"/>
        </w:rPr>
        <w:tab/>
      </w:r>
      <w:r>
        <w:rPr>
          <w:color w:val="auto"/>
          <w:highlight w:val="none"/>
        </w:rPr>
        <w:fldChar w:fldCharType="begin"/>
      </w:r>
      <w:r>
        <w:rPr>
          <w:color w:val="auto"/>
          <w:highlight w:val="none"/>
        </w:rPr>
        <w:instrText xml:space="preserve"> PAGEREF _Toc17775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094D0541">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_Toc20588 </w:instrText>
      </w:r>
      <w:r>
        <w:rPr>
          <w:color w:val="auto"/>
          <w:highlight w:val="none"/>
        </w:rPr>
        <w:fldChar w:fldCharType="separate"/>
      </w:r>
      <w:r>
        <w:rPr>
          <w:color w:val="auto"/>
          <w:highlight w:val="none"/>
        </w:rPr>
        <w:t xml:space="preserve">20. </w:t>
      </w:r>
      <w:r>
        <w:rPr>
          <w:rFonts w:hint="eastAsia" w:hAnsi="宋体" w:cs="黑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_Toc20588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01995388">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_Toc13010 </w:instrText>
      </w:r>
      <w:r>
        <w:rPr>
          <w:color w:val="auto"/>
          <w:highlight w:val="none"/>
        </w:rPr>
        <w:fldChar w:fldCharType="separate"/>
      </w:r>
      <w:r>
        <w:rPr>
          <w:rFonts w:hint="eastAsia" w:cs="黑体"/>
          <w:color w:val="auto"/>
          <w:highlight w:val="none"/>
        </w:rPr>
        <w:t>第五章</w:t>
      </w:r>
      <w:r>
        <w:rPr>
          <w:color w:val="auto"/>
          <w:highlight w:val="none"/>
        </w:rPr>
        <w:t xml:space="preserve"> </w:t>
      </w:r>
      <w:r>
        <w:rPr>
          <w:rFonts w:hint="eastAsia" w:cs="黑体"/>
          <w:color w:val="auto"/>
          <w:highlight w:val="none"/>
        </w:rPr>
        <w:t>工程量清单</w:t>
      </w:r>
      <w:r>
        <w:rPr>
          <w:color w:val="auto"/>
          <w:highlight w:val="none"/>
        </w:rPr>
        <w:tab/>
      </w:r>
      <w:r>
        <w:rPr>
          <w:color w:val="auto"/>
          <w:highlight w:val="none"/>
        </w:rPr>
        <w:fldChar w:fldCharType="begin"/>
      </w:r>
      <w:r>
        <w:rPr>
          <w:color w:val="auto"/>
          <w:highlight w:val="none"/>
        </w:rPr>
        <w:instrText xml:space="preserve"> PAGEREF _Toc13010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20919FC6">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_Toc23613 </w:instrText>
      </w:r>
      <w:r>
        <w:rPr>
          <w:color w:val="auto"/>
          <w:highlight w:val="none"/>
        </w:rPr>
        <w:fldChar w:fldCharType="separate"/>
      </w:r>
      <w:r>
        <w:rPr>
          <w:color w:val="auto"/>
          <w:highlight w:val="none"/>
        </w:rPr>
        <w:t xml:space="preserve">1 </w:t>
      </w:r>
      <w:r>
        <w:rPr>
          <w:rFonts w:hint="eastAsia" w:cs="黑体"/>
          <w:color w:val="auto"/>
          <w:highlight w:val="none"/>
        </w:rPr>
        <w:t>工程量清单编制说明</w:t>
      </w:r>
      <w:r>
        <w:rPr>
          <w:color w:val="auto"/>
          <w:highlight w:val="none"/>
        </w:rPr>
        <w:tab/>
      </w:r>
      <w:r>
        <w:rPr>
          <w:color w:val="auto"/>
          <w:highlight w:val="none"/>
        </w:rPr>
        <w:fldChar w:fldCharType="begin"/>
      </w:r>
      <w:r>
        <w:rPr>
          <w:color w:val="auto"/>
          <w:highlight w:val="none"/>
        </w:rPr>
        <w:instrText xml:space="preserve"> PAGEREF _Toc23613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496C4EC3">
      <w:pPr>
        <w:pStyle w:val="33"/>
        <w:tabs>
          <w:tab w:val="right" w:leader="dot" w:pos="8669"/>
        </w:tabs>
        <w:rPr>
          <w:color w:val="auto"/>
          <w:highlight w:val="none"/>
        </w:rPr>
      </w:pPr>
      <w:r>
        <w:rPr>
          <w:color w:val="auto"/>
          <w:highlight w:val="none"/>
        </w:rPr>
        <w:fldChar w:fldCharType="begin"/>
      </w:r>
      <w:r>
        <w:rPr>
          <w:color w:val="auto"/>
          <w:highlight w:val="none"/>
        </w:rPr>
        <w:instrText xml:space="preserve"> HYPERLINK \l _Toc24340 </w:instrText>
      </w:r>
      <w:r>
        <w:rPr>
          <w:color w:val="auto"/>
          <w:highlight w:val="none"/>
        </w:rPr>
        <w:fldChar w:fldCharType="separate"/>
      </w:r>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r>
        <w:rPr>
          <w:color w:val="auto"/>
          <w:highlight w:val="none"/>
        </w:rPr>
        <w:tab/>
      </w:r>
      <w:r>
        <w:rPr>
          <w:color w:val="auto"/>
          <w:highlight w:val="none"/>
        </w:rPr>
        <w:fldChar w:fldCharType="begin"/>
      </w:r>
      <w:r>
        <w:rPr>
          <w:color w:val="auto"/>
          <w:highlight w:val="none"/>
        </w:rPr>
        <w:instrText xml:space="preserve"> PAGEREF _Toc24340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6374ADF2">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_Toc30713 </w:instrText>
      </w:r>
      <w:r>
        <w:rPr>
          <w:color w:val="auto"/>
          <w:highlight w:val="none"/>
        </w:rPr>
        <w:fldChar w:fldCharType="separate"/>
      </w:r>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r>
        <w:rPr>
          <w:color w:val="auto"/>
          <w:highlight w:val="none"/>
        </w:rPr>
        <w:tab/>
      </w:r>
      <w:r>
        <w:rPr>
          <w:color w:val="auto"/>
          <w:highlight w:val="none"/>
        </w:rPr>
        <w:fldChar w:fldCharType="begin"/>
      </w:r>
      <w:r>
        <w:rPr>
          <w:color w:val="auto"/>
          <w:highlight w:val="none"/>
        </w:rPr>
        <w:instrText xml:space="preserve"> PAGEREF _Toc30713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06EB1EDA">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_Toc11521 </w:instrText>
      </w:r>
      <w:r>
        <w:rPr>
          <w:color w:val="auto"/>
          <w:highlight w:val="none"/>
        </w:rPr>
        <w:fldChar w:fldCharType="separate"/>
      </w:r>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r>
        <w:rPr>
          <w:color w:val="auto"/>
          <w:highlight w:val="none"/>
        </w:rPr>
        <w:tab/>
      </w:r>
      <w:r>
        <w:rPr>
          <w:color w:val="auto"/>
          <w:highlight w:val="none"/>
        </w:rPr>
        <w:fldChar w:fldCharType="begin"/>
      </w:r>
      <w:r>
        <w:rPr>
          <w:color w:val="auto"/>
          <w:highlight w:val="none"/>
        </w:rPr>
        <w:instrText xml:space="preserve"> PAGEREF _Toc11521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1B39E701">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_Toc8947 </w:instrText>
      </w:r>
      <w:r>
        <w:rPr>
          <w:color w:val="auto"/>
          <w:highlight w:val="none"/>
        </w:rPr>
        <w:fldChar w:fldCharType="separate"/>
      </w:r>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_Toc8947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26EF98FA">
      <w:pPr>
        <w:pStyle w:val="28"/>
        <w:tabs>
          <w:tab w:val="right" w:leader="dot" w:pos="8669"/>
        </w:tabs>
        <w:rPr>
          <w:color w:val="auto"/>
          <w:highlight w:val="none"/>
        </w:rPr>
      </w:pPr>
      <w:r>
        <w:rPr>
          <w:color w:val="auto"/>
          <w:highlight w:val="none"/>
        </w:rPr>
        <w:fldChar w:fldCharType="begin"/>
      </w:r>
      <w:r>
        <w:rPr>
          <w:color w:val="auto"/>
          <w:highlight w:val="none"/>
        </w:rPr>
        <w:instrText xml:space="preserve"> HYPERLINK \l _Toc1391 </w:instrText>
      </w:r>
      <w:r>
        <w:rPr>
          <w:color w:val="auto"/>
          <w:highlight w:val="none"/>
        </w:rPr>
        <w:fldChar w:fldCharType="separate"/>
      </w:r>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_Toc1391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55A33C8B">
      <w:pPr>
        <w:pStyle w:val="20"/>
        <w:tabs>
          <w:tab w:val="right" w:leader="dot" w:pos="8669"/>
        </w:tabs>
        <w:ind w:left="420" w:leftChars="200" w:firstLine="0" w:firstLineChars="0"/>
        <w:rPr>
          <w:color w:val="auto"/>
          <w:highlight w:val="none"/>
        </w:rPr>
      </w:pPr>
      <w:r>
        <w:rPr>
          <w:color w:val="auto"/>
          <w:highlight w:val="none"/>
        </w:rPr>
        <w:fldChar w:fldCharType="begin"/>
      </w:r>
      <w:r>
        <w:rPr>
          <w:color w:val="auto"/>
          <w:highlight w:val="none"/>
        </w:rPr>
        <w:instrText xml:space="preserve"> HYPERLINK \l _Toc18100 </w:instrText>
      </w:r>
      <w:r>
        <w:rPr>
          <w:color w:val="auto"/>
          <w:highlight w:val="none"/>
        </w:rPr>
        <w:fldChar w:fldCharType="separate"/>
      </w:r>
      <w:r>
        <w:rPr>
          <w:rFonts w:hint="eastAsia"/>
          <w:color w:val="auto"/>
          <w:szCs w:val="21"/>
          <w:highlight w:val="none"/>
          <w:lang w:val="en-US" w:eastAsia="zh-CN"/>
        </w:rPr>
        <w:t>1投标报价要求</w:t>
      </w:r>
      <w:r>
        <w:rPr>
          <w:color w:val="auto"/>
          <w:highlight w:val="none"/>
        </w:rPr>
        <w:tab/>
      </w:r>
      <w:r>
        <w:rPr>
          <w:color w:val="auto"/>
          <w:highlight w:val="none"/>
        </w:rPr>
        <w:fldChar w:fldCharType="begin"/>
      </w:r>
      <w:r>
        <w:rPr>
          <w:color w:val="auto"/>
          <w:highlight w:val="none"/>
        </w:rPr>
        <w:instrText xml:space="preserve"> PAGEREF _Toc18100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14:paraId="5FD5B8A4">
      <w:pPr>
        <w:pStyle w:val="20"/>
        <w:tabs>
          <w:tab w:val="right" w:leader="dot" w:pos="8669"/>
        </w:tabs>
        <w:ind w:left="420" w:leftChars="200" w:firstLine="0" w:firstLineChars="0"/>
        <w:rPr>
          <w:color w:val="auto"/>
          <w:highlight w:val="none"/>
        </w:rPr>
      </w:pPr>
      <w:r>
        <w:rPr>
          <w:color w:val="auto"/>
          <w:highlight w:val="none"/>
        </w:rPr>
        <w:fldChar w:fldCharType="begin"/>
      </w:r>
      <w:r>
        <w:rPr>
          <w:color w:val="auto"/>
          <w:highlight w:val="none"/>
        </w:rPr>
        <w:instrText xml:space="preserve"> HYPERLINK \l _Toc26532 </w:instrText>
      </w:r>
      <w:r>
        <w:rPr>
          <w:color w:val="auto"/>
          <w:highlight w:val="none"/>
        </w:rPr>
        <w:fldChar w:fldCharType="separate"/>
      </w:r>
      <w:r>
        <w:rPr>
          <w:rFonts w:hint="eastAsia" w:cs="宋体"/>
          <w:color w:val="auto"/>
          <w:szCs w:val="21"/>
          <w:highlight w:val="none"/>
          <w:lang w:val="en-US" w:eastAsia="zh-CN"/>
        </w:rPr>
        <w:t>2投标报价格式</w:t>
      </w:r>
      <w:r>
        <w:rPr>
          <w:color w:val="auto"/>
          <w:highlight w:val="none"/>
        </w:rPr>
        <w:tab/>
      </w:r>
      <w:r>
        <w:rPr>
          <w:color w:val="auto"/>
          <w:highlight w:val="none"/>
        </w:rPr>
        <w:fldChar w:fldCharType="begin"/>
      </w:r>
      <w:r>
        <w:rPr>
          <w:color w:val="auto"/>
          <w:highlight w:val="none"/>
        </w:rPr>
        <w:instrText xml:space="preserve"> PAGEREF _Toc26532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14:paraId="21948A3A">
      <w:pPr>
        <w:rPr>
          <w:color w:val="auto"/>
          <w:highlight w:val="none"/>
        </w:rPr>
      </w:pPr>
      <w:r>
        <w:rPr>
          <w:color w:val="auto"/>
          <w:highlight w:val="none"/>
        </w:rPr>
        <w:fldChar w:fldCharType="end"/>
      </w:r>
    </w:p>
    <w:p w14:paraId="7D3FFC89">
      <w:pPr>
        <w:rPr>
          <w:color w:val="auto"/>
          <w:highlight w:val="none"/>
        </w:rPr>
        <w:sectPr>
          <w:footerReference r:id="rId3" w:type="default"/>
          <w:pgSz w:w="11906" w:h="16838"/>
          <w:pgMar w:top="1440" w:right="1440" w:bottom="1440" w:left="1797" w:header="851" w:footer="851" w:gutter="0"/>
          <w:pgNumType w:fmt="upperRoman"/>
          <w:cols w:space="720" w:num="1"/>
          <w:docGrid w:linePitch="312" w:charSpace="0"/>
        </w:sectPr>
      </w:pPr>
      <w:r>
        <w:rPr>
          <w:color w:val="auto"/>
          <w:highlight w:val="none"/>
        </w:rPr>
        <w:t xml:space="preserve">   </w:t>
      </w:r>
    </w:p>
    <w:p w14:paraId="7119E7EC">
      <w:pPr>
        <w:pStyle w:val="2"/>
        <w:jc w:val="center"/>
        <w:rPr>
          <w:color w:val="auto"/>
          <w:highlight w:val="none"/>
        </w:rPr>
      </w:pPr>
      <w:bookmarkStart w:id="0" w:name="_Toc389065120"/>
      <w:bookmarkStart w:id="1" w:name="_Toc407135048"/>
      <w:bookmarkStart w:id="2" w:name="_Toc78449593"/>
      <w:bookmarkStart w:id="3" w:name="_Toc1633742230"/>
      <w:bookmarkStart w:id="4" w:name="_Toc27500"/>
      <w:r>
        <w:rPr>
          <w:rFonts w:hint="eastAsia" w:cs="黑体"/>
          <w:color w:val="auto"/>
          <w:highlight w:val="none"/>
        </w:rPr>
        <w:t>第一章</w:t>
      </w:r>
      <w:r>
        <w:rPr>
          <w:color w:val="auto"/>
          <w:highlight w:val="none"/>
        </w:rPr>
        <w:t xml:space="preserve">  </w:t>
      </w:r>
      <w:r>
        <w:rPr>
          <w:rFonts w:hint="eastAsia" w:cs="黑体"/>
          <w:color w:val="auto"/>
          <w:highlight w:val="none"/>
        </w:rPr>
        <w:t>招标公告</w:t>
      </w:r>
      <w:bookmarkEnd w:id="0"/>
      <w:bookmarkEnd w:id="1"/>
      <w:bookmarkEnd w:id="2"/>
      <w:bookmarkEnd w:id="3"/>
      <w:bookmarkEnd w:id="4"/>
    </w:p>
    <w:p w14:paraId="107A4CAB">
      <w:pPr>
        <w:ind w:firstLine="435"/>
        <w:rPr>
          <w:color w:val="auto"/>
          <w:highlight w:val="none"/>
        </w:rPr>
      </w:pPr>
    </w:p>
    <w:p w14:paraId="5A30D29B">
      <w:pPr>
        <w:spacing w:line="360" w:lineRule="auto"/>
        <w:ind w:firstLine="562" w:firstLineChars="200"/>
        <w:jc w:val="center"/>
        <w:rPr>
          <w:rFonts w:cs="宋体"/>
          <w:b/>
          <w:color w:val="auto"/>
          <w:sz w:val="28"/>
          <w:szCs w:val="28"/>
          <w:highlight w:val="none"/>
        </w:rPr>
      </w:pPr>
      <w:bookmarkStart w:id="5" w:name="_Toc389065121"/>
      <w:r>
        <w:rPr>
          <w:rFonts w:hint="eastAsia" w:cs="宋体"/>
          <w:b/>
          <w:color w:val="auto"/>
          <w:sz w:val="28"/>
          <w:szCs w:val="28"/>
          <w:highlight w:val="none"/>
          <w:u w:val="single"/>
        </w:rPr>
        <w:t>（</w:t>
      </w:r>
      <w:r>
        <w:rPr>
          <w:rFonts w:hint="eastAsia" w:cs="宋体"/>
          <w:b/>
          <w:color w:val="auto"/>
          <w:sz w:val="28"/>
          <w:szCs w:val="28"/>
          <w:highlight w:val="none"/>
          <w:u w:val="single"/>
          <w:lang w:val="en-US" w:eastAsia="zh-CN"/>
        </w:rPr>
        <w:t>招标</w:t>
      </w:r>
      <w:r>
        <w:rPr>
          <w:rFonts w:hint="eastAsia" w:cs="宋体"/>
          <w:b/>
          <w:color w:val="auto"/>
          <w:sz w:val="28"/>
          <w:szCs w:val="28"/>
          <w:highlight w:val="none"/>
          <w:u w:val="single"/>
        </w:rPr>
        <w:t>项目名称）</w:t>
      </w:r>
      <w:r>
        <w:rPr>
          <w:rFonts w:cs="宋体"/>
          <w:b/>
          <w:color w:val="auto"/>
          <w:sz w:val="28"/>
          <w:szCs w:val="28"/>
          <w:highlight w:val="none"/>
          <w:u w:val="single"/>
        </w:rPr>
        <w:t xml:space="preserve">       </w:t>
      </w:r>
      <w:r>
        <w:rPr>
          <w:rFonts w:hint="eastAsia" w:cs="宋体"/>
          <w:b/>
          <w:color w:val="auto"/>
          <w:sz w:val="28"/>
          <w:szCs w:val="28"/>
          <w:highlight w:val="none"/>
        </w:rPr>
        <w:t>施工招标公告</w:t>
      </w:r>
      <w:bookmarkEnd w:id="5"/>
    </w:p>
    <w:p w14:paraId="62CAB88C">
      <w:pPr>
        <w:spacing w:line="360" w:lineRule="auto"/>
        <w:rPr>
          <w:color w:val="auto"/>
          <w:highlight w:val="none"/>
        </w:rPr>
      </w:pPr>
    </w:p>
    <w:p w14:paraId="374229DB">
      <w:pPr>
        <w:pStyle w:val="3"/>
        <w:rPr>
          <w:color w:val="auto"/>
          <w:highlight w:val="none"/>
        </w:rPr>
      </w:pPr>
      <w:bookmarkStart w:id="6" w:name="_Toc30779"/>
      <w:bookmarkStart w:id="7" w:name="_Toc407135049"/>
      <w:bookmarkStart w:id="8" w:name="_Toc760041246"/>
      <w:bookmarkStart w:id="9" w:name="_Toc78449594"/>
      <w:bookmarkStart w:id="10" w:name="_Toc389065122"/>
      <w:r>
        <w:rPr>
          <w:color w:val="auto"/>
          <w:highlight w:val="none"/>
        </w:rPr>
        <w:t xml:space="preserve">1. </w:t>
      </w:r>
      <w:r>
        <w:rPr>
          <w:rFonts w:hint="eastAsia" w:cs="黑体"/>
          <w:color w:val="auto"/>
          <w:highlight w:val="none"/>
        </w:rPr>
        <w:t>招标条件</w:t>
      </w:r>
      <w:bookmarkEnd w:id="6"/>
      <w:bookmarkEnd w:id="7"/>
      <w:bookmarkEnd w:id="8"/>
      <w:bookmarkEnd w:id="9"/>
      <w:bookmarkEnd w:id="10"/>
    </w:p>
    <w:p w14:paraId="6D8759D5">
      <w:pPr>
        <w:spacing w:line="360" w:lineRule="auto"/>
        <w:ind w:firstLine="420" w:firstLineChars="200"/>
        <w:rPr>
          <w:color w:val="auto"/>
          <w:highlight w:val="none"/>
        </w:rPr>
      </w:pPr>
      <w:r>
        <w:rPr>
          <w:rFonts w:hint="eastAsia" w:cs="宋体"/>
          <w:color w:val="auto"/>
          <w:highlight w:val="none"/>
        </w:rPr>
        <w:t>本项目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项目名称）已由</w:t>
      </w:r>
      <w:r>
        <w:rPr>
          <w:color w:val="auto"/>
          <w:highlight w:val="none"/>
          <w:u w:val="single"/>
        </w:rPr>
        <w:t xml:space="preserve">                 </w:t>
      </w:r>
      <w:r>
        <w:rPr>
          <w:rFonts w:hint="eastAsia" w:cs="宋体"/>
          <w:color w:val="auto"/>
          <w:highlight w:val="none"/>
        </w:rPr>
        <w:t>（项目审批、核准或备案机关名称）以</w:t>
      </w:r>
      <w:r>
        <w:rPr>
          <w:color w:val="auto"/>
          <w:highlight w:val="none"/>
          <w:u w:val="single"/>
        </w:rPr>
        <w:t xml:space="preserve">               </w:t>
      </w:r>
      <w:r>
        <w:rPr>
          <w:rFonts w:hint="eastAsia" w:cs="宋体"/>
          <w:color w:val="auto"/>
          <w:highlight w:val="none"/>
        </w:rPr>
        <w:t>（</w:t>
      </w:r>
      <w:r>
        <w:rPr>
          <w:rFonts w:hint="eastAsia" w:ascii="仿宋_GB2312" w:hAnsi="宋体" w:cs="宋体"/>
          <w:color w:val="auto"/>
          <w:highlight w:val="none"/>
        </w:rPr>
        <w:t>批文名称、文号、项目代码</w:t>
      </w:r>
      <w:r>
        <w:rPr>
          <w:rFonts w:hint="eastAsia" w:cs="宋体"/>
          <w:color w:val="auto"/>
          <w:highlight w:val="none"/>
        </w:rPr>
        <w:t>）批准建设，招标人（项目业主）为</w:t>
      </w:r>
      <w:r>
        <w:rPr>
          <w:color w:val="auto"/>
          <w:highlight w:val="none"/>
          <w:u w:val="single"/>
        </w:rPr>
        <w:t xml:space="preserve">                 </w:t>
      </w:r>
      <w:r>
        <w:rPr>
          <w:rFonts w:hint="eastAsia" w:cs="宋体"/>
          <w:color w:val="auto"/>
          <w:highlight w:val="none"/>
        </w:rPr>
        <w:t>，建设资金来自</w:t>
      </w:r>
      <w:r>
        <w:rPr>
          <w:color w:val="auto"/>
          <w:highlight w:val="none"/>
          <w:u w:val="single"/>
        </w:rPr>
        <w:t xml:space="preserve">             </w:t>
      </w:r>
      <w:r>
        <w:rPr>
          <w:rFonts w:hint="eastAsia" w:cs="宋体"/>
          <w:color w:val="auto"/>
          <w:highlight w:val="none"/>
        </w:rPr>
        <w:t>（资金来源），项目出资比例为</w:t>
      </w:r>
      <w:r>
        <w:rPr>
          <w:color w:val="auto"/>
          <w:highlight w:val="none"/>
          <w:u w:val="single"/>
        </w:rPr>
        <w:t xml:space="preserve">             </w:t>
      </w:r>
      <w:r>
        <w:rPr>
          <w:rFonts w:hint="eastAsia" w:cs="宋体"/>
          <w:color w:val="auto"/>
          <w:highlight w:val="none"/>
        </w:rPr>
        <w:t>。项目已具备招标条件，现对</w:t>
      </w:r>
      <w:r>
        <w:rPr>
          <w:rFonts w:hint="eastAsia" w:cs="宋体"/>
          <w:color w:val="auto"/>
          <w:highlight w:val="none"/>
          <w:u w:val="single"/>
          <w:lang w:val="en-US" w:eastAsia="zh-CN"/>
        </w:rPr>
        <w:t>该项目的施工</w:t>
      </w:r>
      <w:r>
        <w:rPr>
          <w:rFonts w:hint="eastAsia" w:cs="宋体"/>
          <w:color w:val="auto"/>
          <w:highlight w:val="none"/>
        </w:rPr>
        <w:t>进行公开招标。</w:t>
      </w:r>
    </w:p>
    <w:p w14:paraId="1898B8BB">
      <w:pPr>
        <w:pStyle w:val="3"/>
        <w:rPr>
          <w:rFonts w:hint="eastAsia" w:eastAsia="黑体"/>
          <w:color w:val="auto"/>
          <w:highlight w:val="none"/>
          <w:lang w:eastAsia="zh-CN"/>
        </w:rPr>
      </w:pPr>
      <w:bookmarkStart w:id="11" w:name="_Toc1518967589"/>
      <w:bookmarkStart w:id="12" w:name="_Toc78449595"/>
      <w:bookmarkStart w:id="13" w:name="_Toc389065123"/>
      <w:bookmarkStart w:id="14" w:name="_Toc407135050"/>
      <w:bookmarkStart w:id="15" w:name="_Toc24390"/>
      <w:r>
        <w:rPr>
          <w:color w:val="auto"/>
          <w:highlight w:val="none"/>
        </w:rPr>
        <w:t xml:space="preserve">2. </w:t>
      </w:r>
      <w:bookmarkEnd w:id="11"/>
      <w:bookmarkEnd w:id="12"/>
      <w:bookmarkEnd w:id="13"/>
      <w:bookmarkEnd w:id="14"/>
      <w:r>
        <w:rPr>
          <w:rFonts w:hint="eastAsia" w:cs="黑体"/>
          <w:color w:val="auto"/>
          <w:highlight w:val="none"/>
          <w:lang w:eastAsia="zh-CN"/>
        </w:rPr>
        <w:t>招标项目概况与招标范围</w:t>
      </w:r>
      <w:bookmarkEnd w:id="15"/>
    </w:p>
    <w:p w14:paraId="072636C5">
      <w:pPr>
        <w:spacing w:line="360" w:lineRule="auto"/>
        <w:ind w:firstLine="420" w:firstLineChars="200"/>
        <w:rPr>
          <w:color w:val="auto"/>
          <w:highlight w:val="non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48A31236">
      <w:pPr>
        <w:spacing w:line="360" w:lineRule="auto"/>
        <w:ind w:firstLine="420" w:firstLineChars="200"/>
        <w:rPr>
          <w:color w:val="auto"/>
          <w:highlight w:val="none"/>
          <w:u w:val="single"/>
        </w:rPr>
      </w:pPr>
      <w:r>
        <w:rPr>
          <w:rFonts w:hint="eastAsia" w:cs="宋体"/>
          <w:color w:val="auto"/>
          <w:highlight w:val="none"/>
        </w:rPr>
        <w:t>建设地点：</w:t>
      </w:r>
      <w:r>
        <w:rPr>
          <w:color w:val="auto"/>
          <w:highlight w:val="none"/>
          <w:u w:val="single"/>
        </w:rPr>
        <w:t xml:space="preserve">                                 </w:t>
      </w:r>
    </w:p>
    <w:p w14:paraId="38B6135D">
      <w:pPr>
        <w:spacing w:line="360" w:lineRule="auto"/>
        <w:ind w:firstLine="420" w:firstLineChars="200"/>
        <w:rPr>
          <w:color w:val="auto"/>
          <w:highlight w:val="none"/>
          <w:u w:val="single"/>
        </w:rPr>
      </w:pPr>
      <w:r>
        <w:rPr>
          <w:rFonts w:hint="eastAsia" w:cs="宋体"/>
          <w:color w:val="auto"/>
          <w:highlight w:val="none"/>
        </w:rPr>
        <w:t>建设规模：</w:t>
      </w:r>
      <w:r>
        <w:rPr>
          <w:color w:val="auto"/>
          <w:highlight w:val="none"/>
          <w:u w:val="single"/>
        </w:rPr>
        <w:t xml:space="preserve">                                 </w:t>
      </w:r>
    </w:p>
    <w:p w14:paraId="71A14BD9">
      <w:pPr>
        <w:spacing w:line="360" w:lineRule="auto"/>
        <w:ind w:firstLine="420" w:firstLineChars="200"/>
        <w:rPr>
          <w:color w:val="auto"/>
          <w:highlight w:val="none"/>
          <w:u w:val="single"/>
        </w:rPr>
      </w:pPr>
      <w:r>
        <w:rPr>
          <w:rFonts w:hint="eastAsia" w:cs="宋体"/>
          <w:color w:val="auto"/>
          <w:highlight w:val="none"/>
        </w:rPr>
        <w:t>合同估算价：</w:t>
      </w:r>
      <w:r>
        <w:rPr>
          <w:color w:val="auto"/>
          <w:highlight w:val="none"/>
          <w:u w:val="single"/>
        </w:rPr>
        <w:t xml:space="preserve">                               </w:t>
      </w:r>
    </w:p>
    <w:p w14:paraId="6F5BBB47">
      <w:pPr>
        <w:spacing w:line="360" w:lineRule="auto"/>
        <w:ind w:firstLine="420" w:firstLineChars="200"/>
        <w:rPr>
          <w:b/>
          <w:bCs/>
          <w:color w:val="auto"/>
          <w:highlight w:val="none"/>
        </w:rPr>
      </w:pPr>
      <w:r>
        <w:rPr>
          <w:rFonts w:hint="eastAsia" w:cs="宋体"/>
          <w:color w:val="auto"/>
          <w:highlight w:val="none"/>
        </w:rPr>
        <w:t>要求工期：</w:t>
      </w:r>
      <w:r>
        <w:rPr>
          <w:color w:val="auto"/>
          <w:highlight w:val="none"/>
          <w:u w:val="single"/>
        </w:rPr>
        <w:t xml:space="preserve">        </w:t>
      </w:r>
      <w:r>
        <w:rPr>
          <w:rFonts w:hint="eastAsia" w:cs="宋体"/>
          <w:color w:val="auto"/>
          <w:highlight w:val="none"/>
        </w:rPr>
        <w:t>日历天，</w:t>
      </w:r>
      <w:r>
        <w:rPr>
          <w:rFonts w:hint="eastAsia" w:cs="宋体"/>
          <w:color w:val="auto"/>
          <w:highlight w:val="none"/>
        </w:rPr>
        <w:t>定额工期</w:t>
      </w:r>
      <w:r>
        <w:rPr>
          <w:color w:val="auto"/>
          <w:highlight w:val="none"/>
          <w:u w:val="single"/>
        </w:rPr>
        <w:t xml:space="preserve">       </w:t>
      </w:r>
      <w:r>
        <w:rPr>
          <w:rFonts w:hint="eastAsia" w:cs="宋体"/>
          <w:color w:val="auto"/>
          <w:highlight w:val="none"/>
        </w:rPr>
        <w:t>日历天</w:t>
      </w:r>
      <w:r>
        <w:rPr>
          <w:rFonts w:hint="eastAsia" w:cs="宋体"/>
          <w:color w:val="auto"/>
          <w:highlight w:val="none"/>
          <w:lang w:eastAsia="zh-CN"/>
        </w:rPr>
        <w:t>。</w:t>
      </w:r>
    </w:p>
    <w:p w14:paraId="2EC4A36E">
      <w:pPr>
        <w:spacing w:line="360" w:lineRule="auto"/>
        <w:ind w:firstLine="420" w:firstLineChars="200"/>
        <w:rPr>
          <w:color w:val="auto"/>
          <w:highlight w:val="none"/>
          <w:u w:val="single"/>
        </w:rPr>
      </w:pPr>
      <w:r>
        <w:rPr>
          <w:rFonts w:hint="eastAsia" w:cs="宋体"/>
          <w:color w:val="auto"/>
          <w:highlight w:val="none"/>
        </w:rPr>
        <w:t>招标范围：</w:t>
      </w:r>
      <w:r>
        <w:rPr>
          <w:color w:val="auto"/>
          <w:highlight w:val="none"/>
        </w:rPr>
        <w:t xml:space="preserve"> </w:t>
      </w:r>
      <w:r>
        <w:rPr>
          <w:color w:val="auto"/>
          <w:highlight w:val="none"/>
          <w:u w:val="single"/>
        </w:rPr>
        <w:t xml:space="preserve">                                </w:t>
      </w:r>
    </w:p>
    <w:p w14:paraId="3E1B665C">
      <w:pPr>
        <w:spacing w:line="360" w:lineRule="auto"/>
        <w:ind w:firstLine="420" w:firstLineChars="200"/>
        <w:rPr>
          <w:color w:val="auto"/>
          <w:highlight w:val="none"/>
          <w:u w:val="single"/>
        </w:rPr>
      </w:pPr>
      <w:r>
        <w:rPr>
          <w:rFonts w:hint="eastAsia" w:cs="宋体"/>
          <w:color w:val="auto"/>
          <w:highlight w:val="none"/>
        </w:rPr>
        <w:t>标段划分：</w:t>
      </w:r>
      <w:r>
        <w:rPr>
          <w:color w:val="auto"/>
          <w:highlight w:val="none"/>
        </w:rPr>
        <w:t xml:space="preserve"> </w:t>
      </w:r>
      <w:r>
        <w:rPr>
          <w:color w:val="auto"/>
          <w:highlight w:val="none"/>
          <w:u w:val="single"/>
        </w:rPr>
        <w:t xml:space="preserve">                                </w:t>
      </w:r>
    </w:p>
    <w:p w14:paraId="47786DD7">
      <w:pPr>
        <w:spacing w:line="360" w:lineRule="auto"/>
        <w:ind w:firstLine="420" w:firstLineChars="200"/>
        <w:rPr>
          <w:color w:val="auto"/>
          <w:highlight w:val="none"/>
        </w:rPr>
      </w:pPr>
      <w:r>
        <w:rPr>
          <w:rFonts w:hint="eastAsia" w:cs="宋体"/>
          <w:color w:val="auto"/>
          <w:highlight w:val="none"/>
        </w:rPr>
        <w:t>设计单位：</w:t>
      </w:r>
      <w:r>
        <w:rPr>
          <w:color w:val="auto"/>
          <w:highlight w:val="none"/>
        </w:rPr>
        <w:t xml:space="preserve"> </w:t>
      </w:r>
      <w:r>
        <w:rPr>
          <w:color w:val="auto"/>
          <w:highlight w:val="none"/>
          <w:u w:val="single"/>
        </w:rPr>
        <w:t xml:space="preserve">                                </w:t>
      </w:r>
      <w:r>
        <w:rPr>
          <w:color w:val="auto"/>
          <w:highlight w:val="none"/>
        </w:rPr>
        <w:t xml:space="preserve">  </w:t>
      </w:r>
    </w:p>
    <w:p w14:paraId="3545F913">
      <w:pPr>
        <w:spacing w:line="360" w:lineRule="auto"/>
        <w:ind w:firstLine="420" w:firstLineChars="200"/>
        <w:rPr>
          <w:color w:val="auto"/>
          <w:highlight w:val="none"/>
          <w:u w:val="single"/>
        </w:rPr>
      </w:pPr>
      <w:r>
        <w:rPr>
          <w:rFonts w:hint="eastAsia" w:cs="宋体"/>
          <w:color w:val="auto"/>
          <w:highlight w:val="none"/>
        </w:rPr>
        <w:t>勘察单位：</w:t>
      </w:r>
      <w:r>
        <w:rPr>
          <w:color w:val="auto"/>
          <w:highlight w:val="none"/>
        </w:rPr>
        <w:t xml:space="preserve"> </w:t>
      </w:r>
      <w:r>
        <w:rPr>
          <w:color w:val="auto"/>
          <w:highlight w:val="none"/>
          <w:u w:val="single"/>
        </w:rPr>
        <w:t xml:space="preserve">                                </w:t>
      </w:r>
    </w:p>
    <w:p w14:paraId="01597350">
      <w:pPr>
        <w:pStyle w:val="3"/>
        <w:rPr>
          <w:color w:val="auto"/>
          <w:highlight w:val="none"/>
        </w:rPr>
      </w:pPr>
      <w:bookmarkStart w:id="16" w:name="_Toc18992"/>
      <w:bookmarkStart w:id="17" w:name="_Toc78449596"/>
      <w:bookmarkStart w:id="18" w:name="_Toc407135051"/>
      <w:bookmarkStart w:id="19" w:name="_Toc389065124"/>
      <w:bookmarkStart w:id="20" w:name="_Toc828765096"/>
      <w:r>
        <w:rPr>
          <w:color w:val="auto"/>
          <w:highlight w:val="none"/>
        </w:rPr>
        <w:t xml:space="preserve">3. </w:t>
      </w:r>
      <w:r>
        <w:rPr>
          <w:rFonts w:hint="eastAsia" w:cs="黑体"/>
          <w:color w:val="auto"/>
          <w:highlight w:val="none"/>
        </w:rPr>
        <w:t>投标人资格要求</w:t>
      </w:r>
      <w:bookmarkEnd w:id="16"/>
      <w:bookmarkEnd w:id="17"/>
      <w:bookmarkEnd w:id="18"/>
      <w:bookmarkEnd w:id="19"/>
      <w:bookmarkEnd w:id="20"/>
    </w:p>
    <w:p w14:paraId="0C373F5E">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本次招标要求投标人须已办理“桂建云”入库手续并处于有效状态，□无资质要求</w:t>
      </w:r>
      <w:r>
        <w:rPr>
          <w:rFonts w:hint="eastAsia" w:eastAsia="楷体_GB2312" w:cs="楷体_GB2312"/>
          <w:b w:val="0"/>
          <w:bCs w:val="0"/>
          <w:color w:val="auto"/>
          <w:highlight w:val="none"/>
        </w:rPr>
        <w:t>【备注：已经取消资质要求的承包类型选无资质要求】</w:t>
      </w:r>
      <w:r>
        <w:rPr>
          <w:rFonts w:hint="eastAsia" w:cs="宋体"/>
          <w:color w:val="auto"/>
          <w:highlight w:val="none"/>
        </w:rPr>
        <w:t>□具备</w:t>
      </w:r>
      <w:r>
        <w:rPr>
          <w:color w:val="auto"/>
          <w:highlight w:val="none"/>
          <w:u w:val="single"/>
        </w:rPr>
        <w:t xml:space="preserve">           </w:t>
      </w:r>
      <w:r>
        <w:rPr>
          <w:rFonts w:hint="eastAsia" w:cs="宋体"/>
          <w:color w:val="auto"/>
          <w:highlight w:val="none"/>
        </w:rPr>
        <w:t>资质</w:t>
      </w:r>
      <w:r>
        <w:rPr>
          <w:rFonts w:hint="eastAsia" w:eastAsia="楷体_GB2312" w:cs="楷体_GB2312"/>
          <w:b w:val="0"/>
          <w:bCs w:val="0"/>
          <w:color w:val="auto"/>
          <w:highlight w:val="none"/>
        </w:rPr>
        <w:t>【备注：</w:t>
      </w:r>
      <w:r>
        <w:rPr>
          <w:rFonts w:hint="eastAsia" w:eastAsia="楷体_GB2312" w:cs="楷体_GB2312"/>
          <w:b w:val="0"/>
          <w:bCs w:val="0"/>
          <w:color w:val="auto"/>
          <w:highlight w:val="none"/>
          <w:lang w:eastAsia="zh-CN"/>
        </w:rPr>
        <w:t>1.</w:t>
      </w:r>
      <w:r>
        <w:rPr>
          <w:rFonts w:hint="eastAsia" w:eastAsia="楷体_GB2312" w:cs="楷体_GB2312"/>
          <w:b w:val="0"/>
          <w:bCs w:val="0"/>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eastAsia="楷体_GB2312" w:cs="楷体_GB2312"/>
          <w:b w:val="0"/>
          <w:bCs w:val="0"/>
          <w:color w:val="auto"/>
          <w:highlight w:val="none"/>
          <w:lang w:eastAsia="zh-CN"/>
        </w:rPr>
        <w:t>；2.</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rPr>
        <w:t>】</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color w:val="auto"/>
          <w:highlight w:val="none"/>
          <w:u w:val="single"/>
        </w:rPr>
        <w:t xml:space="preserve">           </w:t>
      </w:r>
      <w:r>
        <w:rPr>
          <w:rFonts w:hint="eastAsia" w:cs="宋体"/>
          <w:color w:val="auto"/>
          <w:highlight w:val="none"/>
        </w:rPr>
        <w:t>专业</w:t>
      </w:r>
      <w:r>
        <w:rPr>
          <w:color w:val="auto"/>
          <w:highlight w:val="none"/>
          <w:u w:val="single"/>
        </w:rPr>
        <w:t xml:space="preserve">    </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 xml:space="preserve"> </w:t>
      </w:r>
      <w:r>
        <w:rPr>
          <w:rFonts w:hint="eastAsia" w:cs="宋体"/>
          <w:color w:val="auto"/>
          <w:highlight w:val="none"/>
        </w:rPr>
        <w:t>注册建造师执业资格</w:t>
      </w:r>
      <w:r>
        <w:rPr>
          <w:rFonts w:hint="eastAsia" w:eastAsia="楷体_GB2312" w:cs="楷体_GB2312"/>
          <w:b w:val="0"/>
          <w:bCs w:val="0"/>
          <w:color w:val="auto"/>
          <w:highlight w:val="none"/>
        </w:rPr>
        <w:t>【备注：招标人应当根据项目规模，按照注册建造师执业工程规模标准，合理设置注册建造师等级，不得提高资格要求】</w:t>
      </w:r>
      <w:r>
        <w:rPr>
          <w:rFonts w:hint="eastAsia" w:cs="宋体"/>
          <w:color w:val="auto"/>
          <w:highlight w:val="none"/>
        </w:rPr>
        <w:t>，已录入</w:t>
      </w:r>
      <w:r>
        <w:rPr>
          <w:rFonts w:hint="eastAsia"/>
          <w:color w:val="auto"/>
          <w:highlight w:val="none"/>
        </w:rPr>
        <w:t>“桂建云”</w:t>
      </w:r>
      <w:r>
        <w:rPr>
          <w:rFonts w:hint="eastAsia" w:cs="宋体"/>
          <w:color w:val="auto"/>
          <w:highlight w:val="none"/>
        </w:rPr>
        <w:t>并处于有效状态，具备有效的安全生产考核合格证书（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Times New Roman"/>
          <w:color w:val="auto"/>
          <w:kern w:val="0"/>
          <w:sz w:val="21"/>
          <w:szCs w:val="21"/>
          <w:highlight w:val="none"/>
          <w:u w:val="none"/>
        </w:rPr>
        <w:t>〔</w:t>
      </w:r>
      <w:r>
        <w:rPr>
          <w:rFonts w:hint="eastAsia"/>
          <w:color w:val="auto"/>
          <w:kern w:val="0"/>
          <w:highlight w:val="none"/>
        </w:rPr>
        <w:t>2016</w:t>
      </w:r>
      <w:r>
        <w:rPr>
          <w:rFonts w:hint="eastAsia" w:ascii="Times New Roman" w:hAnsi="Times New Roman" w:eastAsia="宋体" w:cs="Times New Roman"/>
          <w:color w:val="auto"/>
          <w:kern w:val="0"/>
          <w:sz w:val="21"/>
          <w:szCs w:val="21"/>
          <w:highlight w:val="none"/>
          <w:u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文除</w:t>
      </w:r>
      <w:r>
        <w:rPr>
          <w:rFonts w:hint="eastAsia" w:cs="宋体"/>
          <w:color w:val="auto"/>
          <w:highlight w:val="none"/>
        </w:rPr>
        <w:t>外）。</w:t>
      </w:r>
    </w:p>
    <w:p w14:paraId="605916E3">
      <w:pPr>
        <w:spacing w:line="360" w:lineRule="auto"/>
        <w:ind w:firstLine="420" w:firstLineChars="200"/>
        <w:rPr>
          <w:rFonts w:hint="eastAsia" w:cs="宋体"/>
          <w:color w:val="auto"/>
          <w:highlight w:val="none"/>
        </w:rPr>
      </w:pPr>
      <w:r>
        <w:rPr>
          <w:color w:val="auto"/>
          <w:highlight w:val="none"/>
        </w:rPr>
        <w:t xml:space="preserve">3.2 </w:t>
      </w:r>
      <w:r>
        <w:rPr>
          <w:rFonts w:hint="eastAsia" w:cs="宋体"/>
          <w:color w:val="auto"/>
          <w:highlight w:val="none"/>
        </w:rPr>
        <w:t>业绩要求：□无要求</w:t>
      </w:r>
      <w:r>
        <w:rPr>
          <w:color w:val="auto"/>
          <w:highlight w:val="none"/>
        </w:rPr>
        <w:t xml:space="preserve">  </w:t>
      </w:r>
      <w:r>
        <w:rPr>
          <w:rFonts w:hint="eastAsia" w:cs="宋体"/>
          <w:color w:val="auto"/>
          <w:highlight w:val="none"/>
        </w:rPr>
        <w:t>□有要求，要求</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lang w:val="en-US" w:eastAsia="zh-CN"/>
        </w:rPr>
        <w:t xml:space="preserve">   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份）以来</w:t>
      </w:r>
      <w:r>
        <w:rPr>
          <w:rFonts w:hint="eastAsia" w:cs="宋体"/>
          <w:color w:val="auto"/>
          <w:highlight w:val="none"/>
          <w:lang w:eastAsia="zh-CN"/>
        </w:rPr>
        <w:t>□</w:t>
      </w:r>
      <w:r>
        <w:rPr>
          <w:rFonts w:hint="eastAsia" w:cs="宋体"/>
          <w:color w:val="auto"/>
          <w:highlight w:val="none"/>
        </w:rPr>
        <w:t>完成过质量合格的类似工程业绩 □承接过类似工程业绩</w:t>
      </w:r>
      <w:r>
        <w:rPr>
          <w:rFonts w:hint="eastAsia" w:cs="宋体"/>
          <w:b/>
          <w:bCs/>
          <w:color w:val="auto"/>
          <w:highlight w:val="none"/>
          <w:lang w:eastAsia="zh-CN"/>
        </w:rPr>
        <w:t>。</w:t>
      </w:r>
      <w:r>
        <w:rPr>
          <w:rFonts w:hint="eastAsia" w:cs="宋体"/>
          <w:color w:val="auto"/>
          <w:highlight w:val="none"/>
        </w:rPr>
        <w:t>类似工程指：</w:t>
      </w:r>
      <w:r>
        <w:rPr>
          <w:color w:val="auto"/>
          <w:highlight w:val="none"/>
          <w:u w:val="single"/>
        </w:rPr>
        <w:t xml:space="preserve">                    </w:t>
      </w:r>
      <w:r>
        <w:rPr>
          <w:rFonts w:hint="eastAsia" w:cs="宋体"/>
          <w:color w:val="auto"/>
          <w:highlight w:val="none"/>
        </w:rPr>
        <w:t>。</w:t>
      </w:r>
    </w:p>
    <w:p w14:paraId="6E167D4D">
      <w:pPr>
        <w:spacing w:line="360" w:lineRule="auto"/>
        <w:ind w:firstLine="420" w:firstLineChars="200"/>
        <w:rPr>
          <w:rFonts w:hint="eastAsia" w:ascii="方正楷体_GB2312" w:hAnsi="方正楷体_GB2312" w:eastAsia="方正楷体_GB2312" w:cs="方正楷体_GB2312"/>
          <w:color w:val="auto"/>
          <w:highlight w:val="none"/>
        </w:rPr>
      </w:pPr>
      <w:r>
        <w:rPr>
          <w:color w:val="auto"/>
          <w:highlight w:val="none"/>
        </w:rPr>
        <w:t xml:space="preserve">3.3 </w:t>
      </w:r>
      <w:r>
        <w:rPr>
          <w:rFonts w:hint="eastAsia" w:cs="宋体"/>
          <w:color w:val="auto"/>
          <w:highlight w:val="none"/>
        </w:rPr>
        <w:t>本次招标</w:t>
      </w:r>
      <w:r>
        <w:rPr>
          <w:color w:val="auto"/>
          <w:highlight w:val="none"/>
          <w:u w:val="single"/>
        </w:rPr>
        <w:t xml:space="preserve">       </w:t>
      </w:r>
      <w:r>
        <w:rPr>
          <w:rFonts w:hint="eastAsia" w:cs="宋体"/>
          <w:color w:val="auto"/>
          <w:highlight w:val="none"/>
        </w:rPr>
        <w:t>（接受或不接受）联合体投标。联合体投标的，应满足下列要求：</w:t>
      </w:r>
      <w:r>
        <w:rPr>
          <w:color w:val="auto"/>
          <w:highlight w:val="none"/>
          <w:u w:val="single"/>
        </w:rPr>
        <w:t xml:space="preserve">                                                </w:t>
      </w:r>
      <w:r>
        <w:rPr>
          <w:rFonts w:hint="eastAsia" w:cs="宋体"/>
          <w:color w:val="auto"/>
          <w:highlight w:val="none"/>
        </w:rPr>
        <w:t>。</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val="en-US" w:eastAsia="zh-CN"/>
        </w:rPr>
        <w:t>1.</w:t>
      </w:r>
      <w:r>
        <w:rPr>
          <w:rFonts w:hint="eastAsia" w:ascii="方正楷体_GB2312" w:hAnsi="方正楷体_GB2312" w:eastAsia="方正楷体_GB2312" w:cs="方正楷体_GB2312"/>
          <w:color w:val="auto"/>
          <w:highlight w:val="none"/>
        </w:rPr>
        <w:t>联合体参与投标的，联合体各方应当签订联合体协议书，其中联合体牵头人代表联合体各方成员负责投标和合同实施阶段的主办、协调工作，但联合体其他成员在投标、签约与履行合同过程中，负有连带的和各自的法律责任</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联合体的</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按联合体牵头人的企业认定</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u w:val="single"/>
          <w:lang w:val="en-US" w:eastAsia="zh-CN"/>
        </w:rPr>
        <w:t xml:space="preserve">             ）</w:t>
      </w:r>
    </w:p>
    <w:p w14:paraId="19EB84AA">
      <w:pPr>
        <w:spacing w:line="360" w:lineRule="auto"/>
        <w:ind w:firstLine="420" w:firstLineChars="200"/>
        <w:jc w:val="left"/>
        <w:rPr>
          <w:rFonts w:hint="default" w:eastAsia="宋体" w:cs="宋体"/>
          <w:color w:val="auto"/>
          <w:highlight w:val="none"/>
          <w:lang w:val="en-US" w:eastAsia="zh-CN"/>
        </w:rPr>
      </w:pPr>
      <w:r>
        <w:rPr>
          <w:color w:val="auto"/>
          <w:highlight w:val="none"/>
        </w:rPr>
        <w:t xml:space="preserve">3.4 </w:t>
      </w:r>
      <w:r>
        <w:rPr>
          <w:rFonts w:hint="eastAsia" w:cs="宋体"/>
          <w:color w:val="auto"/>
          <w:highlight w:val="none"/>
        </w:rPr>
        <w:t>各投标人可就本招标项目的所有标段进行投标，并允许中标其中□一个/□多个/□所有标段（</w:t>
      </w:r>
      <w:r>
        <w:rPr>
          <w:rFonts w:hint="eastAsia" w:ascii="方正楷体_GB2312" w:hAnsi="方正楷体_GB2312" w:eastAsia="方正楷体_GB2312" w:cs="方正楷体_GB2312"/>
          <w:color w:val="auto"/>
          <w:highlight w:val="none"/>
        </w:rPr>
        <w:t>由招标人事先确定</w:t>
      </w:r>
      <w:r>
        <w:rPr>
          <w:rFonts w:hint="eastAsia" w:cs="宋体"/>
          <w:color w:val="auto"/>
          <w:highlight w:val="none"/>
        </w:rPr>
        <w:t>）。但投标人应就不同标段派出不同的项目经理和项目专职安全生产管理人员，否则同一</w:t>
      </w:r>
      <w:r>
        <w:rPr>
          <w:rFonts w:hint="eastAsia" w:cs="Times New Roman"/>
          <w:color w:val="auto"/>
          <w:szCs w:val="21"/>
          <w:highlight w:val="none"/>
          <w:lang w:val="en-US" w:eastAsia="zh-CN"/>
        </w:rPr>
        <w:t>人拟任不同标段</w:t>
      </w:r>
      <w:r>
        <w:rPr>
          <w:rFonts w:hint="eastAsia" w:cs="宋体"/>
          <w:color w:val="auto"/>
          <w:highlight w:val="none"/>
        </w:rPr>
        <w:t>项目经理或项目专职安全生产管理人员的投标文件作否决投标处理（符合《广西壮族自治区建筑市场诚信卡管理暂行办法》第十六条第一款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kern w:val="0"/>
          <w:highlight w:val="none"/>
        </w:rPr>
        <w:t>除外</w:t>
      </w:r>
      <w:r>
        <w:rPr>
          <w:rFonts w:hint="eastAsia" w:cs="宋体"/>
          <w:color w:val="auto"/>
          <w:highlight w:val="none"/>
        </w:rPr>
        <w:t>），</w:t>
      </w:r>
      <w:r>
        <w:rPr>
          <w:rFonts w:hint="eastAsia" w:cs="宋体"/>
          <w:color w:val="auto"/>
          <w:highlight w:val="none"/>
          <w:u w:val="single"/>
          <w:lang w:eastAsia="zh-CN"/>
        </w:rPr>
        <w:t>（</w:t>
      </w:r>
      <w:r>
        <w:rPr>
          <w:rFonts w:hint="eastAsia" w:cs="宋体"/>
          <w:color w:val="auto"/>
          <w:highlight w:val="none"/>
          <w:u w:val="single"/>
          <w:lang w:val="en-US" w:eastAsia="zh-CN"/>
        </w:rPr>
        <w:t xml:space="preserve">其他补充）   </w:t>
      </w:r>
      <w:r>
        <w:rPr>
          <w:rFonts w:hint="eastAsia" w:cs="宋体"/>
          <w:color w:val="auto"/>
          <w:highlight w:val="none"/>
          <w:u w:val="single"/>
        </w:rPr>
        <w:t xml:space="preserve">       </w:t>
      </w:r>
      <w:r>
        <w:rPr>
          <w:rFonts w:hint="eastAsia" w:cs="宋体"/>
          <w:color w:val="auto"/>
          <w:highlight w:val="none"/>
        </w:rPr>
        <w:t xml:space="preserve"> 。</w:t>
      </w:r>
    </w:p>
    <w:p w14:paraId="564337E2">
      <w:pPr>
        <w:tabs>
          <w:tab w:val="left" w:pos="1080"/>
        </w:tabs>
        <w:spacing w:line="360" w:lineRule="auto"/>
        <w:ind w:firstLine="420" w:firstLineChars="200"/>
        <w:rPr>
          <w:rFonts w:hint="eastAsia" w:cs="宋体"/>
          <w:color w:val="auto"/>
          <w:highlight w:val="none"/>
          <w:lang w:val="en-US" w:eastAsia="zh-CN"/>
        </w:rPr>
      </w:pPr>
      <w:r>
        <w:rPr>
          <w:rFonts w:hint="eastAsia" w:cs="宋体"/>
          <w:color w:val="auto"/>
          <w:highlight w:val="none"/>
        </w:rPr>
        <w:t>3.5</w:t>
      </w:r>
      <w:r>
        <w:rPr>
          <w:rFonts w:hint="eastAsia" w:cs="宋体"/>
          <w:color w:val="auto"/>
          <w:highlight w:val="none"/>
          <w:lang w:val="en-US" w:eastAsia="zh-CN"/>
        </w:rPr>
        <w:t>诚信要求：</w:t>
      </w:r>
    </w:p>
    <w:p w14:paraId="0DD00477">
      <w:pPr>
        <w:tabs>
          <w:tab w:val="left" w:pos="1080"/>
        </w:tabs>
        <w:spacing w:line="360" w:lineRule="auto"/>
        <w:ind w:firstLine="420" w:firstLineChars="200"/>
        <w:rPr>
          <w:rFonts w:hint="eastAsia" w:cs="宋体"/>
          <w:color w:val="auto"/>
          <w:highlight w:val="none"/>
        </w:rPr>
      </w:pP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06265133">
      <w:pPr>
        <w:spacing w:line="360" w:lineRule="auto"/>
        <w:ind w:firstLine="420" w:firstLineChars="200"/>
        <w:rPr>
          <w:rFonts w:hint="eastAsia"/>
          <w:color w:val="auto"/>
          <w:highlight w:val="none"/>
        </w:rPr>
      </w:pP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34F0F053">
      <w:pPr>
        <w:spacing w:line="360" w:lineRule="auto"/>
        <w:ind w:firstLine="420" w:firstLineChars="200"/>
        <w:rPr>
          <w:rFonts w:hint="eastAsia" w:cs="宋体"/>
          <w:color w:val="auto"/>
          <w:highlight w:val="none"/>
        </w:rPr>
      </w:pPr>
      <w:r>
        <w:rPr>
          <w:color w:val="auto"/>
          <w:highlight w:val="none"/>
        </w:rPr>
        <w:t>3.</w:t>
      </w:r>
      <w:r>
        <w:rPr>
          <w:rFonts w:hint="eastAsia"/>
          <w:color w:val="auto"/>
          <w:highlight w:val="none"/>
          <w:lang w:val="en-US" w:eastAsia="zh-CN"/>
        </w:rPr>
        <w:t>6</w:t>
      </w:r>
      <w:r>
        <w:rPr>
          <w:rFonts w:hint="eastAsia"/>
          <w:color w:val="auto"/>
          <w:highlight w:val="none"/>
        </w:rPr>
        <w:t xml:space="preserve"> </w:t>
      </w:r>
      <w:r>
        <w:rPr>
          <w:rFonts w:hint="eastAsia" w:cs="宋体"/>
          <w:color w:val="auto"/>
          <w:highlight w:val="none"/>
        </w:rPr>
        <w:t>投标人信息以“桂建云”为准。</w:t>
      </w:r>
    </w:p>
    <w:p w14:paraId="68F9C7D4">
      <w:pPr>
        <w:spacing w:line="360" w:lineRule="auto"/>
        <w:ind w:firstLine="420" w:firstLineChars="20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 xml:space="preserve">7 </w:t>
      </w:r>
      <w:r>
        <w:rPr>
          <w:rFonts w:hint="eastAsia"/>
          <w:color w:val="auto"/>
          <w:highlight w:val="none"/>
          <w:lang w:eastAsia="zh-CN"/>
        </w:rPr>
        <w:t>□</w:t>
      </w:r>
      <w:r>
        <w:rPr>
          <w:rFonts w:hint="eastAsia"/>
          <w:color w:val="auto"/>
          <w:highlight w:val="none"/>
        </w:rPr>
        <w:t>本项目不属于政府采购工程项目</w:t>
      </w:r>
      <w:r>
        <w:rPr>
          <w:rFonts w:hint="eastAsia"/>
          <w:color w:val="auto"/>
          <w:highlight w:val="none"/>
          <w:lang w:eastAsia="zh-CN"/>
        </w:rPr>
        <w:t>；</w:t>
      </w:r>
    </w:p>
    <w:p w14:paraId="41103DFF">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rPr>
        <w:sym w:font="Wingdings 2" w:char="00A3"/>
      </w:r>
      <w:r>
        <w:rPr>
          <w:rFonts w:hint="eastAsia"/>
          <w:color w:val="auto"/>
          <w:highlight w:val="none"/>
        </w:rPr>
        <w:t>本项目属于政府采购工程项目：</w:t>
      </w:r>
    </w:p>
    <w:p w14:paraId="3B95F0D0">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34247145">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w:t>
      </w:r>
      <w:r>
        <w:rPr>
          <w:rFonts w:hint="eastAsia"/>
          <w:color w:val="auto"/>
          <w:highlight w:val="none"/>
          <w:lang w:eastAsia="zh-CN"/>
        </w:rPr>
        <w:t>□</w:t>
      </w:r>
      <w:r>
        <w:rPr>
          <w:rFonts w:hint="eastAsia"/>
          <w:color w:val="auto"/>
          <w:highlight w:val="none"/>
        </w:rPr>
        <w:t>中小微/□小微）企业、监狱企业或者残疾人福利性单位，（□大型/□大中型）企业不得参加。</w:t>
      </w:r>
    </w:p>
    <w:p w14:paraId="0A60A3C4">
      <w:pPr>
        <w:spacing w:line="360" w:lineRule="auto"/>
        <w:ind w:firstLine="1260" w:firstLineChars="600"/>
        <w:rPr>
          <w:rFonts w:hint="eastAsia"/>
          <w:color w:val="auto"/>
          <w:highlight w:val="none"/>
        </w:rPr>
      </w:pPr>
      <w:bookmarkStart w:id="21" w:name="_Toc78449597"/>
      <w:bookmarkStart w:id="22" w:name="_Toc407135053"/>
      <w:bookmarkStart w:id="23" w:name="_Toc389065126"/>
      <w:bookmarkStart w:id="24" w:name="_Toc660362003"/>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7D29F815">
      <w:pPr>
        <w:spacing w:line="360" w:lineRule="auto"/>
        <w:ind w:firstLine="420" w:firstLineChars="200"/>
        <w:rPr>
          <w:rFonts w:hint="eastAsia"/>
          <w:color w:val="auto"/>
          <w:highlight w:val="none"/>
          <w:lang w:val="en-US" w:eastAsia="zh-CN"/>
        </w:rPr>
      </w:pPr>
      <w:r>
        <w:rPr>
          <w:rFonts w:hint="default"/>
          <w:color w:val="auto"/>
          <w:highlight w:val="none"/>
          <w:lang w:val="en-US" w:eastAsia="zh-CN"/>
        </w:rPr>
        <w:t>组成联合体或者接受分包合同的中小企业与联合体内其他企业、分包企业之间不得存在直接控股、管理关系。</w:t>
      </w:r>
    </w:p>
    <w:p w14:paraId="2C8B3279">
      <w:pPr>
        <w:pStyle w:val="3"/>
        <w:rPr>
          <w:color w:val="auto"/>
          <w:highlight w:val="none"/>
        </w:rPr>
      </w:pPr>
      <w:bookmarkStart w:id="25" w:name="_Toc4101"/>
      <w:r>
        <w:rPr>
          <w:color w:val="auto"/>
          <w:highlight w:val="none"/>
        </w:rPr>
        <w:t xml:space="preserve">4. </w:t>
      </w:r>
      <w:r>
        <w:rPr>
          <w:rFonts w:hint="eastAsia" w:cs="黑体"/>
          <w:color w:val="auto"/>
          <w:highlight w:val="none"/>
        </w:rPr>
        <w:t>招标文件的获取</w:t>
      </w:r>
      <w:bookmarkEnd w:id="21"/>
      <w:bookmarkEnd w:id="22"/>
      <w:bookmarkEnd w:id="23"/>
      <w:bookmarkEnd w:id="24"/>
      <w:bookmarkEnd w:id="25"/>
    </w:p>
    <w:p w14:paraId="4EF5FDD6">
      <w:pPr>
        <w:spacing w:line="360" w:lineRule="auto"/>
        <w:ind w:firstLine="420" w:firstLineChars="200"/>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日至</w:t>
      </w:r>
      <w:r>
        <w:rPr>
          <w:rFonts w:ascii="Calibri" w:hAnsi="Calibri"/>
          <w:color w:val="auto"/>
          <w:highlight w:val="none"/>
          <w:u w:val="single"/>
        </w:rPr>
        <w:t>投标文件递交的截止时间止（不少于20日）</w:t>
      </w:r>
      <w:r>
        <w:rPr>
          <w:rFonts w:hint="eastAsia" w:cs="宋体"/>
          <w:color w:val="auto"/>
          <w:highlight w:val="none"/>
        </w:rPr>
        <w:t>，由潜在投标人通过全国公共资源交易平台（广西壮族自治区）（网址： http://ggzy.jgswj.gxzf.gov.cn/gxggzy</w:t>
      </w:r>
      <w:r>
        <w:rPr>
          <w:rFonts w:hint="eastAsia" w:cs="宋体"/>
          <w:color w:val="auto"/>
          <w:highlight w:val="none"/>
          <w:lang w:eastAsia="zh-CN"/>
        </w:rPr>
        <w:t>）</w:t>
      </w:r>
      <w:r>
        <w:rPr>
          <w:rFonts w:hint="eastAsia" w:cs="宋体"/>
          <w:color w:val="auto"/>
          <w:highlight w:val="none"/>
        </w:rPr>
        <w:t>免费下载招标文件。</w:t>
      </w:r>
    </w:p>
    <w:p w14:paraId="57A86CC7">
      <w:pPr>
        <w:pStyle w:val="3"/>
        <w:rPr>
          <w:rFonts w:hint="eastAsia"/>
          <w:color w:val="auto"/>
          <w:highlight w:val="none"/>
        </w:rPr>
      </w:pPr>
      <w:bookmarkStart w:id="26" w:name="_Toc407135054"/>
      <w:bookmarkStart w:id="27" w:name="_Toc78449598"/>
      <w:bookmarkStart w:id="28" w:name="_Toc389065127"/>
      <w:bookmarkStart w:id="29" w:name="_Toc14014"/>
      <w:bookmarkStart w:id="30" w:name="_Toc479407216"/>
      <w:r>
        <w:rPr>
          <w:color w:val="auto"/>
          <w:highlight w:val="none"/>
        </w:rPr>
        <w:t xml:space="preserve">5. </w:t>
      </w:r>
      <w:r>
        <w:rPr>
          <w:rFonts w:hint="eastAsia" w:cs="黑体"/>
          <w:color w:val="auto"/>
          <w:highlight w:val="none"/>
        </w:rPr>
        <w:t>投标文件的</w:t>
      </w:r>
      <w:bookmarkEnd w:id="26"/>
      <w:bookmarkEnd w:id="27"/>
      <w:bookmarkEnd w:id="28"/>
      <w:r>
        <w:rPr>
          <w:rFonts w:hint="eastAsia" w:cs="黑体"/>
          <w:color w:val="auto"/>
          <w:highlight w:val="none"/>
        </w:rPr>
        <w:t>提交及</w:t>
      </w:r>
      <w:r>
        <w:rPr>
          <w:rFonts w:cs="黑体"/>
          <w:color w:val="auto"/>
          <w:highlight w:val="none"/>
        </w:rPr>
        <w:t>不见</w:t>
      </w:r>
      <w:r>
        <w:rPr>
          <w:rFonts w:hint="eastAsia" w:cs="黑体"/>
          <w:color w:val="auto"/>
          <w:highlight w:val="none"/>
        </w:rPr>
        <w:t>面</w:t>
      </w:r>
      <w:r>
        <w:rPr>
          <w:rFonts w:cs="黑体"/>
          <w:color w:val="auto"/>
          <w:highlight w:val="none"/>
        </w:rPr>
        <w:t>开标说明</w:t>
      </w:r>
      <w:bookmarkEnd w:id="29"/>
      <w:bookmarkEnd w:id="30"/>
    </w:p>
    <w:p w14:paraId="782599A3">
      <w:pPr>
        <w:spacing w:line="360" w:lineRule="auto"/>
        <w:ind w:firstLine="420" w:firstLineChars="200"/>
        <w:rPr>
          <w:rFonts w:hint="eastAsia" w:cs="宋体"/>
          <w:color w:val="auto"/>
          <w:highlight w:val="none"/>
        </w:rPr>
      </w:pPr>
      <w:r>
        <w:rPr>
          <w:rFonts w:hint="eastAsia" w:cs="宋体"/>
          <w:color w:val="auto"/>
          <w:highlight w:val="none"/>
        </w:rPr>
        <w:t>5.1 投标人应在投标截止时间_______年__</w:t>
      </w:r>
      <w:r>
        <w:rPr>
          <w:rFonts w:hint="eastAsia" w:cs="宋体"/>
          <w:color w:val="auto"/>
          <w:highlight w:val="none"/>
          <w:u w:val="single"/>
          <w:lang w:val="en-US" w:eastAsia="zh-CN"/>
        </w:rPr>
        <w:t xml:space="preserve"> </w:t>
      </w:r>
      <w:r>
        <w:rPr>
          <w:rFonts w:hint="eastAsia" w:cs="宋体"/>
          <w:color w:val="auto"/>
          <w:highlight w:val="none"/>
        </w:rPr>
        <w:t>_月_</w:t>
      </w:r>
      <w:r>
        <w:rPr>
          <w:rFonts w:hint="eastAsia" w:cs="宋体"/>
          <w:color w:val="auto"/>
          <w:highlight w:val="none"/>
          <w:u w:val="single"/>
          <w:lang w:val="en-US" w:eastAsia="zh-CN"/>
        </w:rPr>
        <w:t xml:space="preserve"> </w:t>
      </w:r>
      <w:r>
        <w:rPr>
          <w:rFonts w:hint="eastAsia" w:cs="宋体"/>
          <w:color w:val="auto"/>
          <w:highlight w:val="none"/>
        </w:rPr>
        <w:t>__日__</w:t>
      </w:r>
      <w:r>
        <w:rPr>
          <w:rFonts w:hint="eastAsia" w:cs="宋体"/>
          <w:color w:val="auto"/>
          <w:highlight w:val="none"/>
          <w:u w:val="single"/>
          <w:lang w:val="en-US" w:eastAsia="zh-CN"/>
        </w:rPr>
        <w:t xml:space="preserve"> </w:t>
      </w:r>
      <w:r>
        <w:rPr>
          <w:rFonts w:hint="eastAsia" w:cs="宋体"/>
          <w:color w:val="auto"/>
          <w:highlight w:val="none"/>
        </w:rPr>
        <w:t>_时</w:t>
      </w:r>
      <w:r>
        <w:rPr>
          <w:color w:val="auto"/>
          <w:highlight w:val="none"/>
          <w:u w:val="single"/>
        </w:rPr>
        <w:t xml:space="preserve">    </w:t>
      </w:r>
      <w:r>
        <w:rPr>
          <w:rFonts w:hint="eastAsia" w:cs="宋体"/>
          <w:color w:val="auto"/>
          <w:highlight w:val="none"/>
        </w:rPr>
        <w:t>分</w:t>
      </w:r>
      <w:r>
        <w:rPr>
          <w:color w:val="auto"/>
          <w:highlight w:val="none"/>
          <w:u w:val="single"/>
        </w:rPr>
        <w:t xml:space="preserve">    </w:t>
      </w:r>
      <w:r>
        <w:rPr>
          <w:rFonts w:hint="eastAsia" w:cs="宋体"/>
          <w:color w:val="auto"/>
          <w:highlight w:val="none"/>
          <w:lang w:val="en-US" w:eastAsia="zh-CN"/>
        </w:rPr>
        <w:t>秒</w:t>
      </w:r>
      <w:r>
        <w:rPr>
          <w:rFonts w:hint="eastAsia" w:cs="宋体"/>
          <w:color w:val="auto"/>
          <w:highlight w:val="none"/>
        </w:rPr>
        <w:t xml:space="preserve">前登录全国公共资源交易平台（广西壮族自治区）（网址： </w:t>
      </w:r>
      <w:r>
        <w:rPr>
          <w:rFonts w:hint="eastAsia" w:cs="宋体"/>
          <w:color w:val="auto"/>
          <w:highlight w:val="none"/>
          <w:u w:val="none"/>
        </w:rPr>
        <w:fldChar w:fldCharType="begin"/>
      </w:r>
      <w:r>
        <w:rPr>
          <w:rFonts w:hint="eastAsia" w:cs="宋体"/>
          <w:color w:val="auto"/>
          <w:highlight w:val="none"/>
          <w:u w:val="none"/>
        </w:rPr>
        <w:instrText xml:space="preserve"> HYPERLINK "http://ggzy.jgswj.gxzf.gov.cn/gxggzy/），通过互联网使用广西壮族自治区公共资源交易平台系统数字证书（CA）交叉互认平台认可的数字证书将加密的电子投标文件上传。" </w:instrText>
      </w:r>
      <w:r>
        <w:rPr>
          <w:rFonts w:hint="eastAsia" w:cs="宋体"/>
          <w:color w:val="auto"/>
          <w:highlight w:val="none"/>
          <w:u w:val="none"/>
        </w:rPr>
        <w:fldChar w:fldCharType="separate"/>
      </w:r>
      <w:r>
        <w:rPr>
          <w:rStyle w:val="47"/>
          <w:rFonts w:hint="eastAsia" w:cs="宋体"/>
          <w:color w:val="auto"/>
          <w:highlight w:val="none"/>
          <w:u w:val="none"/>
        </w:rPr>
        <w:t>http://ggzy.jgswj.gxzf.gov.cn/gxggzy</w:t>
      </w:r>
      <w:r>
        <w:rPr>
          <w:rStyle w:val="47"/>
          <w:rFonts w:hint="eastAsia" w:cs="宋体"/>
          <w:color w:val="auto"/>
          <w:highlight w:val="none"/>
          <w:u w:val="none"/>
          <w:lang w:eastAsia="zh-CN"/>
        </w:rPr>
        <w:t>）</w:t>
      </w:r>
      <w:r>
        <w:rPr>
          <w:rStyle w:val="47"/>
          <w:rFonts w:hint="eastAsia" w:cs="宋体"/>
          <w:color w:val="auto"/>
          <w:highlight w:val="none"/>
          <w:u w:val="none"/>
        </w:rPr>
        <w:t>，通过互联网使用广西壮族自治区公共资源交易平台系统数字证书（CA）交叉互认平台认可的数字证书将加密的电子投标文件</w:t>
      </w:r>
      <w:r>
        <w:rPr>
          <w:rFonts w:hint="eastAsia"/>
          <w:color w:val="auto"/>
          <w:highlight w:val="none"/>
          <w:u w:val="none"/>
        </w:rPr>
        <w:t>（含弹出的输入框中需填写的专职投标员、拟投入的项目主要管理人员身份证信息）</w:t>
      </w:r>
      <w:r>
        <w:rPr>
          <w:rStyle w:val="47"/>
          <w:rFonts w:hint="eastAsia" w:cs="宋体"/>
          <w:color w:val="auto"/>
          <w:highlight w:val="none"/>
          <w:u w:val="none"/>
        </w:rPr>
        <w:t>上传。</w:t>
      </w:r>
      <w:r>
        <w:rPr>
          <w:rFonts w:hint="eastAsia" w:cs="宋体"/>
          <w:color w:val="auto"/>
          <w:highlight w:val="none"/>
          <w:u w:val="none"/>
        </w:rPr>
        <w:fldChar w:fldCharType="end"/>
      </w:r>
    </w:p>
    <w:p w14:paraId="20F5198E">
      <w:pPr>
        <w:spacing w:line="360" w:lineRule="auto"/>
        <w:ind w:firstLine="420" w:firstLineChars="200"/>
        <w:rPr>
          <w:rFonts w:hint="eastAsia" w:cs="宋体"/>
          <w:color w:val="auto"/>
          <w:highlight w:val="none"/>
        </w:rPr>
      </w:pPr>
      <w:r>
        <w:rPr>
          <w:rFonts w:hint="eastAsia" w:cs="宋体"/>
          <w:color w:val="auto"/>
          <w:highlight w:val="none"/>
        </w:rPr>
        <w:t>5.2逾期提交的</w:t>
      </w:r>
      <w:r>
        <w:rPr>
          <w:rFonts w:hint="eastAsia" w:cs="宋体"/>
          <w:color w:val="auto"/>
          <w:highlight w:val="none"/>
          <w:lang w:eastAsia="zh-CN"/>
        </w:rPr>
        <w:t>或</w:t>
      </w:r>
      <w:r>
        <w:rPr>
          <w:rFonts w:hint="eastAsia" w:cs="宋体"/>
          <w:color w:val="auto"/>
          <w:highlight w:val="none"/>
        </w:rPr>
        <w:t>未按照招标文件要求加密的电子投标文件，广西壮族自治区公共资源交易平台系统将予以拒收。</w:t>
      </w:r>
    </w:p>
    <w:p w14:paraId="6A87533E">
      <w:pPr>
        <w:spacing w:line="360" w:lineRule="auto"/>
        <w:ind w:firstLine="420" w:firstLineChars="200"/>
        <w:rPr>
          <w:rFonts w:cs="宋体"/>
          <w:color w:val="auto"/>
          <w:highlight w:val="none"/>
        </w:rPr>
      </w:pPr>
      <w:r>
        <w:rPr>
          <w:rFonts w:hint="eastAsia" w:cs="宋体"/>
          <w:color w:val="auto"/>
          <w:highlight w:val="none"/>
        </w:rPr>
        <w:t>5.3未办理广西壮族自治区公共资源交易平台系统数字证书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的潜在投标人，应先取得数字证书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。具体办理方法请登录广西壮族自治区公共资源交易平台系统数字证书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交叉互认平台（http://ggzy.jgswj.gxzf.gov.cn/gxggzy/CAhrpt/CAlogin.html）查看。</w:t>
      </w:r>
    </w:p>
    <w:p w14:paraId="2C3D952F">
      <w:pPr>
        <w:spacing w:line="360" w:lineRule="auto"/>
        <w:ind w:firstLine="420" w:firstLineChars="200"/>
        <w:rPr>
          <w:rFonts w:cs="宋体"/>
          <w:color w:val="auto"/>
          <w:highlight w:val="none"/>
        </w:rPr>
      </w:pPr>
      <w:r>
        <w:rPr>
          <w:rFonts w:cs="宋体"/>
          <w:color w:val="auto"/>
          <w:highlight w:val="none"/>
        </w:rPr>
        <w:t>5.</w:t>
      </w:r>
      <w:r>
        <w:rPr>
          <w:rFonts w:hint="eastAsia" w:cs="宋体"/>
          <w:color w:val="auto"/>
          <w:highlight w:val="none"/>
          <w:lang w:val="en-US" w:eastAsia="zh-CN"/>
        </w:rPr>
        <w:t>4</w:t>
      </w:r>
      <w:r>
        <w:rPr>
          <w:rFonts w:cs="宋体"/>
          <w:color w:val="auto"/>
          <w:highlight w:val="none"/>
        </w:rPr>
        <w:t xml:space="preserve"> </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378FE2D0">
      <w:pPr>
        <w:wordWrap w:val="0"/>
        <w:spacing w:line="360" w:lineRule="auto"/>
        <w:ind w:firstLine="420" w:firstLineChars="200"/>
        <w:jc w:val="left"/>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5广西壮族自治区网上开标子系统（不见面）登录方式：建议各投标人使用360、edge、谷歌、火狐、华为等浏览器打开登录页面（登录地址：http://202.103.240.162:8072/BidOpening），使用数字证书（包含数字证书（CA）和“桂交易移动CA”）登录。使用“桂交易移动CA”投标的操作流程，详见http://ggzy.jgswj.gxzf.gov.cn/gxggzy/gywm/004021/004021001/20211123/185f3a63-1ec6-4c75-a0c9-4aeedfdacda9.html。</w:t>
      </w:r>
    </w:p>
    <w:p w14:paraId="04E4F29E">
      <w:pPr>
        <w:spacing w:line="360" w:lineRule="auto"/>
        <w:ind w:firstLine="420" w:firstLineChars="200"/>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6</w:t>
      </w:r>
      <w:r>
        <w:rPr>
          <w:rFonts w:hint="eastAsia" w:cs="宋体"/>
          <w:color w:val="auto"/>
          <w:highlight w:val="none"/>
        </w:rPr>
        <w:t xml:space="preserve"> 以“桂交易移动CA”制作的投标文件，只能用生成投标文件时加密投标文件的“桂交易移动CA”证书解密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5C149754">
      <w:pPr>
        <w:pStyle w:val="3"/>
        <w:rPr>
          <w:color w:val="auto"/>
          <w:highlight w:val="none"/>
        </w:rPr>
      </w:pPr>
      <w:bookmarkStart w:id="31" w:name="_Toc30230"/>
      <w:bookmarkStart w:id="32" w:name="_Toc389065128"/>
      <w:bookmarkStart w:id="33" w:name="_Toc462079481"/>
      <w:bookmarkStart w:id="34" w:name="_Toc78449599"/>
      <w:bookmarkStart w:id="35" w:name="_Toc407135055"/>
      <w:r>
        <w:rPr>
          <w:color w:val="auto"/>
          <w:highlight w:val="none"/>
        </w:rPr>
        <w:t xml:space="preserve">6. </w:t>
      </w:r>
      <w:r>
        <w:rPr>
          <w:rFonts w:hint="eastAsia" w:cs="黑体"/>
          <w:color w:val="auto"/>
          <w:highlight w:val="none"/>
        </w:rPr>
        <w:t>评标方式</w:t>
      </w:r>
      <w:bookmarkEnd w:id="31"/>
      <w:bookmarkEnd w:id="32"/>
      <w:bookmarkEnd w:id="33"/>
      <w:bookmarkEnd w:id="34"/>
      <w:bookmarkEnd w:id="35"/>
    </w:p>
    <w:p w14:paraId="3B681A01">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rFonts w:hint="eastAsia" w:cs="宋体"/>
          <w:color w:val="auto"/>
          <w:highlight w:val="none"/>
        </w:rPr>
        <w:t>□综合评估法</w:t>
      </w:r>
    </w:p>
    <w:p w14:paraId="7341CACD">
      <w:pPr>
        <w:pStyle w:val="3"/>
        <w:rPr>
          <w:color w:val="auto"/>
          <w:highlight w:val="none"/>
        </w:rPr>
      </w:pPr>
      <w:bookmarkStart w:id="36" w:name="_Toc366794271"/>
      <w:bookmarkStart w:id="37" w:name="_Toc407135056"/>
      <w:bookmarkStart w:id="38" w:name="_Toc2291"/>
      <w:bookmarkStart w:id="39" w:name="_Toc78449600"/>
      <w:bookmarkStart w:id="40" w:name="_Toc389065129"/>
      <w:r>
        <w:rPr>
          <w:color w:val="auto"/>
          <w:highlight w:val="none"/>
        </w:rPr>
        <w:t xml:space="preserve">7. </w:t>
      </w:r>
      <w:r>
        <w:rPr>
          <w:rFonts w:hint="eastAsia" w:cs="黑体"/>
          <w:color w:val="auto"/>
          <w:highlight w:val="none"/>
        </w:rPr>
        <w:t>预付款和进度款支付方式</w:t>
      </w:r>
      <w:bookmarkEnd w:id="36"/>
      <w:bookmarkEnd w:id="37"/>
      <w:bookmarkEnd w:id="38"/>
      <w:bookmarkEnd w:id="39"/>
      <w:bookmarkEnd w:id="40"/>
    </w:p>
    <w:p w14:paraId="5764D344">
      <w:pPr>
        <w:spacing w:line="360" w:lineRule="auto"/>
        <w:ind w:firstLine="420" w:firstLineChars="200"/>
        <w:rPr>
          <w:color w:val="auto"/>
          <w:highlight w:val="none"/>
          <w:u w:val="single"/>
        </w:rPr>
      </w:pPr>
      <w:r>
        <w:rPr>
          <w:rFonts w:hint="eastAsia" w:cs="宋体"/>
          <w:color w:val="auto"/>
          <w:highlight w:val="none"/>
        </w:rPr>
        <w:t>预付款支付比例或金额：</w:t>
      </w:r>
      <w:r>
        <w:rPr>
          <w:rFonts w:hint="eastAsia" w:cs="宋体"/>
          <w:color w:val="auto"/>
          <w:highlight w:val="none"/>
          <w:u w:val="single"/>
        </w:rPr>
        <w:t xml:space="preserve">                               </w:t>
      </w:r>
    </w:p>
    <w:p w14:paraId="664F0EF9">
      <w:pPr>
        <w:spacing w:line="360" w:lineRule="auto"/>
        <w:ind w:firstLine="420" w:firstLineChars="200"/>
        <w:rPr>
          <w:color w:val="auto"/>
          <w:highlight w:val="none"/>
        </w:rPr>
      </w:pPr>
      <w:r>
        <w:rPr>
          <w:rFonts w:hint="eastAsia" w:cs="宋体"/>
          <w:color w:val="auto"/>
          <w:highlight w:val="none"/>
        </w:rPr>
        <w:t>进度款支付方式：</w:t>
      </w:r>
      <w:r>
        <w:rPr>
          <w:rFonts w:hint="eastAsia" w:hAnsi="宋体" w:cs="宋体"/>
          <w:color w:val="auto"/>
          <w:highlight w:val="none"/>
          <w:u w:val="single"/>
        </w:rPr>
        <w:t xml:space="preserve">工程进度款支付限额为已完成工程量的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sz w:val="21"/>
          <w:szCs w:val="21"/>
          <w:highlight w:val="none"/>
          <w:lang w:val="en-US" w:eastAsia="zh-CN" w:bidi="ar"/>
        </w:rPr>
        <w:t>政府机关、事业单位、国有企业建设工程进度款支付应不低于已完成工程价款的80%</w:t>
      </w:r>
      <w:r>
        <w:rPr>
          <w:rFonts w:hint="eastAsia" w:ascii="Times New Roman" w:hAnsi="Times New Roman" w:eastAsia="宋体" w:cs="宋体"/>
          <w:color w:val="auto"/>
          <w:highlight w:val="none"/>
        </w:rPr>
        <w:t>，含</w:t>
      </w:r>
      <w:r>
        <w:rPr>
          <w:rFonts w:hint="eastAsia" w:cs="宋体"/>
          <w:color w:val="auto"/>
          <w:highlight w:val="none"/>
        </w:rPr>
        <w:t>尚未抵扣的工程预付款</w:t>
      </w:r>
      <w:r>
        <w:rPr>
          <w:rFonts w:hint="eastAsia" w:cs="宋体"/>
          <w:color w:val="auto"/>
          <w:highlight w:val="none"/>
          <w:lang w:eastAsia="zh-CN"/>
        </w:rPr>
        <w:t>】</w:t>
      </w:r>
    </w:p>
    <w:p w14:paraId="4AAB7CF5">
      <w:pPr>
        <w:pStyle w:val="3"/>
        <w:rPr>
          <w:color w:val="auto"/>
          <w:highlight w:val="none"/>
          <w:lang w:val="en-US"/>
        </w:rPr>
      </w:pPr>
      <w:bookmarkStart w:id="41" w:name="_Toc389065130"/>
      <w:bookmarkStart w:id="42" w:name="_Toc407135057"/>
      <w:bookmarkStart w:id="43" w:name="_Toc1348545503"/>
      <w:bookmarkStart w:id="44" w:name="_Toc78449601"/>
      <w:bookmarkStart w:id="45" w:name="_Toc23394"/>
      <w:r>
        <w:rPr>
          <w:color w:val="auto"/>
          <w:highlight w:val="none"/>
          <w:lang w:val="en-US"/>
        </w:rPr>
        <w:t xml:space="preserve">8. </w:t>
      </w:r>
      <w:r>
        <w:rPr>
          <w:rFonts w:hint="eastAsia" w:cs="黑体"/>
          <w:color w:val="auto"/>
          <w:highlight w:val="none"/>
        </w:rPr>
        <w:t>发布媒介</w:t>
      </w:r>
      <w:bookmarkEnd w:id="41"/>
      <w:bookmarkEnd w:id="42"/>
      <w:bookmarkEnd w:id="43"/>
      <w:bookmarkEnd w:id="44"/>
      <w:bookmarkEnd w:id="45"/>
    </w:p>
    <w:p w14:paraId="688A56A3">
      <w:pPr>
        <w:spacing w:line="360" w:lineRule="auto"/>
        <w:ind w:firstLine="420" w:firstLineChars="200"/>
        <w:rPr>
          <w:color w:val="auto"/>
          <w:highlight w:val="none"/>
        </w:rPr>
      </w:pPr>
      <w:r>
        <w:rPr>
          <w:rFonts w:hint="eastAsia" w:cs="宋体"/>
          <w:color w:val="auto"/>
          <w:highlight w:val="none"/>
        </w:rPr>
        <w:t>本次招标公告同时在广西壮族自治区招标投标公共服务平台</w:t>
      </w:r>
      <w:bookmarkStart w:id="46" w:name="_Hlk75378480"/>
      <w:r>
        <w:rPr>
          <w:rFonts w:hint="eastAsia" w:cs="宋体"/>
          <w:color w:val="auto"/>
          <w:highlight w:val="none"/>
          <w:lang w:eastAsia="zh-CN"/>
        </w:rPr>
        <w:t>（</w:t>
      </w:r>
      <w:r>
        <w:rPr>
          <w:color w:val="auto"/>
          <w:highlight w:val="none"/>
          <w:u w:val="none"/>
        </w:rPr>
        <w:t>http://zbtb.gxi.gov.cn:9000</w:t>
      </w:r>
      <w:bookmarkEnd w:id="46"/>
      <w:r>
        <w:rPr>
          <w:rFonts w:hint="eastAsia"/>
          <w:color w:val="auto"/>
          <w:highlight w:val="none"/>
          <w:u w:val="none"/>
          <w:lang w:eastAsia="zh-CN"/>
        </w:rPr>
        <w:t>）</w:t>
      </w:r>
      <w:r>
        <w:rPr>
          <w:rFonts w:hint="eastAsia" w:cs="宋体"/>
          <w:color w:val="auto"/>
          <w:highlight w:val="none"/>
        </w:rPr>
        <w:t>、</w:t>
      </w:r>
      <w:r>
        <w:rPr>
          <w:rFonts w:hint="eastAsia"/>
          <w:color w:val="auto"/>
          <w:highlight w:val="none"/>
          <w:u w:val="single"/>
        </w:rPr>
        <w:t>全国</w:t>
      </w:r>
      <w:r>
        <w:rPr>
          <w:rFonts w:hint="eastAsia"/>
          <w:color w:val="auto"/>
          <w:highlight w:val="none"/>
          <w:u w:val="single"/>
        </w:rPr>
        <w:t>公共资源交易平台</w:t>
      </w:r>
      <w:r>
        <w:rPr>
          <w:rFonts w:hint="eastAsia"/>
          <w:color w:val="auto"/>
          <w:highlight w:val="none"/>
          <w:u w:val="single"/>
        </w:rPr>
        <w:t>（</w:t>
      </w:r>
      <w:r>
        <w:rPr>
          <w:rFonts w:hint="eastAsia"/>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eastAsia="zh-CN"/>
        </w:rPr>
        <w:t>（</w:t>
      </w:r>
      <w:r>
        <w:rPr>
          <w:rFonts w:hint="eastAsia"/>
          <w:color w:val="auto"/>
          <w:highlight w:val="none"/>
          <w:u w:val="single"/>
          <w:lang w:val="en-US" w:eastAsia="zh-CN"/>
        </w:rPr>
        <w:t>网址）</w:t>
      </w:r>
      <w:r>
        <w:rPr>
          <w:rFonts w:hint="eastAsia" w:cs="宋体"/>
          <w:color w:val="auto"/>
          <w:highlight w:val="none"/>
        </w:rPr>
        <w:t>（公告发布媒介包含但不限于上述媒介）发布。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kern w:val="2"/>
          <w:sz w:val="21"/>
          <w:szCs w:val="24"/>
          <w:highlight w:val="none"/>
          <w:lang w:val="en-US" w:eastAsia="zh-CN" w:bidi="ar"/>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r>
        <w:rPr>
          <w:rFonts w:hint="eastAsia" w:cs="宋体"/>
          <w:color w:val="auto"/>
          <w:highlight w:val="none"/>
        </w:rPr>
        <w:t>。</w:t>
      </w:r>
    </w:p>
    <w:p w14:paraId="1F7B5226">
      <w:pPr>
        <w:pStyle w:val="3"/>
        <w:rPr>
          <w:rFonts w:hint="eastAsia" w:eastAsia="黑体"/>
          <w:color w:val="auto"/>
          <w:highlight w:val="none"/>
          <w:lang w:eastAsia="zh-CN"/>
        </w:rPr>
      </w:pPr>
      <w:bookmarkStart w:id="47" w:name="_Toc407135058"/>
      <w:bookmarkStart w:id="48" w:name="_Toc78449602"/>
      <w:bookmarkStart w:id="49" w:name="_Toc888996978"/>
      <w:bookmarkStart w:id="50" w:name="_Toc2550"/>
      <w:r>
        <w:rPr>
          <w:color w:val="auto"/>
          <w:highlight w:val="none"/>
        </w:rPr>
        <w:t xml:space="preserve">9. </w:t>
      </w:r>
      <w:bookmarkEnd w:id="47"/>
      <w:bookmarkEnd w:id="48"/>
      <w:bookmarkEnd w:id="49"/>
      <w:r>
        <w:rPr>
          <w:rFonts w:hint="eastAsia" w:cs="黑体"/>
          <w:color w:val="auto"/>
          <w:highlight w:val="none"/>
          <w:lang w:eastAsia="zh-CN"/>
        </w:rPr>
        <w:t>公共资源交易平台运行服务机构</w:t>
      </w:r>
      <w:bookmarkEnd w:id="50"/>
    </w:p>
    <w:p w14:paraId="0D05E55E">
      <w:pPr>
        <w:spacing w:line="360" w:lineRule="auto"/>
        <w:ind w:firstLine="420" w:firstLineChars="200"/>
        <w:rPr>
          <w:color w:val="auto"/>
          <w:highlight w:val="none"/>
        </w:rPr>
      </w:pPr>
      <w:r>
        <w:rPr>
          <w:color w:val="auto"/>
          <w:highlight w:val="none"/>
          <w:u w:val="single"/>
        </w:rPr>
        <w:t xml:space="preserve">                                  </w:t>
      </w:r>
    </w:p>
    <w:p w14:paraId="1FBB6711">
      <w:pPr>
        <w:pStyle w:val="3"/>
        <w:rPr>
          <w:color w:val="auto"/>
          <w:highlight w:val="none"/>
        </w:rPr>
      </w:pPr>
      <w:bookmarkStart w:id="51" w:name="_Toc407135059"/>
      <w:bookmarkStart w:id="52" w:name="_Toc30663"/>
      <w:bookmarkStart w:id="53" w:name="_Toc335107020"/>
      <w:bookmarkStart w:id="54" w:name="_Toc78449603"/>
      <w:r>
        <w:rPr>
          <w:color w:val="auto"/>
          <w:highlight w:val="none"/>
        </w:rPr>
        <w:t xml:space="preserve">10. </w:t>
      </w:r>
      <w:r>
        <w:rPr>
          <w:rFonts w:hint="eastAsia" w:cs="黑体"/>
          <w:color w:val="auto"/>
          <w:highlight w:val="none"/>
        </w:rPr>
        <w:t>监督部门及电话</w:t>
      </w:r>
      <w:bookmarkEnd w:id="51"/>
      <w:bookmarkEnd w:id="52"/>
      <w:bookmarkEnd w:id="53"/>
      <w:bookmarkEnd w:id="54"/>
    </w:p>
    <w:p w14:paraId="0A8F875B">
      <w:pPr>
        <w:spacing w:line="360" w:lineRule="auto"/>
        <w:ind w:firstLine="420" w:firstLineChars="200"/>
        <w:rPr>
          <w:color w:val="auto"/>
          <w:highlight w:val="none"/>
        </w:rPr>
      </w:pPr>
      <w:r>
        <w:rPr>
          <w:color w:val="auto"/>
          <w:highlight w:val="none"/>
          <w:u w:val="single"/>
        </w:rPr>
        <w:t xml:space="preserve">                                  </w:t>
      </w:r>
    </w:p>
    <w:p w14:paraId="60C7588E">
      <w:pPr>
        <w:spacing w:line="360" w:lineRule="auto"/>
        <w:ind w:firstLine="420" w:firstLineChars="200"/>
        <w:rPr>
          <w:color w:val="auto"/>
          <w:highlight w:val="none"/>
        </w:rPr>
      </w:pPr>
      <w:r>
        <w:rPr>
          <w:color w:val="auto"/>
          <w:highlight w:val="none"/>
          <w:u w:val="single"/>
        </w:rPr>
        <w:t xml:space="preserve">                                  </w:t>
      </w:r>
    </w:p>
    <w:p w14:paraId="0ABB4C8F">
      <w:pPr>
        <w:pStyle w:val="3"/>
        <w:spacing w:line="413" w:lineRule="auto"/>
        <w:rPr>
          <w:color w:val="auto"/>
          <w:sz w:val="32"/>
          <w:szCs w:val="32"/>
          <w:highlight w:val="none"/>
          <w:lang w:val="en-US"/>
        </w:rPr>
      </w:pPr>
      <w:bookmarkStart w:id="55" w:name="_Toc16413"/>
      <w:bookmarkStart w:id="56" w:name="_Toc195229621"/>
      <w:bookmarkStart w:id="57" w:name="_Toc407135061"/>
      <w:bookmarkStart w:id="58" w:name="_Toc78449604"/>
      <w:r>
        <w:rPr>
          <w:color w:val="auto"/>
          <w:highlight w:val="none"/>
          <w:lang w:val="en-US"/>
        </w:rPr>
        <w:t xml:space="preserve">11. </w:t>
      </w:r>
      <w:r>
        <w:rPr>
          <w:rFonts w:hint="eastAsia" w:cs="Times New Roman"/>
          <w:color w:val="auto"/>
          <w:sz w:val="32"/>
          <w:szCs w:val="32"/>
          <w:highlight w:val="none"/>
        </w:rPr>
        <w:t>注意事项</w:t>
      </w:r>
      <w:bookmarkEnd w:id="55"/>
      <w:bookmarkEnd w:id="56"/>
      <w:bookmarkEnd w:id="57"/>
      <w:bookmarkEnd w:id="58"/>
    </w:p>
    <w:p w14:paraId="3D827E43">
      <w:pPr>
        <w:spacing w:line="360" w:lineRule="auto"/>
        <w:ind w:firstLine="420" w:firstLineChars="200"/>
        <w:rPr>
          <w:rFonts w:ascii="宋体"/>
          <w:color w:val="auto"/>
          <w:highlight w:val="none"/>
        </w:rPr>
      </w:pPr>
      <w:r>
        <w:rPr>
          <w:rFonts w:hint="eastAsia" w:hAnsi="宋体" w:cs="宋体"/>
          <w:color w:val="auto"/>
          <w:highlight w:val="none"/>
        </w:rPr>
        <w:t>潜在投标人必须录入“桂建云”系统，“桂建云”系统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https://gxjzsc.gxcic.net/</w:t>
      </w:r>
      <w:r>
        <w:rPr>
          <w:rFonts w:hint="default" w:ascii="Times New Roman" w:hAnsi="Times New Roman" w:cs="Times New Roman"/>
          <w:color w:val="auto"/>
          <w:highlight w:val="none"/>
        </w:rPr>
        <w:t>由于“桂建云”与全国建筑市场监管公共服务平台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相关信息同步存在时间差（企业每次登录“桂建云”时自动同步全国平台数据），投标人应自行预留足够的时间，至少提前24小时将所需投标材料下行至“桂建云”</w:t>
      </w:r>
      <w:r>
        <w:rPr>
          <w:rFonts w:hint="eastAsia" w:ascii="宋体" w:hAnsi="宋体" w:cs="宋体"/>
          <w:color w:val="auto"/>
          <w:highlight w:val="none"/>
        </w:rPr>
        <w:t>，若因投标人原因未能同步的，后果自行负责。</w:t>
      </w:r>
    </w:p>
    <w:p w14:paraId="6247B907">
      <w:pPr>
        <w:pStyle w:val="3"/>
        <w:rPr>
          <w:color w:val="auto"/>
          <w:highlight w:val="none"/>
        </w:rPr>
      </w:pPr>
      <w:bookmarkStart w:id="59" w:name="_Toc78449605"/>
      <w:bookmarkStart w:id="60" w:name="_Toc1384869539"/>
      <w:bookmarkStart w:id="61" w:name="_Toc30319"/>
      <w:r>
        <w:rPr>
          <w:color w:val="auto"/>
          <w:highlight w:val="none"/>
        </w:rPr>
        <w:t xml:space="preserve">12. </w:t>
      </w:r>
      <w:r>
        <w:rPr>
          <w:rFonts w:hint="eastAsia" w:cs="黑体"/>
          <w:color w:val="auto"/>
          <w:highlight w:val="none"/>
        </w:rPr>
        <w:t>联系方式</w:t>
      </w:r>
      <w:bookmarkEnd w:id="59"/>
      <w:bookmarkEnd w:id="60"/>
      <w:bookmarkEnd w:id="61"/>
    </w:p>
    <w:p w14:paraId="760B9431">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（加盖公章）</w:t>
      </w:r>
      <w:r>
        <w:rPr>
          <w:rFonts w:hint="eastAsia" w:cs="Times New Roman"/>
          <w:strike w:val="0"/>
          <w:color w:val="auto"/>
          <w:highlight w:val="none"/>
          <w:u w:val="single"/>
          <w:vertAlign w:val="baseline"/>
          <w:lang w:val="en-US" w:eastAsia="zh-CN"/>
        </w:rPr>
        <w:t xml:space="preserve">    </w:t>
      </w:r>
      <w:r>
        <w:rPr>
          <w:rFonts w:hint="eastAsia" w:cs="Times New Roman"/>
          <w:strike w:val="0"/>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olor w:val="auto"/>
          <w:highlight w:val="none"/>
          <w:u w:val="single"/>
          <w:lang w:val="en-US" w:eastAsia="zh-CN"/>
        </w:rPr>
        <w:t>（加盖公章）</w:t>
      </w:r>
      <w:r>
        <w:rPr>
          <w:rFonts w:hint="eastAsia" w:cs="Times New Roman"/>
          <w:strike w:val="0"/>
          <w:color w:val="auto"/>
          <w:highlight w:val="none"/>
          <w:u w:val="single"/>
          <w:vertAlign w:val="baseline"/>
          <w:lang w:val="en-US" w:eastAsia="zh-CN"/>
        </w:rPr>
        <w:t xml:space="preserve">    </w:t>
      </w:r>
      <w:r>
        <w:rPr>
          <w:rFonts w:hint="eastAsia" w:cs="Times New Roman"/>
          <w:strike w:val="0"/>
          <w:color w:val="auto"/>
          <w:highlight w:val="none"/>
          <w:u w:val="none"/>
          <w:vertAlign w:val="baseline"/>
          <w:lang w:val="en-US" w:eastAsia="zh-CN"/>
        </w:rPr>
        <w:t xml:space="preserve">   </w:t>
      </w:r>
      <w:r>
        <w:rPr>
          <w:rFonts w:hint="eastAsia" w:cs="Times New Roman"/>
          <w:strike w:val="0"/>
          <w:color w:val="auto"/>
          <w:highlight w:val="none"/>
          <w:u w:val="single"/>
          <w:vertAlign w:val="baseline"/>
          <w:lang w:val="en-US" w:eastAsia="zh-CN"/>
        </w:rPr>
        <w:t xml:space="preserve">             </w:t>
      </w:r>
    </w:p>
    <w:p w14:paraId="3F12065B">
      <w:pPr>
        <w:spacing w:line="360" w:lineRule="auto"/>
        <w:ind w:firstLine="420" w:firstLineChars="200"/>
        <w:rPr>
          <w:color w:val="auto"/>
          <w:highlight w:val="none"/>
          <w:u w:val="singl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p>
    <w:p w14:paraId="2DFEC67D">
      <w:pPr>
        <w:spacing w:line="360" w:lineRule="auto"/>
        <w:ind w:firstLine="420" w:firstLineChars="200"/>
        <w:rPr>
          <w:color w:val="auto"/>
          <w:highlight w:val="none"/>
        </w:rPr>
      </w:pP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r>
        <w:rPr>
          <w:color w:val="auto"/>
          <w:highlight w:val="none"/>
        </w:rPr>
        <w:t xml:space="preserve">   </w:t>
      </w: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p>
    <w:p w14:paraId="19229AEF">
      <w:pPr>
        <w:spacing w:line="360" w:lineRule="auto"/>
        <w:ind w:firstLine="420" w:firstLineChars="200"/>
        <w:rPr>
          <w:color w:val="auto"/>
          <w:highlight w:val="none"/>
        </w:rPr>
      </w:pP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color w:val="auto"/>
          <w:highlight w:val="none"/>
          <w:u w:val="single"/>
        </w:rPr>
        <w:t xml:space="preserve">                         </w:t>
      </w:r>
      <w:r>
        <w:rPr>
          <w:color w:val="auto"/>
          <w:highlight w:val="none"/>
        </w:rPr>
        <w:t xml:space="preserve">   </w:t>
      </w:r>
      <w:r>
        <w:rPr>
          <w:rFonts w:hint="eastAsia" w:cs="宋体"/>
          <w:color w:val="auto"/>
          <w:highlight w:val="none"/>
          <w:lang w:val="en-US" w:eastAsia="zh-CN"/>
        </w:rPr>
        <w:t>项目负责人</w:t>
      </w:r>
      <w:r>
        <w:rPr>
          <w:rFonts w:hint="eastAsia" w:cs="宋体"/>
          <w:color w:val="auto"/>
          <w:highlight w:val="none"/>
        </w:rPr>
        <w:t>：</w:t>
      </w:r>
      <w:r>
        <w:rPr>
          <w:color w:val="auto"/>
          <w:highlight w:val="none"/>
          <w:u w:val="single"/>
        </w:rPr>
        <w:t xml:space="preserve">                          </w:t>
      </w:r>
    </w:p>
    <w:p w14:paraId="56270819">
      <w:pPr>
        <w:spacing w:line="360" w:lineRule="auto"/>
        <w:ind w:firstLine="420" w:firstLineChars="200"/>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r>
        <w:rPr>
          <w:color w:val="auto"/>
          <w:highlight w:val="none"/>
        </w:rPr>
        <w:t xml:space="preserve">   </w:t>
      </w: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p>
    <w:p w14:paraId="1C73DD46">
      <w:pPr>
        <w:spacing w:line="360" w:lineRule="auto"/>
        <w:ind w:firstLine="420" w:firstLineChars="200"/>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r>
        <w:rPr>
          <w:color w:val="auto"/>
          <w:highlight w:val="none"/>
        </w:rPr>
        <w:t xml:space="preserve">   </w:t>
      </w: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p>
    <w:p w14:paraId="38B19B36">
      <w:pPr>
        <w:spacing w:line="360" w:lineRule="auto"/>
        <w:ind w:firstLine="420" w:firstLineChars="200"/>
        <w:rPr>
          <w:color w:val="auto"/>
          <w:highlight w:val="none"/>
        </w:rPr>
      </w:pPr>
      <w:r>
        <w:rPr>
          <w:rFonts w:hint="eastAsia" w:cs="宋体"/>
          <w:color w:val="auto"/>
          <w:highlight w:val="none"/>
        </w:rPr>
        <w:t>电子邮箱：</w:t>
      </w:r>
      <w:r>
        <w:rPr>
          <w:color w:val="auto"/>
          <w:highlight w:val="none"/>
          <w:u w:val="single"/>
        </w:rPr>
        <w:t xml:space="preserve">                         </w:t>
      </w:r>
      <w:r>
        <w:rPr>
          <w:color w:val="auto"/>
          <w:highlight w:val="none"/>
        </w:rPr>
        <w:t xml:space="preserve">   </w:t>
      </w:r>
      <w:r>
        <w:rPr>
          <w:rFonts w:hint="eastAsia" w:cs="宋体"/>
          <w:color w:val="auto"/>
          <w:highlight w:val="none"/>
        </w:rPr>
        <w:t>电子邮箱：</w:t>
      </w:r>
      <w:r>
        <w:rPr>
          <w:color w:val="auto"/>
          <w:highlight w:val="none"/>
          <w:u w:val="single"/>
        </w:rPr>
        <w:t xml:space="preserve">                            </w:t>
      </w:r>
    </w:p>
    <w:p w14:paraId="34BF4269">
      <w:pPr>
        <w:spacing w:line="360" w:lineRule="auto"/>
        <w:ind w:firstLine="420" w:firstLineChars="200"/>
        <w:rPr>
          <w:color w:val="auto"/>
          <w:highlight w:val="none"/>
          <w:u w:val="single"/>
        </w:rPr>
      </w:pP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p>
    <w:p w14:paraId="104B7721">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2FE6055A">
      <w:pPr>
        <w:spacing w:line="360" w:lineRule="auto"/>
        <w:ind w:right="420"/>
        <w:jc w:val="right"/>
        <w:rPr>
          <w:rFonts w:hint="eastAsia"/>
          <w:color w:val="auto"/>
          <w:highlight w:val="none"/>
          <w:u w:val="single"/>
          <w:lang w:val="en-US" w:eastAsia="zh-CN"/>
        </w:rPr>
      </w:pPr>
      <w:r>
        <w:rPr>
          <w:rFonts w:hint="eastAsia"/>
          <w:color w:val="auto"/>
          <w:highlight w:val="none"/>
          <w:u w:val="single"/>
          <w:lang w:val="en-US" w:eastAsia="zh-CN"/>
        </w:rPr>
        <w:t xml:space="preserve">                                              </w:t>
      </w:r>
    </w:p>
    <w:p w14:paraId="50036659">
      <w:pPr>
        <w:pStyle w:val="27"/>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38302B25">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F2FCBE6">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sectPr>
          <w:footerReference r:id="rId4" w:type="default"/>
          <w:pgSz w:w="11906" w:h="16838"/>
          <w:pgMar w:top="1440" w:right="1440" w:bottom="1440" w:left="1797" w:header="851" w:footer="851" w:gutter="0"/>
          <w:pgNumType w:start="1"/>
          <w:cols w:space="720" w:num="1"/>
          <w:docGrid w:linePitch="312" w:charSpace="0"/>
        </w:sectPr>
      </w:pPr>
    </w:p>
    <w:p w14:paraId="328DC0AE">
      <w:pPr>
        <w:pStyle w:val="2"/>
        <w:jc w:val="center"/>
        <w:rPr>
          <w:color w:val="auto"/>
          <w:highlight w:val="none"/>
        </w:rPr>
      </w:pPr>
      <w:bookmarkStart w:id="62" w:name="_Toc407135062"/>
      <w:bookmarkStart w:id="63" w:name="_Toc5997"/>
      <w:bookmarkStart w:id="64" w:name="_Toc389065132"/>
      <w:bookmarkStart w:id="65" w:name="_Toc637117891"/>
      <w:bookmarkStart w:id="66" w:name="_Toc78449606"/>
      <w:r>
        <w:rPr>
          <w:rFonts w:hint="eastAsia" w:cs="黑体"/>
          <w:color w:val="auto"/>
          <w:highlight w:val="none"/>
        </w:rPr>
        <w:t>第一章</w:t>
      </w:r>
      <w:r>
        <w:rPr>
          <w:color w:val="auto"/>
          <w:highlight w:val="none"/>
        </w:rPr>
        <w:t xml:space="preserve">  </w:t>
      </w:r>
      <w:r>
        <w:rPr>
          <w:rFonts w:hint="eastAsia" w:cs="黑体"/>
          <w:color w:val="auto"/>
          <w:highlight w:val="none"/>
        </w:rPr>
        <w:t>投标邀请书（适用于邀请招标）</w:t>
      </w:r>
      <w:bookmarkEnd w:id="62"/>
      <w:bookmarkEnd w:id="63"/>
      <w:bookmarkEnd w:id="64"/>
      <w:bookmarkEnd w:id="65"/>
      <w:bookmarkEnd w:id="66"/>
    </w:p>
    <w:p w14:paraId="38E6193B">
      <w:pPr>
        <w:spacing w:before="120" w:beforeLines="50" w:after="240" w:afterLines="100" w:line="360" w:lineRule="auto"/>
        <w:ind w:firstLine="437"/>
        <w:jc w:val="center"/>
        <w:rPr>
          <w:b/>
          <w:bCs/>
          <w:color w:val="auto"/>
          <w:sz w:val="24"/>
          <w:szCs w:val="24"/>
          <w:highlight w:val="none"/>
        </w:rPr>
      </w:pPr>
      <w:r>
        <w:rPr>
          <w:b/>
          <w:bCs/>
          <w:color w:val="auto"/>
          <w:sz w:val="24"/>
          <w:szCs w:val="24"/>
          <w:highlight w:val="none"/>
          <w:u w:val="single"/>
        </w:rPr>
        <w:t xml:space="preserve">                            </w:t>
      </w:r>
      <w:r>
        <w:rPr>
          <w:rFonts w:hint="eastAsia" w:cs="宋体"/>
          <w:b/>
          <w:bCs/>
          <w:color w:val="auto"/>
          <w:sz w:val="24"/>
          <w:szCs w:val="24"/>
          <w:highlight w:val="none"/>
        </w:rPr>
        <w:t>（招标项目名称）施工投标邀请书</w:t>
      </w:r>
    </w:p>
    <w:p w14:paraId="69E49317">
      <w:pPr>
        <w:spacing w:line="360" w:lineRule="auto"/>
        <w:rPr>
          <w:color w:val="auto"/>
          <w:highlight w:val="none"/>
        </w:rPr>
      </w:pPr>
      <w:r>
        <w:rPr>
          <w:color w:val="auto"/>
          <w:highlight w:val="none"/>
          <w:u w:val="single"/>
        </w:rPr>
        <w:t xml:space="preserve">                                </w:t>
      </w:r>
      <w:r>
        <w:rPr>
          <w:color w:val="auto"/>
          <w:highlight w:val="none"/>
        </w:rPr>
        <w:t xml:space="preserve"> </w:t>
      </w:r>
      <w:r>
        <w:rPr>
          <w:rFonts w:hint="eastAsia" w:cs="宋体"/>
          <w:color w:val="auto"/>
          <w:highlight w:val="none"/>
        </w:rPr>
        <w:t>（被邀请单位名称）：</w:t>
      </w:r>
    </w:p>
    <w:p w14:paraId="4877CABA">
      <w:pPr>
        <w:pStyle w:val="3"/>
        <w:rPr>
          <w:color w:val="auto"/>
          <w:highlight w:val="none"/>
        </w:rPr>
      </w:pPr>
      <w:bookmarkStart w:id="67" w:name="_Toc78449607"/>
      <w:bookmarkStart w:id="68" w:name="_Toc1823840432"/>
      <w:bookmarkStart w:id="69" w:name="_Toc407135063"/>
      <w:bookmarkStart w:id="70" w:name="_Toc389065133"/>
      <w:bookmarkStart w:id="71" w:name="_Toc21187"/>
      <w:r>
        <w:rPr>
          <w:color w:val="auto"/>
          <w:highlight w:val="none"/>
        </w:rPr>
        <w:t xml:space="preserve">1. </w:t>
      </w:r>
      <w:r>
        <w:rPr>
          <w:rFonts w:hint="eastAsia" w:cs="黑体"/>
          <w:color w:val="auto"/>
          <w:highlight w:val="none"/>
        </w:rPr>
        <w:t>招标条件</w:t>
      </w:r>
      <w:bookmarkEnd w:id="67"/>
      <w:bookmarkEnd w:id="68"/>
      <w:bookmarkEnd w:id="69"/>
      <w:bookmarkEnd w:id="70"/>
      <w:bookmarkEnd w:id="71"/>
    </w:p>
    <w:p w14:paraId="3D3AB6F3">
      <w:pPr>
        <w:spacing w:line="360" w:lineRule="auto"/>
        <w:ind w:firstLine="420" w:firstLineChars="200"/>
        <w:rPr>
          <w:color w:val="auto"/>
          <w:highlight w:val="none"/>
        </w:rPr>
      </w:pPr>
      <w:r>
        <w:rPr>
          <w:rFonts w:hint="eastAsia" w:cs="宋体"/>
          <w:color w:val="auto"/>
          <w:highlight w:val="none"/>
        </w:rPr>
        <w:t>本项目</w:t>
      </w: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项目名称）已由</w:t>
      </w:r>
      <w:r>
        <w:rPr>
          <w:color w:val="auto"/>
          <w:highlight w:val="none"/>
          <w:u w:val="single"/>
        </w:rPr>
        <w:t xml:space="preserve">                 </w:t>
      </w:r>
      <w:r>
        <w:rPr>
          <w:rFonts w:hint="eastAsia" w:cs="宋体"/>
          <w:color w:val="auto"/>
          <w:highlight w:val="none"/>
        </w:rPr>
        <w:t>（项目审批、核准或备案机关名称）以</w:t>
      </w:r>
      <w:r>
        <w:rPr>
          <w:color w:val="auto"/>
          <w:highlight w:val="none"/>
          <w:u w:val="single"/>
        </w:rPr>
        <w:t xml:space="preserve">               </w:t>
      </w:r>
      <w:r>
        <w:rPr>
          <w:rFonts w:hint="eastAsia" w:cs="宋体"/>
          <w:color w:val="auto"/>
          <w:highlight w:val="none"/>
        </w:rPr>
        <w:t>（</w:t>
      </w:r>
      <w:r>
        <w:rPr>
          <w:rFonts w:hint="eastAsia" w:ascii="仿宋_GB2312" w:hAnsi="宋体" w:cs="宋体"/>
          <w:color w:val="auto"/>
          <w:highlight w:val="none"/>
        </w:rPr>
        <w:t>批文名称、文号、项目代码</w:t>
      </w:r>
      <w:r>
        <w:rPr>
          <w:rFonts w:hint="eastAsia" w:cs="宋体"/>
          <w:color w:val="auto"/>
          <w:highlight w:val="none"/>
        </w:rPr>
        <w:t>）批准建设，招标人（项目业主）为</w:t>
      </w:r>
      <w:r>
        <w:rPr>
          <w:color w:val="auto"/>
          <w:highlight w:val="none"/>
          <w:u w:val="single"/>
        </w:rPr>
        <w:t xml:space="preserve">                 </w:t>
      </w:r>
      <w:r>
        <w:rPr>
          <w:rFonts w:hint="eastAsia" w:cs="宋体"/>
          <w:color w:val="auto"/>
          <w:highlight w:val="none"/>
        </w:rPr>
        <w:t>，建设资金来自</w:t>
      </w:r>
      <w:r>
        <w:rPr>
          <w:color w:val="auto"/>
          <w:highlight w:val="none"/>
          <w:u w:val="single"/>
        </w:rPr>
        <w:t xml:space="preserve">              </w:t>
      </w:r>
      <w:r>
        <w:rPr>
          <w:rFonts w:hint="eastAsia" w:cs="宋体"/>
          <w:color w:val="auto"/>
          <w:highlight w:val="none"/>
        </w:rPr>
        <w:t>（资金来源），项目出资比例为</w:t>
      </w:r>
      <w:r>
        <w:rPr>
          <w:color w:val="auto"/>
          <w:highlight w:val="none"/>
          <w:u w:val="single"/>
        </w:rPr>
        <w:t xml:space="preserve">             </w:t>
      </w:r>
      <w:r>
        <w:rPr>
          <w:rFonts w:hint="eastAsia" w:cs="宋体"/>
          <w:color w:val="auto"/>
          <w:highlight w:val="none"/>
        </w:rPr>
        <w:t>。项目已具备招标条件，现邀请你单位参加</w:t>
      </w:r>
      <w:r>
        <w:rPr>
          <w:rFonts w:hint="eastAsia" w:cs="宋体"/>
          <w:color w:val="auto"/>
          <w:highlight w:val="none"/>
          <w:u w:val="single"/>
          <w:lang w:val="en-US" w:eastAsia="zh-CN"/>
        </w:rPr>
        <w:t>该项目的施工</w:t>
      </w:r>
      <w:r>
        <w:rPr>
          <w:rFonts w:hint="eastAsia" w:cs="宋体"/>
          <w:color w:val="auto"/>
          <w:highlight w:val="none"/>
        </w:rPr>
        <w:t>投标。</w:t>
      </w:r>
    </w:p>
    <w:p w14:paraId="33F68B7B">
      <w:pPr>
        <w:pStyle w:val="3"/>
        <w:rPr>
          <w:rFonts w:hint="eastAsia" w:eastAsia="黑体"/>
          <w:color w:val="auto"/>
          <w:highlight w:val="none"/>
          <w:lang w:eastAsia="zh-CN"/>
        </w:rPr>
      </w:pPr>
      <w:bookmarkStart w:id="72" w:name="_Toc389065134"/>
      <w:bookmarkStart w:id="73" w:name="_Toc78449608"/>
      <w:bookmarkStart w:id="74" w:name="_Toc1254624071"/>
      <w:bookmarkStart w:id="75" w:name="_Toc407135064"/>
      <w:bookmarkStart w:id="76" w:name="_Toc18238"/>
      <w:r>
        <w:rPr>
          <w:color w:val="auto"/>
          <w:highlight w:val="none"/>
        </w:rPr>
        <w:t xml:space="preserve">2. </w:t>
      </w:r>
      <w:bookmarkEnd w:id="72"/>
      <w:bookmarkEnd w:id="73"/>
      <w:bookmarkEnd w:id="74"/>
      <w:bookmarkEnd w:id="75"/>
      <w:r>
        <w:rPr>
          <w:rFonts w:hint="eastAsia" w:cs="黑体"/>
          <w:color w:val="auto"/>
          <w:highlight w:val="none"/>
          <w:lang w:eastAsia="zh-CN"/>
        </w:rPr>
        <w:t>招标项目概况与招标范围</w:t>
      </w:r>
      <w:bookmarkEnd w:id="76"/>
    </w:p>
    <w:p w14:paraId="2DFCEA14">
      <w:pPr>
        <w:spacing w:line="360" w:lineRule="auto"/>
        <w:ind w:firstLine="420" w:firstLineChars="200"/>
        <w:rPr>
          <w:color w:val="auto"/>
          <w:highlight w:val="non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p>
    <w:p w14:paraId="737E3715">
      <w:pPr>
        <w:spacing w:line="360" w:lineRule="auto"/>
        <w:ind w:firstLine="420" w:firstLineChars="200"/>
        <w:rPr>
          <w:color w:val="auto"/>
          <w:highlight w:val="none"/>
          <w:u w:val="single"/>
        </w:rPr>
      </w:pPr>
      <w:r>
        <w:rPr>
          <w:rFonts w:hint="eastAsia" w:cs="宋体"/>
          <w:color w:val="auto"/>
          <w:highlight w:val="none"/>
        </w:rPr>
        <w:t>建设地点：</w:t>
      </w:r>
      <w:r>
        <w:rPr>
          <w:color w:val="auto"/>
          <w:highlight w:val="none"/>
          <w:u w:val="single"/>
        </w:rPr>
        <w:t xml:space="preserve">                                 </w:t>
      </w:r>
    </w:p>
    <w:p w14:paraId="6110BF0C">
      <w:pPr>
        <w:spacing w:line="360" w:lineRule="auto"/>
        <w:ind w:firstLine="420" w:firstLineChars="200"/>
        <w:rPr>
          <w:color w:val="auto"/>
          <w:highlight w:val="none"/>
          <w:u w:val="single"/>
        </w:rPr>
      </w:pPr>
      <w:r>
        <w:rPr>
          <w:rFonts w:hint="eastAsia" w:cs="宋体"/>
          <w:color w:val="auto"/>
          <w:highlight w:val="none"/>
        </w:rPr>
        <w:t>建设规模：</w:t>
      </w:r>
      <w:r>
        <w:rPr>
          <w:color w:val="auto"/>
          <w:highlight w:val="none"/>
          <w:u w:val="single"/>
        </w:rPr>
        <w:t xml:space="preserve">                                 </w:t>
      </w:r>
    </w:p>
    <w:p w14:paraId="1D2F943D">
      <w:pPr>
        <w:spacing w:line="360" w:lineRule="auto"/>
        <w:ind w:firstLine="420" w:firstLineChars="200"/>
        <w:rPr>
          <w:color w:val="auto"/>
          <w:highlight w:val="none"/>
          <w:u w:val="single"/>
        </w:rPr>
      </w:pPr>
      <w:r>
        <w:rPr>
          <w:rFonts w:hint="eastAsia" w:cs="宋体"/>
          <w:color w:val="auto"/>
          <w:highlight w:val="none"/>
        </w:rPr>
        <w:t>合同估算价：</w:t>
      </w:r>
      <w:r>
        <w:rPr>
          <w:color w:val="auto"/>
          <w:highlight w:val="none"/>
          <w:u w:val="single"/>
        </w:rPr>
        <w:t xml:space="preserve">                               </w:t>
      </w:r>
    </w:p>
    <w:p w14:paraId="59C86D49">
      <w:pPr>
        <w:spacing w:line="360" w:lineRule="auto"/>
        <w:ind w:firstLine="420" w:firstLineChars="200"/>
        <w:rPr>
          <w:b/>
          <w:bCs/>
          <w:color w:val="auto"/>
          <w:highlight w:val="none"/>
        </w:rPr>
      </w:pPr>
      <w:r>
        <w:rPr>
          <w:rFonts w:hint="eastAsia" w:cs="宋体"/>
          <w:color w:val="auto"/>
          <w:highlight w:val="none"/>
        </w:rPr>
        <w:t>要求工期：</w:t>
      </w:r>
      <w:r>
        <w:rPr>
          <w:color w:val="auto"/>
          <w:highlight w:val="none"/>
          <w:u w:val="single"/>
        </w:rPr>
        <w:t xml:space="preserve">        </w:t>
      </w:r>
      <w:r>
        <w:rPr>
          <w:rFonts w:hint="eastAsia" w:cs="宋体"/>
          <w:color w:val="auto"/>
          <w:highlight w:val="none"/>
        </w:rPr>
        <w:t>日历天，</w:t>
      </w:r>
      <w:r>
        <w:rPr>
          <w:rFonts w:hint="eastAsia" w:cs="宋体"/>
          <w:color w:val="auto"/>
          <w:highlight w:val="none"/>
        </w:rPr>
        <w:t>定额工期</w:t>
      </w:r>
      <w:r>
        <w:rPr>
          <w:color w:val="auto"/>
          <w:highlight w:val="none"/>
          <w:u w:val="single"/>
        </w:rPr>
        <w:t xml:space="preserve">       </w:t>
      </w:r>
      <w:r>
        <w:rPr>
          <w:rFonts w:hint="eastAsia" w:cs="宋体"/>
          <w:color w:val="auto"/>
          <w:highlight w:val="none"/>
        </w:rPr>
        <w:t>日历天</w:t>
      </w:r>
      <w:r>
        <w:rPr>
          <w:rFonts w:hint="eastAsia" w:cs="宋体"/>
          <w:color w:val="auto"/>
          <w:highlight w:val="none"/>
          <w:lang w:eastAsia="zh-CN"/>
        </w:rPr>
        <w:t>。</w:t>
      </w:r>
    </w:p>
    <w:p w14:paraId="13D2B198">
      <w:pPr>
        <w:spacing w:line="360" w:lineRule="auto"/>
        <w:ind w:firstLine="420" w:firstLineChars="200"/>
        <w:rPr>
          <w:color w:val="auto"/>
          <w:highlight w:val="none"/>
          <w:u w:val="single"/>
        </w:rPr>
      </w:pPr>
      <w:r>
        <w:rPr>
          <w:rFonts w:hint="eastAsia" w:cs="宋体"/>
          <w:color w:val="auto"/>
          <w:highlight w:val="none"/>
        </w:rPr>
        <w:t>招标范围：</w:t>
      </w:r>
      <w:r>
        <w:rPr>
          <w:color w:val="auto"/>
          <w:highlight w:val="none"/>
        </w:rPr>
        <w:t xml:space="preserve"> </w:t>
      </w:r>
      <w:r>
        <w:rPr>
          <w:color w:val="auto"/>
          <w:highlight w:val="none"/>
          <w:u w:val="single"/>
        </w:rPr>
        <w:t xml:space="preserve">                                </w:t>
      </w:r>
    </w:p>
    <w:p w14:paraId="47A343B4">
      <w:pPr>
        <w:spacing w:line="360" w:lineRule="auto"/>
        <w:ind w:firstLine="420" w:firstLineChars="200"/>
        <w:rPr>
          <w:color w:val="auto"/>
          <w:highlight w:val="none"/>
          <w:u w:val="single"/>
        </w:rPr>
      </w:pPr>
      <w:r>
        <w:rPr>
          <w:rFonts w:hint="eastAsia" w:cs="宋体"/>
          <w:color w:val="auto"/>
          <w:highlight w:val="none"/>
        </w:rPr>
        <w:t>标段划分：</w:t>
      </w:r>
      <w:r>
        <w:rPr>
          <w:color w:val="auto"/>
          <w:highlight w:val="none"/>
        </w:rPr>
        <w:t xml:space="preserve"> </w:t>
      </w:r>
      <w:r>
        <w:rPr>
          <w:color w:val="auto"/>
          <w:highlight w:val="none"/>
          <w:u w:val="single"/>
        </w:rPr>
        <w:t xml:space="preserve">                                </w:t>
      </w:r>
    </w:p>
    <w:p w14:paraId="75C57740">
      <w:pPr>
        <w:spacing w:line="360" w:lineRule="auto"/>
        <w:ind w:firstLine="420" w:firstLineChars="200"/>
        <w:rPr>
          <w:color w:val="auto"/>
          <w:highlight w:val="none"/>
        </w:rPr>
      </w:pPr>
      <w:r>
        <w:rPr>
          <w:rFonts w:hint="eastAsia" w:cs="宋体"/>
          <w:color w:val="auto"/>
          <w:highlight w:val="none"/>
        </w:rPr>
        <w:t>设计单位：</w:t>
      </w:r>
      <w:r>
        <w:rPr>
          <w:color w:val="auto"/>
          <w:highlight w:val="none"/>
        </w:rPr>
        <w:t xml:space="preserve"> </w:t>
      </w:r>
      <w:r>
        <w:rPr>
          <w:color w:val="auto"/>
          <w:highlight w:val="none"/>
          <w:u w:val="single"/>
        </w:rPr>
        <w:t xml:space="preserve">                                </w:t>
      </w:r>
    </w:p>
    <w:p w14:paraId="166562C1">
      <w:pPr>
        <w:spacing w:line="360" w:lineRule="auto"/>
        <w:ind w:firstLine="420" w:firstLineChars="200"/>
        <w:rPr>
          <w:color w:val="auto"/>
          <w:highlight w:val="none"/>
        </w:rPr>
      </w:pPr>
      <w:r>
        <w:rPr>
          <w:rFonts w:hint="eastAsia" w:cs="宋体"/>
          <w:color w:val="auto"/>
          <w:highlight w:val="none"/>
        </w:rPr>
        <w:t>勘察单位：</w:t>
      </w:r>
      <w:r>
        <w:rPr>
          <w:color w:val="auto"/>
          <w:highlight w:val="none"/>
        </w:rPr>
        <w:t xml:space="preserve"> </w:t>
      </w:r>
      <w:r>
        <w:rPr>
          <w:color w:val="auto"/>
          <w:highlight w:val="none"/>
          <w:u w:val="single"/>
        </w:rPr>
        <w:t xml:space="preserve">                                </w:t>
      </w:r>
    </w:p>
    <w:p w14:paraId="6058F403">
      <w:pPr>
        <w:pStyle w:val="3"/>
        <w:rPr>
          <w:color w:val="auto"/>
          <w:highlight w:val="none"/>
        </w:rPr>
      </w:pPr>
      <w:bookmarkStart w:id="77" w:name="_Toc572826255"/>
      <w:bookmarkStart w:id="78" w:name="_Toc12810"/>
      <w:bookmarkStart w:id="79" w:name="_Toc78449609"/>
      <w:bookmarkStart w:id="80" w:name="_Toc407135065"/>
      <w:bookmarkStart w:id="81" w:name="_Toc389065135"/>
      <w:r>
        <w:rPr>
          <w:color w:val="auto"/>
          <w:highlight w:val="none"/>
        </w:rPr>
        <w:t xml:space="preserve">3. </w:t>
      </w:r>
      <w:r>
        <w:rPr>
          <w:rFonts w:hint="eastAsia" w:cs="黑体"/>
          <w:color w:val="auto"/>
          <w:highlight w:val="none"/>
        </w:rPr>
        <w:t>投标人资格要求</w:t>
      </w:r>
      <w:bookmarkEnd w:id="77"/>
      <w:bookmarkEnd w:id="78"/>
      <w:bookmarkEnd w:id="79"/>
      <w:bookmarkEnd w:id="80"/>
      <w:bookmarkEnd w:id="81"/>
    </w:p>
    <w:p w14:paraId="08E412EE">
      <w:pPr>
        <w:overflowPunct w:val="0"/>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本次招标要求投标人须已办理</w:t>
      </w:r>
      <w:r>
        <w:rPr>
          <w:rFonts w:hint="eastAsia" w:hAnsi="宋体" w:cs="宋体"/>
          <w:color w:val="auto"/>
          <w:highlight w:val="none"/>
        </w:rPr>
        <w:t>“桂建云”</w:t>
      </w:r>
      <w:r>
        <w:rPr>
          <w:rFonts w:hint="eastAsia" w:cs="宋体"/>
          <w:color w:val="auto"/>
          <w:highlight w:val="none"/>
        </w:rPr>
        <w:t>入库手续并处于有效状态，□无资质要求</w:t>
      </w:r>
      <w:r>
        <w:rPr>
          <w:rFonts w:hint="eastAsia" w:ascii="方正楷体_GB2312" w:hAnsi="方正楷体_GB2312" w:eastAsia="方正楷体_GB2312" w:cs="方正楷体_GB2312"/>
          <w:color w:val="auto"/>
          <w:highlight w:val="none"/>
        </w:rPr>
        <w:t>【备注：已经取消资质要求的承包类型选无资质要求】</w:t>
      </w:r>
      <w:r>
        <w:rPr>
          <w:rFonts w:hint="eastAsia" w:cs="宋体"/>
          <w:color w:val="auto"/>
          <w:highlight w:val="none"/>
        </w:rPr>
        <w:t>□具备</w:t>
      </w:r>
      <w:r>
        <w:rPr>
          <w:color w:val="auto"/>
          <w:highlight w:val="none"/>
          <w:u w:val="single"/>
        </w:rPr>
        <w:t xml:space="preserve">           </w:t>
      </w:r>
      <w:r>
        <w:rPr>
          <w:rFonts w:hint="eastAsia" w:cs="宋体"/>
          <w:color w:val="auto"/>
          <w:highlight w:val="none"/>
        </w:rPr>
        <w:t>资质</w:t>
      </w:r>
      <w:r>
        <w:rPr>
          <w:rFonts w:hint="eastAsia" w:eastAsia="楷体_GB2312" w:cs="楷体_GB2312"/>
          <w:b w:val="0"/>
          <w:bCs w:val="0"/>
          <w:color w:val="auto"/>
          <w:highlight w:val="none"/>
        </w:rPr>
        <w:t>【备注：</w:t>
      </w:r>
      <w:r>
        <w:rPr>
          <w:rFonts w:hint="eastAsia" w:eastAsia="楷体_GB2312" w:cs="楷体_GB2312"/>
          <w:b w:val="0"/>
          <w:bCs w:val="0"/>
          <w:color w:val="auto"/>
          <w:highlight w:val="none"/>
          <w:lang w:eastAsia="zh-CN"/>
        </w:rPr>
        <w:t>1.</w:t>
      </w:r>
      <w:r>
        <w:rPr>
          <w:rFonts w:hint="eastAsia" w:eastAsia="楷体_GB2312" w:cs="楷体_GB2312"/>
          <w:b w:val="0"/>
          <w:bCs w:val="0"/>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eastAsia="楷体_GB2312" w:cs="楷体_GB2312"/>
          <w:b w:val="0"/>
          <w:bCs w:val="0"/>
          <w:color w:val="auto"/>
          <w:highlight w:val="none"/>
          <w:lang w:eastAsia="zh-CN"/>
        </w:rPr>
        <w:t>；2.</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rPr>
        <w:t>】</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color w:val="auto"/>
          <w:highlight w:val="none"/>
          <w:u w:val="single"/>
        </w:rPr>
        <w:t xml:space="preserve">           </w:t>
      </w:r>
      <w:r>
        <w:rPr>
          <w:rFonts w:hint="eastAsia" w:cs="宋体"/>
          <w:color w:val="auto"/>
          <w:highlight w:val="none"/>
        </w:rPr>
        <w:t>专业</w:t>
      </w:r>
      <w:r>
        <w:rPr>
          <w:color w:val="auto"/>
          <w:highlight w:val="none"/>
          <w:u w:val="single"/>
        </w:rPr>
        <w:t xml:space="preserve">    </w:t>
      </w:r>
      <w:r>
        <w:rPr>
          <w:rFonts w:hint="eastAsia" w:ascii="仿宋_GB2312" w:hAnsi="宋体"/>
          <w:color w:val="auto"/>
          <w:highlight w:val="none"/>
          <w:u w:val="single"/>
          <w:lang w:val="en-US" w:eastAsia="zh-CN"/>
        </w:rPr>
        <w:t xml:space="preserve">   </w:t>
      </w:r>
      <w:r>
        <w:rPr>
          <w:rFonts w:hint="eastAsia" w:cs="宋体"/>
          <w:color w:val="auto"/>
          <w:highlight w:val="none"/>
        </w:rPr>
        <w:t>注册建造师执业资格</w:t>
      </w:r>
      <w:r>
        <w:rPr>
          <w:rFonts w:hint="eastAsia" w:eastAsia="楷体_GB2312" w:cs="楷体_GB2312"/>
          <w:b w:val="0"/>
          <w:bCs w:val="0"/>
          <w:color w:val="auto"/>
          <w:highlight w:val="none"/>
        </w:rPr>
        <w:t>【备注：招标人应当根据项目规模，按照注册建造师执业工程规模标准，合理设置注册建造师等级，不得提高资格要求】</w:t>
      </w:r>
      <w:r>
        <w:rPr>
          <w:rFonts w:hint="eastAsia" w:cs="宋体"/>
          <w:color w:val="auto"/>
          <w:highlight w:val="none"/>
        </w:rPr>
        <w:t>，已录入</w:t>
      </w:r>
      <w:r>
        <w:rPr>
          <w:rFonts w:hint="eastAsia" w:hAnsi="宋体" w:cs="宋体"/>
          <w:color w:val="auto"/>
          <w:highlight w:val="none"/>
        </w:rPr>
        <w:t>“桂建云”</w:t>
      </w:r>
      <w:r>
        <w:rPr>
          <w:rFonts w:hint="eastAsia" w:cs="宋体"/>
          <w:color w:val="auto"/>
          <w:highlight w:val="none"/>
        </w:rPr>
        <w:t>并处于有效状态，具备有效的安全生产考核合格证书（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w:t>
      </w:r>
      <w:r>
        <w:rPr>
          <w:rFonts w:hint="eastAsia" w:ascii="Times New Roman" w:hAnsi="Times New Roman" w:eastAsia="宋体" w:cs="宋体"/>
          <w:color w:val="auto"/>
          <w:highlight w:val="none"/>
        </w:rPr>
        <w:t>一款</w:t>
      </w:r>
      <w:r>
        <w:rPr>
          <w:rFonts w:hint="eastAsia" w:ascii="Times New Roman" w:hAnsi="Times New Roman" w:eastAsia="宋体" w:cs="宋体"/>
          <w:color w:val="auto"/>
          <w:highlight w:val="none"/>
          <w:u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u w:val="none"/>
        </w:rPr>
        <w:t>70号</w:t>
      </w:r>
      <w:r>
        <w:rPr>
          <w:rFonts w:hint="eastAsia" w:ascii="Times New Roman" w:hAnsi="Times New Roman" w:eastAsia="宋体" w:cs="宋体"/>
          <w:color w:val="auto"/>
          <w:kern w:val="2"/>
          <w:highlight w:val="none"/>
          <w:u w:val="none"/>
          <w:lang w:eastAsia="zh-CN"/>
        </w:rPr>
        <w:t>、</w:t>
      </w:r>
      <w:r>
        <w:rPr>
          <w:rFonts w:hint="eastAsia" w:ascii="Times New Roman" w:hAnsi="Times New Roman" w:eastAsia="宋体" w:cs="宋体"/>
          <w:color w:val="auto"/>
          <w:kern w:val="2"/>
          <w:sz w:val="21"/>
          <w:szCs w:val="21"/>
          <w:highlight w:val="none"/>
          <w:u w:val="none"/>
        </w:rPr>
        <w:t>桂建管〔2020〕11号</w:t>
      </w:r>
      <w:r>
        <w:rPr>
          <w:rFonts w:hint="eastAsia" w:ascii="Times New Roman" w:hAnsi="Times New Roman" w:eastAsia="宋体" w:cs="宋体"/>
          <w:color w:val="auto"/>
          <w:highlight w:val="none"/>
          <w:u w:val="none"/>
        </w:rPr>
        <w:t>文</w:t>
      </w:r>
      <w:r>
        <w:rPr>
          <w:rFonts w:hint="eastAsia" w:cs="宋体"/>
          <w:color w:val="auto"/>
          <w:highlight w:val="none"/>
        </w:rPr>
        <w:t>除外）。</w:t>
      </w:r>
    </w:p>
    <w:p w14:paraId="3AA19A41">
      <w:pPr>
        <w:spacing w:line="360" w:lineRule="auto"/>
        <w:ind w:firstLine="420" w:firstLineChars="200"/>
        <w:rPr>
          <w:rFonts w:hint="eastAsia" w:cs="宋体"/>
          <w:color w:val="auto"/>
          <w:highlight w:val="none"/>
        </w:rPr>
      </w:pPr>
      <w:r>
        <w:rPr>
          <w:color w:val="auto"/>
          <w:highlight w:val="none"/>
        </w:rPr>
        <w:t>3.2</w:t>
      </w:r>
      <w:r>
        <w:rPr>
          <w:rFonts w:hint="eastAsia" w:cs="宋体"/>
          <w:color w:val="auto"/>
          <w:highlight w:val="none"/>
        </w:rPr>
        <w:t>业绩要求：□无要求</w:t>
      </w:r>
      <w:r>
        <w:rPr>
          <w:color w:val="auto"/>
          <w:highlight w:val="none"/>
        </w:rPr>
        <w:t xml:space="preserve">  </w:t>
      </w:r>
      <w:r>
        <w:rPr>
          <w:rFonts w:hint="eastAsia" w:cs="宋体"/>
          <w:color w:val="auto"/>
          <w:highlight w:val="none"/>
        </w:rPr>
        <w:t xml:space="preserve">□有要求，要求 </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份）以来</w:t>
      </w:r>
      <w:r>
        <w:rPr>
          <w:rFonts w:hint="eastAsia" w:cs="宋体"/>
          <w:color w:val="auto"/>
          <w:highlight w:val="none"/>
        </w:rPr>
        <w:t>□完成过质量合格的类似工程业绩 □承接过类似工程业绩</w:t>
      </w:r>
      <w:r>
        <w:rPr>
          <w:rFonts w:hint="eastAsia" w:cs="宋体"/>
          <w:b/>
          <w:bCs/>
          <w:color w:val="auto"/>
          <w:highlight w:val="none"/>
          <w:lang w:eastAsia="zh-CN"/>
        </w:rPr>
        <w:t>。</w:t>
      </w:r>
      <w:r>
        <w:rPr>
          <w:rFonts w:hint="eastAsia" w:cs="宋体"/>
          <w:color w:val="auto"/>
          <w:highlight w:val="none"/>
        </w:rPr>
        <w:t>类似工程指：</w:t>
      </w:r>
      <w:r>
        <w:rPr>
          <w:color w:val="auto"/>
          <w:highlight w:val="none"/>
          <w:u w:val="single"/>
        </w:rPr>
        <w:t xml:space="preserve">                    </w:t>
      </w:r>
      <w:r>
        <w:rPr>
          <w:rFonts w:hint="eastAsia" w:cs="宋体"/>
          <w:color w:val="auto"/>
          <w:highlight w:val="none"/>
        </w:rPr>
        <w:t>。</w:t>
      </w:r>
    </w:p>
    <w:p w14:paraId="778D8CC4">
      <w:pPr>
        <w:spacing w:line="360" w:lineRule="auto"/>
        <w:ind w:firstLine="420" w:firstLineChars="200"/>
        <w:rPr>
          <w:rFonts w:hint="eastAsia" w:ascii="方正楷体_GB2312" w:hAnsi="方正楷体_GB2312" w:eastAsia="方正楷体_GB2312" w:cs="方正楷体_GB2312"/>
          <w:color w:val="auto"/>
          <w:highlight w:val="none"/>
        </w:rPr>
      </w:pPr>
      <w:r>
        <w:rPr>
          <w:color w:val="auto"/>
          <w:highlight w:val="none"/>
        </w:rPr>
        <w:t xml:space="preserve">3.3 </w:t>
      </w:r>
      <w:r>
        <w:rPr>
          <w:rFonts w:hint="eastAsia"/>
          <w:color w:val="auto"/>
          <w:highlight w:val="none"/>
        </w:rPr>
        <w:t>本次招标</w:t>
      </w:r>
      <w:r>
        <w:rPr>
          <w:color w:val="auto"/>
          <w:highlight w:val="none"/>
          <w:u w:val="single"/>
        </w:rPr>
        <w:t xml:space="preserve">       </w:t>
      </w:r>
      <w:r>
        <w:rPr>
          <w:rFonts w:hint="eastAsia"/>
          <w:color w:val="auto"/>
          <w:highlight w:val="none"/>
        </w:rPr>
        <w:t>（接受或不接受）联合体投标。联合体投标的，应满足下列要求：</w:t>
      </w:r>
      <w:r>
        <w:rPr>
          <w:color w:val="auto"/>
          <w:highlight w:val="none"/>
          <w:u w:val="single"/>
        </w:rPr>
        <w:t xml:space="preserve">                                            </w:t>
      </w:r>
      <w:r>
        <w:rPr>
          <w:rFonts w:hint="eastAsia"/>
          <w:color w:val="auto"/>
          <w:highlight w:val="none"/>
        </w:rPr>
        <w:t>。</w:t>
      </w:r>
      <w:r>
        <w:rPr>
          <w:rFonts w:hint="eastAsia"/>
          <w:color w:val="auto"/>
          <w:highlight w:val="none"/>
          <w:lang w:eastAsia="zh-CN"/>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联合体参与投标的，联合体各方应当签订联合体协议书，其中联合体牵头人代表联合体各方成员负责投标和合同实施阶段的主办、协调工作，但联合体其他成员在投标、签约与履行合同过程中，负有连带的和各自的法律责任</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联合体的</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按联合体牵头人的企业认定</w:t>
      </w:r>
      <w:r>
        <w:rPr>
          <w:rFonts w:hint="eastAsia" w:ascii="方正楷体_GB2312" w:hAnsi="方正楷体_GB2312" w:eastAsia="方正楷体_GB2312" w:cs="方正楷体_GB2312"/>
          <w:color w:val="auto"/>
          <w:highlight w:val="none"/>
          <w:u w:val="none"/>
          <w:lang w:eastAsia="zh-CN"/>
        </w:rPr>
        <w:t>。</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u w:val="single"/>
          <w:lang w:val="en-US" w:eastAsia="zh-CN"/>
        </w:rPr>
        <w:t xml:space="preserve">            ）</w:t>
      </w:r>
    </w:p>
    <w:p w14:paraId="3216C82E">
      <w:pPr>
        <w:spacing w:line="360" w:lineRule="auto"/>
        <w:ind w:firstLine="420" w:firstLineChars="200"/>
        <w:rPr>
          <w:rFonts w:cs="宋体"/>
          <w:color w:val="auto"/>
          <w:highlight w:val="none"/>
        </w:rPr>
      </w:pPr>
      <w:r>
        <w:rPr>
          <w:color w:val="auto"/>
          <w:highlight w:val="none"/>
        </w:rPr>
        <w:t xml:space="preserve">3.4 </w:t>
      </w:r>
      <w:r>
        <w:rPr>
          <w:rFonts w:hint="eastAsia" w:cs="宋体"/>
          <w:color w:val="auto"/>
          <w:highlight w:val="none"/>
        </w:rPr>
        <w:t>各投标人可就本招标项目的所有标段进行投标，并允许中标其中□一个/□多个/□所有标段（由招标人事先确定）。但投标人应就不同标段派出不同的项目经理和项目专职安全生产管理人员，否则同一</w:t>
      </w:r>
      <w:r>
        <w:rPr>
          <w:rFonts w:hint="eastAsia" w:cs="Times New Roman"/>
          <w:color w:val="auto"/>
          <w:szCs w:val="21"/>
          <w:highlight w:val="none"/>
          <w:lang w:val="en-US" w:eastAsia="zh-CN"/>
        </w:rPr>
        <w:t>人拟任不同标段</w:t>
      </w:r>
      <w:r>
        <w:rPr>
          <w:rFonts w:hint="eastAsia" w:cs="宋体"/>
          <w:color w:val="auto"/>
          <w:highlight w:val="none"/>
        </w:rPr>
        <w:t>项目经理或项目专职安全生产管理人员的投标文件作否决投标处理（符合《广西壮族自治区建筑市场诚信卡管理暂行办法》第十六条第一款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kern w:val="0"/>
          <w:highlight w:val="none"/>
        </w:rPr>
        <w:t>除外</w:t>
      </w:r>
      <w:r>
        <w:rPr>
          <w:rFonts w:hint="eastAsia" w:cs="宋体"/>
          <w:color w:val="auto"/>
          <w:highlight w:val="none"/>
        </w:rPr>
        <w:t>），</w:t>
      </w:r>
      <w:r>
        <w:rPr>
          <w:rFonts w:hint="eastAsia" w:cs="宋体"/>
          <w:color w:val="auto"/>
          <w:highlight w:val="none"/>
          <w:lang w:eastAsia="zh-CN"/>
        </w:rPr>
        <w:t>（</w:t>
      </w:r>
      <w:r>
        <w:rPr>
          <w:rFonts w:hint="eastAsia" w:cs="宋体"/>
          <w:color w:val="auto"/>
          <w:highlight w:val="none"/>
          <w:lang w:val="en-US" w:eastAsia="zh-CN"/>
        </w:rPr>
        <w:t xml:space="preserve">其他补充）   </w:t>
      </w:r>
      <w:r>
        <w:rPr>
          <w:rFonts w:hint="eastAsia" w:cs="宋体"/>
          <w:color w:val="auto"/>
          <w:highlight w:val="none"/>
          <w:u w:val="single"/>
        </w:rPr>
        <w:t xml:space="preserve">       </w:t>
      </w:r>
      <w:r>
        <w:rPr>
          <w:rFonts w:hint="eastAsia" w:cs="宋体"/>
          <w:color w:val="auto"/>
          <w:highlight w:val="none"/>
        </w:rPr>
        <w:t xml:space="preserve"> 。</w:t>
      </w:r>
    </w:p>
    <w:p w14:paraId="409C76F2">
      <w:pPr>
        <w:spacing w:line="360" w:lineRule="auto"/>
        <w:ind w:firstLine="420" w:firstLineChars="200"/>
        <w:rPr>
          <w:rFonts w:hint="eastAsia" w:cs="宋体"/>
          <w:color w:val="auto"/>
          <w:highlight w:val="none"/>
          <w:lang w:val="en-US" w:eastAsia="zh-CN"/>
        </w:rPr>
      </w:pPr>
      <w:r>
        <w:rPr>
          <w:rFonts w:hint="eastAsia" w:cs="宋体"/>
          <w:color w:val="auto"/>
          <w:highlight w:val="none"/>
        </w:rPr>
        <w:t>3.5</w:t>
      </w:r>
      <w:r>
        <w:rPr>
          <w:rFonts w:hint="eastAsia" w:cs="宋体"/>
          <w:color w:val="auto"/>
          <w:highlight w:val="none"/>
          <w:lang w:val="en-US" w:eastAsia="zh-CN"/>
        </w:rPr>
        <w:t>诚信要求：</w:t>
      </w:r>
    </w:p>
    <w:p w14:paraId="0657FAE2">
      <w:pPr>
        <w:tabs>
          <w:tab w:val="left" w:pos="1080"/>
        </w:tabs>
        <w:spacing w:line="360" w:lineRule="auto"/>
        <w:ind w:firstLine="420" w:firstLineChars="200"/>
        <w:rPr>
          <w:rFonts w:hint="eastAsia" w:cs="宋体"/>
          <w:color w:val="auto"/>
          <w:highlight w:val="none"/>
        </w:rPr>
      </w:pP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38196E2F">
      <w:pPr>
        <w:spacing w:line="360" w:lineRule="auto"/>
        <w:ind w:firstLine="420" w:firstLineChars="200"/>
        <w:rPr>
          <w:rFonts w:hint="eastAsia"/>
          <w:color w:val="auto"/>
          <w:highlight w:val="none"/>
        </w:rPr>
      </w:pP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55C35B48">
      <w:pPr>
        <w:spacing w:line="360" w:lineRule="auto"/>
        <w:ind w:firstLine="420" w:firstLineChars="200"/>
        <w:rPr>
          <w:rFonts w:hint="eastAsia" w:cs="宋体"/>
          <w:color w:val="auto"/>
          <w:highlight w:val="none"/>
        </w:rPr>
      </w:pPr>
      <w:r>
        <w:rPr>
          <w:color w:val="auto"/>
          <w:highlight w:val="none"/>
        </w:rPr>
        <w:t>3.6</w:t>
      </w:r>
      <w:r>
        <w:rPr>
          <w:rFonts w:hint="eastAsia"/>
          <w:color w:val="auto"/>
          <w:highlight w:val="none"/>
        </w:rPr>
        <w:t xml:space="preserve"> </w:t>
      </w:r>
      <w:r>
        <w:rPr>
          <w:rFonts w:hint="eastAsia" w:cs="宋体"/>
          <w:color w:val="auto"/>
          <w:highlight w:val="none"/>
        </w:rPr>
        <w:t>投标人信息以“桂建云”为准。</w:t>
      </w:r>
    </w:p>
    <w:p w14:paraId="55E98963">
      <w:pPr>
        <w:spacing w:line="360" w:lineRule="auto"/>
        <w:ind w:firstLine="420" w:firstLineChars="200"/>
        <w:rPr>
          <w:rFonts w:hint="eastAsia"/>
          <w:color w:val="auto"/>
          <w:highlight w:val="none"/>
        </w:rPr>
      </w:pPr>
      <w:r>
        <w:rPr>
          <w:rFonts w:hint="eastAsia"/>
          <w:color w:val="auto"/>
          <w:highlight w:val="none"/>
        </w:rPr>
        <w:t>3.7□本项目不属于政府采购工程项目。</w:t>
      </w:r>
    </w:p>
    <w:p w14:paraId="50F74796">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□本项目属于政府采购工程项目：</w:t>
      </w:r>
    </w:p>
    <w:p w14:paraId="2C98BFB1">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4BF34A2A">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384C6319">
      <w:pPr>
        <w:spacing w:line="360" w:lineRule="auto"/>
        <w:ind w:firstLine="1050" w:firstLineChars="500"/>
        <w:rPr>
          <w:rFonts w:hint="default" w:cs="宋体"/>
          <w:color w:val="auto"/>
          <w:highlight w:val="none"/>
          <w:lang w:val="en-US" w:eastAsia="zh-CN"/>
        </w:rPr>
      </w:pPr>
      <w:bookmarkStart w:id="82" w:name="_Toc407135066"/>
      <w:bookmarkStart w:id="83" w:name="_Toc1947949693"/>
      <w:bookmarkStart w:id="84" w:name="_Toc78449610"/>
      <w:bookmarkStart w:id="85" w:name="_Toc389065136"/>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63F88056">
      <w:pPr>
        <w:pStyle w:val="27"/>
        <w:pBdr>
          <w:top w:val="none" w:color="auto" w:sz="0" w:space="0"/>
          <w:left w:val="none" w:color="auto" w:sz="0" w:space="0"/>
          <w:bottom w:val="none" w:color="auto" w:sz="0" w:space="1"/>
          <w:right w:val="none" w:color="auto" w:sz="0" w:space="0"/>
          <w:between w:val="none" w:color="auto" w:sz="0" w:space="0"/>
        </w:pBdr>
        <w:rPr>
          <w:rFonts w:hint="eastAsia"/>
          <w:color w:val="auto"/>
          <w:highlight w:val="none"/>
        </w:rPr>
      </w:pPr>
      <w:r>
        <w:rPr>
          <w:rFonts w:hint="eastAsia" w:cs="宋体"/>
          <w:color w:val="auto"/>
          <w:highlight w:val="none"/>
          <w:lang w:val="en-US" w:eastAsia="zh-CN"/>
        </w:rPr>
        <w:t xml:space="preserve">  </w:t>
      </w:r>
      <w:r>
        <w:rPr>
          <w:rFonts w:hint="default" w:cs="宋体"/>
          <w:color w:val="auto"/>
          <w:highlight w:val="none"/>
          <w:lang w:val="en-US" w:eastAsia="zh-CN"/>
        </w:rPr>
        <w:t>组成联合体或者接受分包合同的中小企业与联合体内其他企业、分包企业之间不得存在直接控股、管理关系。</w:t>
      </w:r>
    </w:p>
    <w:p w14:paraId="7087D046">
      <w:pPr>
        <w:pStyle w:val="3"/>
        <w:rPr>
          <w:color w:val="auto"/>
          <w:highlight w:val="none"/>
        </w:rPr>
      </w:pPr>
      <w:bookmarkStart w:id="86" w:name="_Toc9692"/>
      <w:r>
        <w:rPr>
          <w:color w:val="auto"/>
          <w:highlight w:val="none"/>
        </w:rPr>
        <w:t xml:space="preserve">4. </w:t>
      </w:r>
      <w:r>
        <w:rPr>
          <w:rFonts w:hint="eastAsia" w:cs="黑体"/>
          <w:color w:val="auto"/>
          <w:highlight w:val="none"/>
        </w:rPr>
        <w:t>招标文件的获取</w:t>
      </w:r>
      <w:bookmarkEnd w:id="82"/>
      <w:bookmarkEnd w:id="83"/>
      <w:bookmarkEnd w:id="84"/>
      <w:bookmarkEnd w:id="85"/>
      <w:bookmarkEnd w:id="86"/>
    </w:p>
    <w:p w14:paraId="43AFD088">
      <w:pPr>
        <w:spacing w:line="360" w:lineRule="auto"/>
        <w:ind w:firstLine="420" w:firstLineChars="200"/>
        <w:rPr>
          <w:color w:val="auto"/>
          <w:highlight w:val="none"/>
          <w:u w:val="single"/>
        </w:rPr>
      </w:pPr>
      <w:bookmarkStart w:id="87" w:name="_Toc389065137"/>
      <w:r>
        <w:rPr>
          <w:rFonts w:hint="eastAsia" w:cs="宋体"/>
          <w:color w:val="auto"/>
          <w:highlight w:val="none"/>
        </w:rPr>
        <w:t>请于</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日至</w:t>
      </w:r>
      <w:r>
        <w:rPr>
          <w:rFonts w:ascii="Calibri" w:hAnsi="Calibri"/>
          <w:color w:val="auto"/>
          <w:highlight w:val="none"/>
          <w:u w:val="single"/>
        </w:rPr>
        <w:t>投标文件递交的截止时间止（不少于20日）</w:t>
      </w:r>
      <w:r>
        <w:rPr>
          <w:rFonts w:hint="eastAsia" w:cs="宋体"/>
          <w:color w:val="auto"/>
          <w:highlight w:val="none"/>
        </w:rPr>
        <w:t>，由被</w:t>
      </w:r>
      <w:r>
        <w:rPr>
          <w:rFonts w:cs="宋体"/>
          <w:color w:val="auto"/>
          <w:highlight w:val="none"/>
        </w:rPr>
        <w:t>邀</w:t>
      </w:r>
      <w:r>
        <w:rPr>
          <w:rFonts w:hint="eastAsia" w:cs="宋体"/>
          <w:color w:val="auto"/>
          <w:highlight w:val="none"/>
        </w:rPr>
        <w:t>投标人登录</w:t>
      </w:r>
      <w:r>
        <w:rPr>
          <w:rFonts w:hint="eastAsia"/>
          <w:color w:val="auto"/>
          <w:highlight w:val="none"/>
          <w:u w:val="single"/>
        </w:rPr>
        <w:t>全国公共资源交易平台（广西壮族自治区）（网址： http://ggzy.jgswj.gxzf.gov.cn/gxggzy</w:t>
      </w:r>
      <w:r>
        <w:rPr>
          <w:rFonts w:hint="eastAsia"/>
          <w:color w:val="auto"/>
          <w:highlight w:val="none"/>
          <w:u w:val="single"/>
          <w:lang w:eastAsia="zh-CN"/>
        </w:rPr>
        <w:t>）</w:t>
      </w:r>
      <w:r>
        <w:rPr>
          <w:rFonts w:hint="eastAsia"/>
          <w:color w:val="auto"/>
          <w:highlight w:val="none"/>
          <w:u w:val="single"/>
        </w:rPr>
        <w:t>免费下载招标文件。</w:t>
      </w:r>
    </w:p>
    <w:p w14:paraId="6FC0A221">
      <w:pPr>
        <w:pStyle w:val="3"/>
        <w:rPr>
          <w:color w:val="auto"/>
          <w:highlight w:val="none"/>
        </w:rPr>
      </w:pPr>
      <w:bookmarkStart w:id="88" w:name="_Toc407135067"/>
      <w:bookmarkStart w:id="89" w:name="_Toc78449611"/>
      <w:bookmarkStart w:id="90" w:name="_Toc18168"/>
      <w:bookmarkStart w:id="91" w:name="_Toc432660782"/>
      <w:r>
        <w:rPr>
          <w:color w:val="auto"/>
          <w:highlight w:val="none"/>
        </w:rPr>
        <w:t xml:space="preserve">5. </w:t>
      </w:r>
      <w:r>
        <w:rPr>
          <w:rFonts w:hint="eastAsia" w:cs="黑体"/>
          <w:color w:val="auto"/>
          <w:highlight w:val="none"/>
        </w:rPr>
        <w:t>投标文件的</w:t>
      </w:r>
      <w:bookmarkEnd w:id="87"/>
      <w:bookmarkEnd w:id="88"/>
      <w:bookmarkEnd w:id="89"/>
      <w:r>
        <w:rPr>
          <w:rFonts w:hint="eastAsia" w:cs="黑体"/>
          <w:color w:val="auto"/>
          <w:highlight w:val="none"/>
        </w:rPr>
        <w:t>提交及不见面开标说明</w:t>
      </w:r>
      <w:bookmarkEnd w:id="90"/>
      <w:bookmarkEnd w:id="91"/>
    </w:p>
    <w:p w14:paraId="27C44752">
      <w:pPr>
        <w:spacing w:line="360" w:lineRule="auto"/>
        <w:ind w:firstLine="435"/>
        <w:rPr>
          <w:rFonts w:hint="eastAsia"/>
          <w:color w:val="auto"/>
          <w:highlight w:val="none"/>
          <w:lang w:val="en-US" w:eastAsia="zh-CN"/>
        </w:rPr>
      </w:pPr>
      <w:r>
        <w:rPr>
          <w:rFonts w:hint="eastAsia"/>
          <w:color w:val="auto"/>
          <w:highlight w:val="none"/>
        </w:rPr>
        <w:t>5.1 投标人应在投标截止时间_______年___月___日___时前登录全国公共资源交易平台（广西壮族自治区）（网址： http://ggzy.jgswj.gxzf.gov.cn/gxggzy</w:t>
      </w:r>
      <w:r>
        <w:rPr>
          <w:rFonts w:hint="eastAsia"/>
          <w:color w:val="auto"/>
          <w:highlight w:val="none"/>
          <w:lang w:eastAsia="zh-CN"/>
        </w:rPr>
        <w:t>）</w:t>
      </w:r>
      <w:r>
        <w:rPr>
          <w:rFonts w:hint="eastAsia"/>
          <w:color w:val="auto"/>
          <w:highlight w:val="none"/>
        </w:rPr>
        <w:t>，通过互联网使用广西壮族自治区公共资源交易平台系统数字证书（CA）交叉互认平台认可的数字证书将加密的电子投标文件</w:t>
      </w:r>
      <w:r>
        <w:rPr>
          <w:rFonts w:hint="eastAsia"/>
          <w:color w:val="auto"/>
          <w:highlight w:val="none"/>
        </w:rPr>
        <w:t>（含弹出的输入框中需填写的专职投标员、拟投入的项目主要管理人员身份证信息）</w:t>
      </w:r>
      <w:r>
        <w:rPr>
          <w:rFonts w:hint="eastAsia"/>
          <w:color w:val="auto"/>
          <w:highlight w:val="none"/>
        </w:rPr>
        <w:t>上传。</w:t>
      </w:r>
      <w:r>
        <w:rPr>
          <w:rFonts w:hint="eastAsia"/>
          <w:color w:val="auto"/>
          <w:highlight w:val="none"/>
          <w:lang w:val="en-US" w:eastAsia="zh-CN"/>
        </w:rPr>
        <w:t xml:space="preserve">   </w:t>
      </w:r>
    </w:p>
    <w:p w14:paraId="64FC4D75">
      <w:pPr>
        <w:spacing w:line="360" w:lineRule="auto"/>
        <w:ind w:firstLine="435"/>
        <w:rPr>
          <w:rFonts w:hint="eastAsia"/>
          <w:color w:val="auto"/>
          <w:highlight w:val="none"/>
        </w:rPr>
      </w:pPr>
      <w:r>
        <w:rPr>
          <w:rFonts w:hint="eastAsia"/>
          <w:color w:val="auto"/>
          <w:highlight w:val="none"/>
        </w:rPr>
        <w:t>5.2逾期提交的</w:t>
      </w:r>
      <w:r>
        <w:rPr>
          <w:rFonts w:hint="eastAsia"/>
          <w:color w:val="auto"/>
          <w:highlight w:val="none"/>
          <w:lang w:eastAsia="zh-CN"/>
        </w:rPr>
        <w:t>或</w:t>
      </w:r>
      <w:r>
        <w:rPr>
          <w:rFonts w:hint="eastAsia"/>
          <w:color w:val="auto"/>
          <w:highlight w:val="none"/>
        </w:rPr>
        <w:t>未按照招标文件要求加密的电子投标文件，广西壮族自治区公共资源交易平台系统将予以拒收。</w:t>
      </w:r>
    </w:p>
    <w:p w14:paraId="27131523">
      <w:pPr>
        <w:spacing w:line="360" w:lineRule="auto"/>
        <w:ind w:firstLine="420" w:firstLineChars="200"/>
        <w:rPr>
          <w:rFonts w:cs="宋体"/>
          <w:color w:val="auto"/>
          <w:highlight w:val="none"/>
        </w:rPr>
      </w:pPr>
      <w:r>
        <w:rPr>
          <w:rFonts w:hint="eastAsia"/>
          <w:color w:val="auto"/>
          <w:highlight w:val="none"/>
        </w:rPr>
        <w:t>5.3未办理广西壮族自治区公共资源交易平台系统数字证书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的潜在投标人，应先取得数字证书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。具体办理方法请登录广西壮族自治区公共资源交易平台系统数字证书</w:t>
      </w:r>
      <w:r>
        <w:rPr>
          <w:rFonts w:hint="eastAsia"/>
          <w:color w:val="auto"/>
          <w:highlight w:val="no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交叉互认平台（http://ggzy.jgswj.gxzf.gov.cn/gxggzy/CAhrpt/CAlogin.html）查看。</w:t>
      </w:r>
    </w:p>
    <w:p w14:paraId="778CB137">
      <w:pPr>
        <w:spacing w:line="360" w:lineRule="auto"/>
        <w:ind w:firstLine="420" w:firstLineChars="200"/>
        <w:rPr>
          <w:rFonts w:hint="eastAsia"/>
          <w:color w:val="auto"/>
          <w:highlight w:val="none"/>
          <w:lang w:eastAsia="zh-CN"/>
        </w:rPr>
      </w:pPr>
      <w:r>
        <w:rPr>
          <w:rFonts w:cs="宋体"/>
          <w:color w:val="auto"/>
          <w:highlight w:val="none"/>
        </w:rPr>
        <w:t>5.</w:t>
      </w:r>
      <w:r>
        <w:rPr>
          <w:rFonts w:hint="eastAsia" w:cs="宋体"/>
          <w:color w:val="auto"/>
          <w:highlight w:val="none"/>
          <w:lang w:val="en-US" w:eastAsia="zh-CN"/>
        </w:rPr>
        <w:t>4</w:t>
      </w:r>
      <w:r>
        <w:rPr>
          <w:rFonts w:cs="宋体"/>
          <w:color w:val="auto"/>
          <w:highlight w:val="none"/>
        </w:rPr>
        <w:t xml:space="preserve"> </w:t>
      </w:r>
      <w:r>
        <w:rPr>
          <w:rFonts w:hint="eastAsia"/>
          <w:color w:val="auto"/>
          <w:highlight w:val="none"/>
        </w:rPr>
        <w:t>投标截止公布投标人名单后，由招标代理机构点击进入投标文件解密环节，签到、解密时间为60分钟。在解密时间结束前投标人须通过广西壮族自治区网上开标子系统（http://202.103.240.162:8072/BidOpening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79559B12">
      <w:pPr>
        <w:wordWrap w:val="0"/>
        <w:spacing w:line="360" w:lineRule="auto"/>
        <w:ind w:firstLine="420" w:firstLineChars="200"/>
        <w:rPr>
          <w:rFonts w:hint="eastAsia"/>
          <w:color w:val="auto"/>
          <w:highlight w:val="none"/>
        </w:rPr>
      </w:pPr>
      <w:r>
        <w:rPr>
          <w:rFonts w:hint="eastAsia"/>
          <w:color w:val="auto"/>
          <w:highlight w:val="none"/>
        </w:rPr>
        <w:t>5.</w:t>
      </w:r>
      <w:r>
        <w:rPr>
          <w:rFonts w:hint="eastAsia"/>
          <w:color w:val="auto"/>
          <w:highlight w:val="none"/>
          <w:lang w:val="en-US" w:eastAsia="zh-CN"/>
        </w:rPr>
        <w:t>5</w:t>
      </w:r>
      <w:r>
        <w:rPr>
          <w:rFonts w:hint="eastAsia"/>
          <w:b w:val="0"/>
          <w:bCs w:val="0"/>
          <w:color w:val="auto"/>
          <w:highlight w:val="none"/>
          <w:lang w:eastAsia="zh-CN"/>
        </w:rPr>
        <w:t>广西壮族自治区网上开标子系统（不见面）登录方式：</w:t>
      </w:r>
      <w:r>
        <w:rPr>
          <w:rFonts w:hint="eastAsia"/>
          <w:b/>
          <w:bCs/>
          <w:color w:val="auto"/>
          <w:highlight w:val="none"/>
          <w:lang w:eastAsia="zh-CN"/>
        </w:rPr>
        <w:t>建议</w:t>
      </w:r>
      <w:r>
        <w:rPr>
          <w:rFonts w:hint="eastAsia"/>
          <w:b w:val="0"/>
          <w:bCs w:val="0"/>
          <w:color w:val="auto"/>
          <w:highlight w:val="none"/>
          <w:lang w:eastAsia="zh-CN"/>
        </w:rPr>
        <w:t>各投标人使用</w:t>
      </w:r>
      <w:r>
        <w:rPr>
          <w:rFonts w:hint="eastAsia"/>
          <w:b/>
          <w:bCs/>
          <w:color w:val="auto"/>
          <w:highlight w:val="none"/>
          <w:lang w:eastAsia="zh-CN"/>
        </w:rPr>
        <w:t>360、edge、谷歌、火狐、华为等</w:t>
      </w:r>
      <w:r>
        <w:rPr>
          <w:rFonts w:hint="eastAsia"/>
          <w:b w:val="0"/>
          <w:bCs w:val="0"/>
          <w:color w:val="auto"/>
          <w:highlight w:val="none"/>
          <w:lang w:eastAsia="zh-CN"/>
        </w:rPr>
        <w:t>浏览器打开登录页面（登录地址：http://202.103.240.162:8072/BidOpening），使用数字证书（包含数字证书（CA）和“桂交易移动CA”）登录。使用“桂交易移动CA”投标的操作流程，详见http://ggzy.jgswj.gxzf.gov.cn/gxggzy/gywm/004021/004021001/20211123/185f3a63-1ec6-4c75-a0c9-4aeedfdacda9.html。</w:t>
      </w:r>
    </w:p>
    <w:p w14:paraId="05333565">
      <w:pPr>
        <w:spacing w:line="360" w:lineRule="auto"/>
        <w:ind w:firstLine="420" w:firstLineChars="200"/>
        <w:rPr>
          <w:rFonts w:hint="eastAsia"/>
          <w:color w:val="auto"/>
          <w:highlight w:val="none"/>
        </w:rPr>
      </w:pPr>
      <w:r>
        <w:rPr>
          <w:rFonts w:hint="eastAsia"/>
          <w:color w:val="auto"/>
          <w:highlight w:val="none"/>
        </w:rPr>
        <w:t>5.</w:t>
      </w:r>
      <w:r>
        <w:rPr>
          <w:rFonts w:hint="eastAsia"/>
          <w:color w:val="auto"/>
          <w:highlight w:val="none"/>
          <w:lang w:val="en-US" w:eastAsia="zh-CN"/>
        </w:rPr>
        <w:t>6</w:t>
      </w:r>
      <w:r>
        <w:rPr>
          <w:rFonts w:hint="eastAsia"/>
          <w:color w:val="auto"/>
          <w:highlight w:val="none"/>
        </w:rPr>
        <w:t xml:space="preserve"> 以“桂交易移动CA”制作的投标文件，只能用生成投标文件时加密投标文件的“桂交易移动CA”证书解密</w:t>
      </w:r>
      <w:r>
        <w:rPr>
          <w:rFonts w:hint="eastAsia"/>
          <w:color w:val="auto"/>
          <w:highlight w:val="none"/>
          <w:lang w:eastAsia="zh-CN"/>
        </w:rPr>
        <w:t>。</w:t>
      </w:r>
      <w:r>
        <w:rPr>
          <w:rFonts w:hint="eastAsia"/>
          <w:color w:val="auto"/>
          <w:highlight w:val="none"/>
        </w:rPr>
        <w:t>以</w:t>
      </w:r>
      <w:r>
        <w:rPr>
          <w:rFonts w:hint="eastAsia"/>
          <w:color w:val="auto"/>
          <w:highlight w:val="none"/>
          <w:lang w:eastAsia="zh-CN"/>
        </w:rPr>
        <w:t>数字证书（CA）</w:t>
      </w:r>
      <w:r>
        <w:rPr>
          <w:rFonts w:hint="eastAsia"/>
          <w:color w:val="auto"/>
          <w:highlight w:val="none"/>
        </w:rPr>
        <w:t>制作的投标文件，只能用生成投标文件时加密投标文件</w:t>
      </w:r>
      <w:r>
        <w:rPr>
          <w:rFonts w:hint="eastAsia"/>
          <w:color w:val="auto"/>
          <w:highlight w:val="none"/>
          <w:lang w:eastAsia="zh-CN"/>
        </w:rPr>
        <w:t>数字证书（CA）</w:t>
      </w:r>
      <w:r>
        <w:rPr>
          <w:rFonts w:hint="eastAsia"/>
          <w:color w:val="auto"/>
          <w:highlight w:val="none"/>
        </w:rPr>
        <w:t>解密。</w:t>
      </w:r>
    </w:p>
    <w:p w14:paraId="1940F612">
      <w:pPr>
        <w:spacing w:line="360" w:lineRule="auto"/>
        <w:ind w:firstLine="420" w:firstLineChars="200"/>
        <w:rPr>
          <w:color w:val="auto"/>
          <w:highlight w:val="none"/>
        </w:rPr>
      </w:pPr>
    </w:p>
    <w:p w14:paraId="3BCC3C2B">
      <w:pPr>
        <w:pStyle w:val="3"/>
        <w:rPr>
          <w:color w:val="auto"/>
          <w:highlight w:val="none"/>
        </w:rPr>
      </w:pPr>
      <w:bookmarkStart w:id="92" w:name="_Toc78449612"/>
      <w:bookmarkStart w:id="93" w:name="_Toc407135068"/>
      <w:bookmarkStart w:id="94" w:name="_Toc25179"/>
      <w:bookmarkStart w:id="95" w:name="_Toc389065138"/>
      <w:bookmarkStart w:id="96" w:name="_Toc1799857414"/>
      <w:r>
        <w:rPr>
          <w:color w:val="auto"/>
          <w:highlight w:val="none"/>
        </w:rPr>
        <w:t xml:space="preserve">6. </w:t>
      </w:r>
      <w:r>
        <w:rPr>
          <w:rFonts w:hint="eastAsia" w:cs="黑体"/>
          <w:color w:val="auto"/>
          <w:highlight w:val="none"/>
        </w:rPr>
        <w:t>确认</w:t>
      </w:r>
      <w:bookmarkEnd w:id="92"/>
      <w:bookmarkEnd w:id="93"/>
      <w:bookmarkEnd w:id="94"/>
      <w:bookmarkEnd w:id="95"/>
      <w:bookmarkEnd w:id="96"/>
    </w:p>
    <w:p w14:paraId="7531FA5D">
      <w:pPr>
        <w:spacing w:line="360" w:lineRule="auto"/>
        <w:ind w:firstLine="420" w:firstLineChars="200"/>
        <w:rPr>
          <w:color w:val="auto"/>
          <w:highlight w:val="none"/>
        </w:rPr>
      </w:pPr>
      <w:r>
        <w:rPr>
          <w:rFonts w:hint="eastAsia" w:cs="宋体"/>
          <w:color w:val="auto"/>
          <w:highlight w:val="none"/>
        </w:rPr>
        <w:t>你单位收到本投标邀请书后，请于</w:t>
      </w:r>
      <w:r>
        <w:rPr>
          <w:color w:val="auto"/>
          <w:highlight w:val="none"/>
          <w:u w:val="single"/>
        </w:rPr>
        <w:t xml:space="preserve">   </w:t>
      </w:r>
      <w:r>
        <w:rPr>
          <w:rFonts w:hint="eastAsia" w:cs="宋体"/>
          <w:color w:val="auto"/>
          <w:highlight w:val="none"/>
          <w:u w:val="single"/>
        </w:rPr>
        <w:t>（具体时间）</w:t>
      </w:r>
      <w:r>
        <w:rPr>
          <w:color w:val="auto"/>
          <w:highlight w:val="none"/>
          <w:u w:val="single"/>
        </w:rPr>
        <w:t xml:space="preserve">   </w:t>
      </w:r>
      <w:r>
        <w:rPr>
          <w:rFonts w:hint="eastAsia" w:cs="宋体"/>
          <w:color w:val="auto"/>
          <w:highlight w:val="none"/>
        </w:rPr>
        <w:t>前</w:t>
      </w:r>
      <w:r>
        <w:rPr>
          <w:rFonts w:hint="eastAsia" w:cs="宋体"/>
          <w:color w:val="auto"/>
          <w:highlight w:val="none"/>
          <w:lang w:eastAsia="zh-CN"/>
        </w:rPr>
        <w:t>登录</w:t>
      </w:r>
      <w:r>
        <w:rPr>
          <w:rFonts w:hint="eastAsia" w:cs="宋体"/>
          <w:color w:val="auto"/>
          <w:highlight w:val="none"/>
          <w:u w:val="single"/>
        </w:rPr>
        <w:t>广西壮族自治区公共资源交易平台系统网站</w:t>
      </w:r>
      <w:r>
        <w:rPr>
          <w:color w:val="auto"/>
          <w:highlight w:val="none"/>
          <w:u w:val="single"/>
        </w:rPr>
        <w:t xml:space="preserve">  </w:t>
      </w:r>
      <w:r>
        <w:rPr>
          <w:rFonts w:hint="eastAsia" w:cs="宋体"/>
          <w:color w:val="auto"/>
          <w:highlight w:val="none"/>
        </w:rPr>
        <w:t>予以确认，</w:t>
      </w:r>
      <w:r>
        <w:rPr>
          <w:rFonts w:hint="eastAsia" w:ascii="仿宋_GB2312" w:hAnsi="宋体"/>
          <w:color w:val="auto"/>
          <w:highlight w:val="none"/>
        </w:rPr>
        <w:t>在本邀请书规定的时间内未表示是否参加或明确表示不参加投标的，不得再参加投标。</w:t>
      </w:r>
    </w:p>
    <w:p w14:paraId="361EB75C">
      <w:pPr>
        <w:pStyle w:val="3"/>
        <w:rPr>
          <w:color w:val="auto"/>
          <w:highlight w:val="none"/>
        </w:rPr>
      </w:pPr>
      <w:bookmarkStart w:id="97" w:name="_Toc78449613"/>
      <w:bookmarkStart w:id="98" w:name="_Toc30392"/>
      <w:bookmarkStart w:id="99" w:name="_Toc407135069"/>
      <w:bookmarkStart w:id="100" w:name="_Toc1347719080"/>
      <w:bookmarkStart w:id="101" w:name="_Toc389065139"/>
      <w:r>
        <w:rPr>
          <w:color w:val="auto"/>
          <w:highlight w:val="none"/>
        </w:rPr>
        <w:t xml:space="preserve">7. </w:t>
      </w:r>
      <w:r>
        <w:rPr>
          <w:rFonts w:hint="eastAsia" w:cs="黑体"/>
          <w:color w:val="auto"/>
          <w:highlight w:val="none"/>
        </w:rPr>
        <w:t>评标方式</w:t>
      </w:r>
      <w:bookmarkEnd w:id="97"/>
      <w:bookmarkEnd w:id="98"/>
      <w:bookmarkEnd w:id="99"/>
      <w:bookmarkEnd w:id="100"/>
      <w:bookmarkEnd w:id="101"/>
    </w:p>
    <w:p w14:paraId="533786A9">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rFonts w:hint="eastAsia" w:cs="宋体"/>
          <w:color w:val="auto"/>
          <w:highlight w:val="none"/>
        </w:rPr>
        <w:t>□综合评估法</w:t>
      </w:r>
    </w:p>
    <w:p w14:paraId="59594004">
      <w:pPr>
        <w:pStyle w:val="3"/>
        <w:rPr>
          <w:color w:val="auto"/>
          <w:highlight w:val="none"/>
        </w:rPr>
      </w:pPr>
      <w:bookmarkStart w:id="102" w:name="_Toc407135070"/>
      <w:bookmarkStart w:id="103" w:name="_Toc78449614"/>
      <w:bookmarkStart w:id="104" w:name="_Toc389065140"/>
      <w:bookmarkStart w:id="105" w:name="_Toc29487"/>
      <w:bookmarkStart w:id="106" w:name="_Toc2071472647"/>
      <w:r>
        <w:rPr>
          <w:color w:val="auto"/>
          <w:highlight w:val="none"/>
        </w:rPr>
        <w:t xml:space="preserve">8. </w:t>
      </w:r>
      <w:r>
        <w:rPr>
          <w:rFonts w:hint="eastAsia" w:cs="黑体"/>
          <w:color w:val="auto"/>
          <w:highlight w:val="none"/>
        </w:rPr>
        <w:t>预付款和进度款支付方式</w:t>
      </w:r>
      <w:bookmarkEnd w:id="102"/>
      <w:bookmarkEnd w:id="103"/>
      <w:bookmarkEnd w:id="104"/>
      <w:bookmarkEnd w:id="105"/>
      <w:bookmarkEnd w:id="106"/>
    </w:p>
    <w:p w14:paraId="308B3D84">
      <w:pPr>
        <w:spacing w:line="360" w:lineRule="auto"/>
        <w:ind w:firstLine="420" w:firstLineChars="200"/>
        <w:rPr>
          <w:rFonts w:hint="eastAsia" w:cs="宋体"/>
          <w:color w:val="auto"/>
          <w:highlight w:val="none"/>
          <w:u w:val="single"/>
        </w:rPr>
      </w:pPr>
      <w:r>
        <w:rPr>
          <w:rFonts w:hint="eastAsia" w:cs="宋体"/>
          <w:color w:val="auto"/>
          <w:highlight w:val="none"/>
        </w:rPr>
        <w:t>预付款支付比例或金额：</w:t>
      </w:r>
      <w:r>
        <w:rPr>
          <w:rFonts w:hint="eastAsia" w:cs="宋体"/>
          <w:color w:val="auto"/>
          <w:highlight w:val="none"/>
          <w:u w:val="single"/>
        </w:rPr>
        <w:t xml:space="preserve">                   </w:t>
      </w:r>
    </w:p>
    <w:p w14:paraId="4C229BDB">
      <w:pPr>
        <w:spacing w:line="360" w:lineRule="auto"/>
        <w:ind w:firstLine="420" w:firstLineChars="200"/>
        <w:rPr>
          <w:color w:val="auto"/>
          <w:highlight w:val="none"/>
        </w:rPr>
      </w:pPr>
      <w:r>
        <w:rPr>
          <w:rFonts w:hint="eastAsia" w:cs="宋体"/>
          <w:color w:val="auto"/>
          <w:highlight w:val="none"/>
        </w:rPr>
        <w:t>进度款支付方式：</w:t>
      </w:r>
      <w:r>
        <w:rPr>
          <w:rFonts w:hint="eastAsia" w:hAnsi="宋体" w:cs="宋体"/>
          <w:color w:val="auto"/>
          <w:highlight w:val="none"/>
          <w:u w:val="single"/>
        </w:rPr>
        <w:t>工程进度款支付限额为已完成工程量的    %</w:t>
      </w:r>
      <w:r>
        <w:rPr>
          <w:rFonts w:hint="eastAsia" w:cs="宋体"/>
          <w:color w:val="auto"/>
          <w:highlight w:val="none"/>
        </w:rPr>
        <w:t>【</w:t>
      </w:r>
      <w:r>
        <w:rPr>
          <w:rFonts w:hint="eastAsia" w:ascii="Times New Roman" w:hAnsi="Times New Roman" w:eastAsia="宋体" w:cs="宋体"/>
          <w:color w:val="auto"/>
          <w:kern w:val="2"/>
          <w:sz w:val="21"/>
          <w:szCs w:val="21"/>
          <w:highlight w:val="none"/>
          <w:lang w:val="en-US" w:eastAsia="zh-CN" w:bidi="ar"/>
        </w:rPr>
        <w:t>政府机关、事业单位、国有企业建设工程进度款支付应不低于已完成工程价款的80%</w:t>
      </w:r>
      <w:r>
        <w:rPr>
          <w:rFonts w:hint="eastAsia" w:cs="宋体"/>
          <w:color w:val="auto"/>
          <w:highlight w:val="none"/>
        </w:rPr>
        <w:t>，含尚未抵扣的工程预付款】</w:t>
      </w:r>
    </w:p>
    <w:p w14:paraId="6336F074">
      <w:pPr>
        <w:pStyle w:val="3"/>
        <w:rPr>
          <w:rFonts w:hint="eastAsia" w:eastAsia="黑体"/>
          <w:color w:val="auto"/>
          <w:highlight w:val="none"/>
          <w:lang w:eastAsia="zh-CN"/>
        </w:rPr>
      </w:pPr>
      <w:bookmarkStart w:id="107" w:name="_Toc407135071"/>
      <w:bookmarkStart w:id="108" w:name="_Toc1167492166"/>
      <w:bookmarkStart w:id="109" w:name="_Toc78449615"/>
      <w:bookmarkStart w:id="110" w:name="_Toc27119"/>
      <w:r>
        <w:rPr>
          <w:color w:val="auto"/>
          <w:highlight w:val="none"/>
        </w:rPr>
        <w:t xml:space="preserve">9. </w:t>
      </w:r>
      <w:bookmarkEnd w:id="107"/>
      <w:bookmarkEnd w:id="108"/>
      <w:bookmarkEnd w:id="109"/>
      <w:r>
        <w:rPr>
          <w:rFonts w:hint="eastAsia" w:cs="黑体"/>
          <w:color w:val="auto"/>
          <w:highlight w:val="none"/>
          <w:lang w:eastAsia="zh-CN"/>
        </w:rPr>
        <w:t>公共资源交易平台运行服务机构</w:t>
      </w:r>
      <w:bookmarkEnd w:id="110"/>
    </w:p>
    <w:p w14:paraId="053C5DA4">
      <w:pPr>
        <w:spacing w:line="360" w:lineRule="auto"/>
        <w:ind w:firstLine="420" w:firstLineChars="200"/>
        <w:rPr>
          <w:color w:val="auto"/>
          <w:highlight w:val="none"/>
        </w:rPr>
      </w:pPr>
      <w:r>
        <w:rPr>
          <w:color w:val="auto"/>
          <w:highlight w:val="none"/>
          <w:u w:val="single"/>
        </w:rPr>
        <w:t xml:space="preserve">                                  </w:t>
      </w:r>
    </w:p>
    <w:p w14:paraId="40D2501B">
      <w:pPr>
        <w:pStyle w:val="3"/>
        <w:rPr>
          <w:color w:val="auto"/>
          <w:highlight w:val="none"/>
        </w:rPr>
      </w:pPr>
      <w:bookmarkStart w:id="111" w:name="_Toc407135072"/>
      <w:bookmarkStart w:id="112" w:name="_Toc78449616"/>
      <w:bookmarkStart w:id="113" w:name="_Toc942842906"/>
      <w:bookmarkStart w:id="114" w:name="_Toc23702"/>
      <w:r>
        <w:rPr>
          <w:color w:val="auto"/>
          <w:highlight w:val="none"/>
        </w:rPr>
        <w:t xml:space="preserve">10. </w:t>
      </w:r>
      <w:r>
        <w:rPr>
          <w:rFonts w:hint="eastAsia" w:cs="黑体"/>
          <w:color w:val="auto"/>
          <w:highlight w:val="none"/>
        </w:rPr>
        <w:t>监督部门及电话</w:t>
      </w:r>
      <w:bookmarkEnd w:id="111"/>
      <w:bookmarkEnd w:id="112"/>
      <w:bookmarkEnd w:id="113"/>
      <w:bookmarkEnd w:id="114"/>
    </w:p>
    <w:p w14:paraId="187ADFB0">
      <w:pPr>
        <w:spacing w:line="360" w:lineRule="auto"/>
        <w:ind w:firstLine="420" w:firstLineChars="200"/>
        <w:rPr>
          <w:color w:val="auto"/>
          <w:highlight w:val="none"/>
        </w:rPr>
      </w:pPr>
      <w:r>
        <w:rPr>
          <w:color w:val="auto"/>
          <w:highlight w:val="none"/>
          <w:u w:val="single"/>
        </w:rPr>
        <w:t xml:space="preserve">                                  </w:t>
      </w:r>
    </w:p>
    <w:p w14:paraId="5B2BED7A">
      <w:pPr>
        <w:spacing w:line="360" w:lineRule="auto"/>
        <w:ind w:firstLine="420" w:firstLineChars="200"/>
        <w:rPr>
          <w:color w:val="auto"/>
          <w:highlight w:val="none"/>
        </w:rPr>
      </w:pPr>
      <w:r>
        <w:rPr>
          <w:color w:val="auto"/>
          <w:highlight w:val="none"/>
          <w:u w:val="single"/>
        </w:rPr>
        <w:t xml:space="preserve">                                  </w:t>
      </w:r>
    </w:p>
    <w:p w14:paraId="0F9273E8">
      <w:pPr>
        <w:pStyle w:val="3"/>
        <w:rPr>
          <w:color w:val="auto"/>
          <w:highlight w:val="none"/>
          <w:lang w:val="en-US"/>
        </w:rPr>
      </w:pPr>
      <w:bookmarkStart w:id="115" w:name="_Toc78449617"/>
      <w:bookmarkStart w:id="116" w:name="_Toc4825"/>
      <w:bookmarkStart w:id="117" w:name="_Toc584985239"/>
      <w:r>
        <w:rPr>
          <w:color w:val="auto"/>
          <w:highlight w:val="none"/>
          <w:lang w:val="en-US"/>
        </w:rPr>
        <w:t xml:space="preserve">11. </w:t>
      </w:r>
      <w:r>
        <w:rPr>
          <w:rFonts w:hint="eastAsia"/>
          <w:color w:val="auto"/>
          <w:highlight w:val="none"/>
        </w:rPr>
        <w:t>注意事项</w:t>
      </w:r>
      <w:bookmarkEnd w:id="115"/>
      <w:bookmarkEnd w:id="116"/>
      <w:bookmarkEnd w:id="117"/>
    </w:p>
    <w:p w14:paraId="37A229AA">
      <w:pPr>
        <w:spacing w:line="360" w:lineRule="auto"/>
        <w:ind w:firstLine="420" w:firstLineChars="200"/>
        <w:rPr>
          <w:rFonts w:cs="宋体"/>
          <w:color w:val="auto"/>
          <w:highlight w:val="none"/>
        </w:rPr>
      </w:pPr>
      <w:r>
        <w:rPr>
          <w:rFonts w:hint="eastAsia" w:cs="宋体"/>
          <w:color w:val="auto"/>
          <w:highlight w:val="none"/>
        </w:rPr>
        <w:t>潜在投标人必须录入“桂建云”系统，“桂建云”系统</w:t>
      </w:r>
      <w:r>
        <w:rPr>
          <w:rFonts w:hint="eastAsia" w:cs="宋体"/>
          <w:color w:val="auto"/>
          <w:highlight w:val="none"/>
          <w:lang w:eastAsia="zh-CN"/>
        </w:rPr>
        <w:t>登录</w:t>
      </w:r>
      <w:r>
        <w:rPr>
          <w:rFonts w:hint="eastAsia" w:cs="宋体"/>
          <w:color w:val="auto"/>
          <w:highlight w:val="none"/>
        </w:rPr>
        <w:t>地址：</w:t>
      </w:r>
      <w:r>
        <w:rPr>
          <w:rFonts w:hint="eastAsia" w:cs="宋体"/>
          <w:color w:val="auto"/>
          <w:highlight w:val="none"/>
          <w:lang w:eastAsia="zh-CN"/>
        </w:rPr>
        <w:t>https://gxjzsc.gxcic.net/</w:t>
      </w:r>
      <w:r>
        <w:rPr>
          <w:rFonts w:hint="default" w:ascii="Times New Roman" w:hAnsi="Times New Roman" w:cs="Times New Roman"/>
          <w:color w:val="auto"/>
          <w:highlight w:val="none"/>
        </w:rPr>
        <w:t>由于“桂建云”与全国建筑市场监管公共服务平台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相关信息同步存在时间差（企业每次登录“桂建云”时自动同步全国平台数据），投标人应自行预留足够的时间，至少提前24小时将所需投标材料下行至“桂建云”</w:t>
      </w:r>
      <w:r>
        <w:rPr>
          <w:rFonts w:hint="eastAsia" w:cs="宋体"/>
          <w:color w:val="auto"/>
          <w:highlight w:val="none"/>
        </w:rPr>
        <w:t>，若因投标人原因未能同步的，后果自行负责。</w:t>
      </w:r>
    </w:p>
    <w:p w14:paraId="20F1B166">
      <w:pPr>
        <w:pStyle w:val="3"/>
        <w:rPr>
          <w:color w:val="auto"/>
          <w:highlight w:val="none"/>
        </w:rPr>
      </w:pPr>
      <w:bookmarkStart w:id="118" w:name="_Toc799443184"/>
      <w:bookmarkStart w:id="119" w:name="_Toc389065131"/>
      <w:bookmarkStart w:id="120" w:name="_Toc78449618"/>
      <w:bookmarkStart w:id="121" w:name="_Toc407135060"/>
      <w:bookmarkStart w:id="122" w:name="_Toc19609"/>
      <w:r>
        <w:rPr>
          <w:color w:val="auto"/>
          <w:highlight w:val="none"/>
        </w:rPr>
        <w:t xml:space="preserve">12. </w:t>
      </w:r>
      <w:r>
        <w:rPr>
          <w:rFonts w:hint="eastAsia" w:cs="黑体"/>
          <w:color w:val="auto"/>
          <w:highlight w:val="none"/>
        </w:rPr>
        <w:t>联系方式</w:t>
      </w:r>
      <w:bookmarkEnd w:id="118"/>
      <w:bookmarkEnd w:id="119"/>
      <w:bookmarkEnd w:id="120"/>
      <w:bookmarkEnd w:id="121"/>
      <w:bookmarkEnd w:id="122"/>
    </w:p>
    <w:p w14:paraId="57201E09">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ascii="Times New Roman" w:hAnsi="Times New Roman" w:cs="Times New Roman"/>
          <w:color w:val="auto"/>
          <w:highlight w:val="none"/>
          <w:u w:val="single"/>
          <w:vertAlign w:val="baseline"/>
          <w:lang w:val="en-US" w:eastAsia="zh-CN"/>
        </w:rPr>
        <w:t xml:space="preserve">        </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hint="eastAsia" w:cs="Times New Roman"/>
          <w:color w:val="auto"/>
          <w:highlight w:val="none"/>
          <w:u w:val="single"/>
          <w:vertAlign w:val="baseline"/>
          <w:lang w:val="en-US" w:eastAsia="zh-CN"/>
        </w:rPr>
        <w:t xml:space="preserve">             </w:t>
      </w:r>
    </w:p>
    <w:p w14:paraId="2A424E61">
      <w:pPr>
        <w:spacing w:line="360" w:lineRule="auto"/>
        <w:ind w:firstLine="420" w:firstLineChars="200"/>
        <w:rPr>
          <w:color w:val="auto"/>
          <w:highlight w:val="none"/>
          <w:u w:val="singl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p>
    <w:p w14:paraId="353A93E6">
      <w:pPr>
        <w:spacing w:line="360" w:lineRule="auto"/>
        <w:ind w:firstLine="420" w:firstLineChars="200"/>
        <w:rPr>
          <w:color w:val="auto"/>
          <w:highlight w:val="none"/>
        </w:rPr>
      </w:pP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r>
        <w:rPr>
          <w:color w:val="auto"/>
          <w:highlight w:val="none"/>
        </w:rPr>
        <w:t xml:space="preserve">   </w:t>
      </w: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                            </w:t>
      </w:r>
    </w:p>
    <w:p w14:paraId="2356B857">
      <w:pPr>
        <w:spacing w:line="360" w:lineRule="auto"/>
        <w:ind w:firstLine="420" w:firstLineChars="200"/>
        <w:rPr>
          <w:color w:val="auto"/>
          <w:highlight w:val="none"/>
        </w:rPr>
      </w:pP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color w:val="auto"/>
          <w:highlight w:val="none"/>
          <w:u w:val="single"/>
        </w:rPr>
        <w:t xml:space="preserve">                         </w:t>
      </w:r>
      <w:r>
        <w:rPr>
          <w:color w:val="auto"/>
          <w:highlight w:val="none"/>
        </w:rPr>
        <w:t xml:space="preserve">   </w:t>
      </w:r>
      <w:r>
        <w:rPr>
          <w:rFonts w:hint="eastAsia" w:cs="宋体"/>
          <w:color w:val="auto"/>
          <w:highlight w:val="none"/>
          <w:lang w:val="en-US" w:eastAsia="zh-CN"/>
        </w:rPr>
        <w:t>项目负责人</w:t>
      </w:r>
      <w:r>
        <w:rPr>
          <w:rFonts w:hint="eastAsia" w:cs="宋体"/>
          <w:color w:val="auto"/>
          <w:highlight w:val="none"/>
        </w:rPr>
        <w:t>：</w:t>
      </w:r>
      <w:r>
        <w:rPr>
          <w:color w:val="auto"/>
          <w:highlight w:val="none"/>
          <w:u w:val="single"/>
        </w:rPr>
        <w:t xml:space="preserve">                          </w:t>
      </w:r>
    </w:p>
    <w:p w14:paraId="172DA6CB">
      <w:pPr>
        <w:spacing w:line="360" w:lineRule="auto"/>
        <w:ind w:firstLine="420" w:firstLineChars="200"/>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r>
        <w:rPr>
          <w:color w:val="auto"/>
          <w:highlight w:val="none"/>
        </w:rPr>
        <w:t xml:space="preserve">   </w:t>
      </w: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w:t>
      </w:r>
    </w:p>
    <w:p w14:paraId="4F91F135">
      <w:pPr>
        <w:spacing w:line="360" w:lineRule="auto"/>
        <w:ind w:firstLine="420" w:firstLineChars="200"/>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r>
        <w:rPr>
          <w:color w:val="auto"/>
          <w:highlight w:val="none"/>
        </w:rPr>
        <w:t xml:space="preserve">   </w:t>
      </w: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p>
    <w:p w14:paraId="3E91C861">
      <w:pPr>
        <w:spacing w:line="360" w:lineRule="auto"/>
        <w:ind w:firstLine="420" w:firstLineChars="200"/>
        <w:rPr>
          <w:color w:val="auto"/>
          <w:highlight w:val="none"/>
        </w:rPr>
      </w:pPr>
      <w:r>
        <w:rPr>
          <w:rFonts w:hint="eastAsia" w:cs="宋体"/>
          <w:color w:val="auto"/>
          <w:highlight w:val="none"/>
        </w:rPr>
        <w:t>电子邮箱：</w:t>
      </w:r>
      <w:r>
        <w:rPr>
          <w:color w:val="auto"/>
          <w:highlight w:val="none"/>
          <w:u w:val="single"/>
        </w:rPr>
        <w:t xml:space="preserve">                         </w:t>
      </w:r>
      <w:r>
        <w:rPr>
          <w:color w:val="auto"/>
          <w:highlight w:val="none"/>
        </w:rPr>
        <w:t xml:space="preserve">   </w:t>
      </w:r>
      <w:r>
        <w:rPr>
          <w:rFonts w:hint="eastAsia" w:cs="宋体"/>
          <w:color w:val="auto"/>
          <w:highlight w:val="none"/>
        </w:rPr>
        <w:t>电子邮箱：</w:t>
      </w:r>
      <w:r>
        <w:rPr>
          <w:color w:val="auto"/>
          <w:highlight w:val="none"/>
          <w:u w:val="single"/>
        </w:rPr>
        <w:t xml:space="preserve">                            </w:t>
      </w:r>
    </w:p>
    <w:p w14:paraId="147D2DF8">
      <w:pPr>
        <w:spacing w:line="360" w:lineRule="auto"/>
        <w:ind w:firstLine="420" w:firstLineChars="200"/>
        <w:rPr>
          <w:color w:val="auto"/>
          <w:highlight w:val="none"/>
        </w:rPr>
      </w:pP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r>
        <w:rPr>
          <w:color w:val="auto"/>
          <w:highlight w:val="none"/>
        </w:rPr>
        <w:t xml:space="preserve">   </w:t>
      </w:r>
      <w:r>
        <w:rPr>
          <w:rFonts w:hint="eastAsia" w:cs="宋体"/>
          <w:color w:val="auto"/>
          <w:highlight w:val="none"/>
        </w:rPr>
        <w:t>网</w:t>
      </w:r>
      <w:r>
        <w:rPr>
          <w:color w:val="auto"/>
          <w:highlight w:val="none"/>
        </w:rPr>
        <w:t xml:space="preserve">    </w:t>
      </w:r>
      <w:r>
        <w:rPr>
          <w:rFonts w:hint="eastAsia" w:cs="宋体"/>
          <w:color w:val="auto"/>
          <w:highlight w:val="none"/>
        </w:rPr>
        <w:t>址：</w:t>
      </w:r>
      <w:r>
        <w:rPr>
          <w:color w:val="auto"/>
          <w:highlight w:val="none"/>
          <w:u w:val="single"/>
        </w:rPr>
        <w:t xml:space="preserve">                            </w:t>
      </w:r>
    </w:p>
    <w:p w14:paraId="42AFE0D6">
      <w:pPr>
        <w:spacing w:line="360" w:lineRule="auto"/>
        <w:ind w:right="420"/>
        <w:jc w:val="right"/>
        <w:rPr>
          <w:rFonts w:hint="eastAsia"/>
          <w:color w:val="auto"/>
          <w:highlight w:val="none"/>
          <w:u w:val="single"/>
          <w:lang w:val="en-US" w:eastAsia="zh-CN"/>
        </w:rPr>
      </w:pPr>
    </w:p>
    <w:p w14:paraId="2F42499E">
      <w:pPr>
        <w:pStyle w:val="27"/>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64078D84">
      <w:pPr>
        <w:spacing w:line="360" w:lineRule="auto"/>
        <w:ind w:firstLine="435"/>
        <w:rPr>
          <w:rFonts w:hAnsi="宋体"/>
          <w:color w:val="auto"/>
          <w:highlight w:val="none"/>
        </w:rPr>
      </w:pPr>
    </w:p>
    <w:p w14:paraId="2AFAE894">
      <w:pPr>
        <w:spacing w:line="360" w:lineRule="auto"/>
        <w:ind w:right="420"/>
        <w:jc w:val="right"/>
        <w:rPr>
          <w:color w:val="auto"/>
          <w:highlight w:val="none"/>
        </w:rPr>
      </w:pPr>
      <w:bookmarkStart w:id="123" w:name="_Toc389065142"/>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2EF9BDB2">
      <w:pPr>
        <w:spacing w:line="360" w:lineRule="auto"/>
        <w:ind w:right="420"/>
        <w:jc w:val="right"/>
        <w:rPr>
          <w:color w:val="auto"/>
          <w:highlight w:val="none"/>
        </w:rPr>
        <w:sectPr>
          <w:pgSz w:w="11906" w:h="16838"/>
          <w:pgMar w:top="1440" w:right="1440" w:bottom="1440" w:left="1797" w:header="851" w:footer="851" w:gutter="0"/>
          <w:cols w:space="720" w:num="1"/>
          <w:docGrid w:linePitch="312" w:charSpace="0"/>
        </w:sectPr>
      </w:pPr>
    </w:p>
    <w:bookmarkEnd w:id="123"/>
    <w:p w14:paraId="66F8E9B7">
      <w:pPr>
        <w:pStyle w:val="2"/>
        <w:jc w:val="center"/>
        <w:rPr>
          <w:color w:val="auto"/>
          <w:highlight w:val="none"/>
        </w:rPr>
      </w:pPr>
      <w:bookmarkStart w:id="124" w:name="_Toc13360"/>
      <w:bookmarkStart w:id="125" w:name="_Toc78449619"/>
      <w:bookmarkStart w:id="126" w:name="_Toc521967382"/>
      <w:bookmarkStart w:id="127" w:name="_Toc389065143"/>
      <w:bookmarkStart w:id="128" w:name="_Toc407135075"/>
      <w:r>
        <w:rPr>
          <w:rFonts w:hint="eastAsia" w:cs="黑体"/>
          <w:color w:val="auto"/>
          <w:highlight w:val="none"/>
        </w:rPr>
        <w:t>第二章</w:t>
      </w:r>
      <w:r>
        <w:rPr>
          <w:color w:val="auto"/>
          <w:highlight w:val="none"/>
        </w:rPr>
        <w:t xml:space="preserve">  </w:t>
      </w:r>
      <w:r>
        <w:rPr>
          <w:rFonts w:hint="eastAsia" w:cs="黑体"/>
          <w:color w:val="auto"/>
          <w:highlight w:val="none"/>
        </w:rPr>
        <w:t>投标人须知</w:t>
      </w:r>
      <w:bookmarkEnd w:id="124"/>
      <w:bookmarkEnd w:id="125"/>
      <w:bookmarkEnd w:id="126"/>
    </w:p>
    <w:p w14:paraId="58FE0D0A">
      <w:pPr>
        <w:pStyle w:val="2"/>
        <w:jc w:val="center"/>
        <w:rPr>
          <w:color w:val="auto"/>
          <w:highlight w:val="none"/>
        </w:rPr>
      </w:pPr>
      <w:bookmarkStart w:id="129" w:name="_Toc32659"/>
      <w:bookmarkStart w:id="130" w:name="_Toc78449620"/>
      <w:bookmarkStart w:id="131" w:name="_Toc1768961744"/>
      <w:r>
        <w:rPr>
          <w:rFonts w:hint="eastAsia" w:cs="黑体"/>
          <w:color w:val="auto"/>
          <w:highlight w:val="none"/>
        </w:rPr>
        <w:t>投标人须知前附表</w:t>
      </w:r>
      <w:bookmarkEnd w:id="127"/>
      <w:bookmarkEnd w:id="128"/>
      <w:bookmarkEnd w:id="129"/>
      <w:bookmarkEnd w:id="130"/>
      <w:bookmarkEnd w:id="131"/>
    </w:p>
    <w:tbl>
      <w:tblPr>
        <w:tblStyle w:val="40"/>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1"/>
        <w:gridCol w:w="3778"/>
        <w:gridCol w:w="4409"/>
      </w:tblGrid>
      <w:tr w14:paraId="185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207" w:type="dxa"/>
            <w:gridSpan w:val="2"/>
            <w:shd w:val="clear" w:color="auto" w:fill="E6E6E6"/>
            <w:noWrap w:val="0"/>
            <w:vAlign w:val="center"/>
          </w:tcPr>
          <w:p w14:paraId="20E862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条款号</w:t>
            </w:r>
          </w:p>
        </w:tc>
        <w:tc>
          <w:tcPr>
            <w:tcW w:w="3778" w:type="dxa"/>
            <w:shd w:val="clear" w:color="auto" w:fill="E6E6E6"/>
            <w:noWrap w:val="0"/>
            <w:vAlign w:val="center"/>
          </w:tcPr>
          <w:p w14:paraId="5CB23A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款</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名</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称</w:t>
            </w:r>
          </w:p>
        </w:tc>
        <w:tc>
          <w:tcPr>
            <w:tcW w:w="4409" w:type="dxa"/>
            <w:shd w:val="clear" w:color="auto" w:fill="E6E6E6"/>
            <w:noWrap w:val="0"/>
            <w:vAlign w:val="center"/>
          </w:tcPr>
          <w:p w14:paraId="408D54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编</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列</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内</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容</w:t>
            </w:r>
          </w:p>
        </w:tc>
      </w:tr>
      <w:tr w14:paraId="490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1207" w:type="dxa"/>
            <w:gridSpan w:val="2"/>
            <w:noWrap w:val="0"/>
            <w:vAlign w:val="center"/>
          </w:tcPr>
          <w:p w14:paraId="60182D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778" w:type="dxa"/>
            <w:noWrap w:val="0"/>
            <w:vAlign w:val="center"/>
          </w:tcPr>
          <w:p w14:paraId="06A8FC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w:t>
            </w:r>
          </w:p>
        </w:tc>
        <w:tc>
          <w:tcPr>
            <w:tcW w:w="4409" w:type="dxa"/>
            <w:noWrap w:val="0"/>
            <w:vAlign w:val="center"/>
          </w:tcPr>
          <w:p w14:paraId="6FF15F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名称：</w:t>
            </w:r>
          </w:p>
          <w:p w14:paraId="649DAF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地址：</w:t>
            </w:r>
          </w:p>
          <w:p w14:paraId="55C482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联系人：</w:t>
            </w:r>
          </w:p>
          <w:p w14:paraId="57ECB2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电话：</w:t>
            </w:r>
          </w:p>
          <w:p w14:paraId="5A59E2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电子邮箱：</w:t>
            </w:r>
          </w:p>
        </w:tc>
      </w:tr>
      <w:tr w14:paraId="4351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1207" w:type="dxa"/>
            <w:gridSpan w:val="2"/>
            <w:noWrap w:val="0"/>
            <w:vAlign w:val="center"/>
          </w:tcPr>
          <w:p w14:paraId="635841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1.1.3</w:t>
            </w:r>
          </w:p>
        </w:tc>
        <w:tc>
          <w:tcPr>
            <w:tcW w:w="3778" w:type="dxa"/>
            <w:noWrap w:val="0"/>
            <w:vAlign w:val="center"/>
          </w:tcPr>
          <w:p w14:paraId="2E1091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招标代理机构</w:t>
            </w:r>
          </w:p>
        </w:tc>
        <w:tc>
          <w:tcPr>
            <w:tcW w:w="4409" w:type="dxa"/>
            <w:noWrap w:val="0"/>
            <w:vAlign w:val="center"/>
          </w:tcPr>
          <w:p w14:paraId="043706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名称：</w:t>
            </w:r>
          </w:p>
          <w:p w14:paraId="6493EA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地址：</w:t>
            </w:r>
          </w:p>
          <w:p w14:paraId="6F082F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val="en-US" w:eastAsia="zh-CN"/>
              </w:rPr>
              <w:t>项目负责人</w:t>
            </w:r>
            <w:r>
              <w:rPr>
                <w:rFonts w:hint="eastAsia" w:ascii="Calibri" w:hAnsi="Calibri" w:eastAsia="宋体" w:cs="宋体"/>
                <w:color w:val="auto"/>
                <w:highlight w:val="none"/>
              </w:rPr>
              <w:t>：</w:t>
            </w:r>
          </w:p>
          <w:p w14:paraId="136119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电话：</w:t>
            </w:r>
          </w:p>
          <w:p w14:paraId="6DFA8C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电子邮箱：</w:t>
            </w:r>
          </w:p>
        </w:tc>
      </w:tr>
      <w:tr w14:paraId="56AD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07" w:type="dxa"/>
            <w:gridSpan w:val="2"/>
            <w:noWrap w:val="0"/>
            <w:vAlign w:val="center"/>
          </w:tcPr>
          <w:p w14:paraId="56BACB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1.1.4</w:t>
            </w:r>
          </w:p>
        </w:tc>
        <w:tc>
          <w:tcPr>
            <w:tcW w:w="3778" w:type="dxa"/>
            <w:noWrap w:val="0"/>
            <w:vAlign w:val="center"/>
          </w:tcPr>
          <w:p w14:paraId="44A53B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p>
        </w:tc>
        <w:tc>
          <w:tcPr>
            <w:tcW w:w="4409" w:type="dxa"/>
            <w:noWrap w:val="0"/>
            <w:vAlign w:val="center"/>
          </w:tcPr>
          <w:p w14:paraId="508B82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6501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07" w:type="dxa"/>
            <w:gridSpan w:val="2"/>
            <w:noWrap w:val="0"/>
            <w:vAlign w:val="center"/>
          </w:tcPr>
          <w:p w14:paraId="140E28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1.1.5</w:t>
            </w:r>
          </w:p>
        </w:tc>
        <w:tc>
          <w:tcPr>
            <w:tcW w:w="3778" w:type="dxa"/>
            <w:noWrap w:val="0"/>
            <w:vAlign w:val="center"/>
          </w:tcPr>
          <w:p w14:paraId="44E23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建设地点</w:t>
            </w:r>
          </w:p>
        </w:tc>
        <w:tc>
          <w:tcPr>
            <w:tcW w:w="4409" w:type="dxa"/>
            <w:noWrap w:val="0"/>
            <w:vAlign w:val="center"/>
          </w:tcPr>
          <w:p w14:paraId="702B5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761A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07" w:type="dxa"/>
            <w:gridSpan w:val="2"/>
            <w:noWrap w:val="0"/>
            <w:vAlign w:val="center"/>
          </w:tcPr>
          <w:p w14:paraId="0DE42A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1.2.1</w:t>
            </w:r>
          </w:p>
        </w:tc>
        <w:tc>
          <w:tcPr>
            <w:tcW w:w="3778" w:type="dxa"/>
            <w:noWrap w:val="0"/>
            <w:vAlign w:val="center"/>
          </w:tcPr>
          <w:p w14:paraId="3FA729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资金来源</w:t>
            </w:r>
          </w:p>
        </w:tc>
        <w:tc>
          <w:tcPr>
            <w:tcW w:w="4409" w:type="dxa"/>
            <w:noWrap w:val="0"/>
            <w:vAlign w:val="center"/>
          </w:tcPr>
          <w:p w14:paraId="5842E8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69F8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07" w:type="dxa"/>
            <w:gridSpan w:val="2"/>
            <w:noWrap w:val="0"/>
            <w:vAlign w:val="center"/>
          </w:tcPr>
          <w:p w14:paraId="69B6C2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1.2.2</w:t>
            </w:r>
          </w:p>
        </w:tc>
        <w:tc>
          <w:tcPr>
            <w:tcW w:w="3778" w:type="dxa"/>
            <w:noWrap w:val="0"/>
            <w:vAlign w:val="center"/>
          </w:tcPr>
          <w:p w14:paraId="5C0677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出资比例</w:t>
            </w:r>
          </w:p>
        </w:tc>
        <w:tc>
          <w:tcPr>
            <w:tcW w:w="4409" w:type="dxa"/>
            <w:noWrap w:val="0"/>
            <w:vAlign w:val="center"/>
          </w:tcPr>
          <w:p w14:paraId="429042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3505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07" w:type="dxa"/>
            <w:gridSpan w:val="2"/>
            <w:noWrap w:val="0"/>
            <w:vAlign w:val="center"/>
          </w:tcPr>
          <w:p w14:paraId="734415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1.2.3</w:t>
            </w:r>
          </w:p>
        </w:tc>
        <w:tc>
          <w:tcPr>
            <w:tcW w:w="3778" w:type="dxa"/>
            <w:noWrap w:val="0"/>
            <w:vAlign w:val="center"/>
          </w:tcPr>
          <w:p w14:paraId="7F3687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资金落实情况</w:t>
            </w:r>
          </w:p>
        </w:tc>
        <w:tc>
          <w:tcPr>
            <w:tcW w:w="4409" w:type="dxa"/>
            <w:noWrap w:val="0"/>
            <w:vAlign w:val="center"/>
          </w:tcPr>
          <w:p w14:paraId="7555FC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6360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1207" w:type="dxa"/>
            <w:gridSpan w:val="2"/>
            <w:noWrap w:val="0"/>
            <w:vAlign w:val="center"/>
          </w:tcPr>
          <w:p w14:paraId="15CE13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1.2.4</w:t>
            </w:r>
          </w:p>
        </w:tc>
        <w:tc>
          <w:tcPr>
            <w:tcW w:w="3778" w:type="dxa"/>
            <w:noWrap w:val="0"/>
            <w:vAlign w:val="center"/>
          </w:tcPr>
          <w:p w14:paraId="58EACF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本工程增值税计税方法</w:t>
            </w:r>
          </w:p>
        </w:tc>
        <w:tc>
          <w:tcPr>
            <w:tcW w:w="4409" w:type="dxa"/>
            <w:noWrap w:val="0"/>
            <w:vAlign w:val="center"/>
          </w:tcPr>
          <w:p w14:paraId="58E23C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□一般计税法</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□简易计税法</w:t>
            </w:r>
          </w:p>
          <w:p w14:paraId="354FF3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24DA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top"/>
          </w:tcPr>
          <w:p w14:paraId="30BF69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1.3.1</w:t>
            </w:r>
          </w:p>
        </w:tc>
        <w:tc>
          <w:tcPr>
            <w:tcW w:w="3778" w:type="dxa"/>
            <w:noWrap w:val="0"/>
            <w:vAlign w:val="top"/>
          </w:tcPr>
          <w:p w14:paraId="276E8E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招标范围</w:t>
            </w:r>
          </w:p>
        </w:tc>
        <w:tc>
          <w:tcPr>
            <w:tcW w:w="4409" w:type="dxa"/>
            <w:noWrap w:val="0"/>
            <w:vAlign w:val="top"/>
          </w:tcPr>
          <w:p w14:paraId="20D24B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6C65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4D47BC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1.3.2</w:t>
            </w:r>
          </w:p>
        </w:tc>
        <w:tc>
          <w:tcPr>
            <w:tcW w:w="3778" w:type="dxa"/>
            <w:noWrap w:val="0"/>
            <w:vAlign w:val="center"/>
          </w:tcPr>
          <w:p w14:paraId="1A1723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p>
        </w:tc>
        <w:tc>
          <w:tcPr>
            <w:tcW w:w="4409" w:type="dxa"/>
            <w:noWrap w:val="0"/>
            <w:vAlign w:val="top"/>
          </w:tcPr>
          <w:p w14:paraId="0AF490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p w14:paraId="30A4B6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计划开工日期：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3C97F6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计划竣工日期：</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35274C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有关工期的详细要求见第八章</w:t>
            </w:r>
            <w:r>
              <w:rPr>
                <w:rFonts w:hint="default" w:ascii="Calibri" w:hAnsi="Calibri" w:eastAsia="宋体" w:cs="Times New Roman"/>
                <w:color w:val="auto"/>
                <w:highlight w:val="none"/>
              </w:rPr>
              <w:t>“</w:t>
            </w:r>
            <w:r>
              <w:rPr>
                <w:rFonts w:hint="eastAsia" w:ascii="Calibri" w:hAnsi="Calibri" w:eastAsia="宋体" w:cs="宋体"/>
                <w:color w:val="auto"/>
                <w:highlight w:val="none"/>
              </w:rPr>
              <w:t>技术标准和要求</w:t>
            </w:r>
            <w:r>
              <w:rPr>
                <w:rFonts w:hint="default" w:ascii="Calibri" w:hAnsi="Calibri" w:eastAsia="宋体" w:cs="Times New Roman"/>
                <w:color w:val="auto"/>
                <w:highlight w:val="none"/>
              </w:rPr>
              <w:t>”</w:t>
            </w:r>
            <w:r>
              <w:rPr>
                <w:rFonts w:hint="eastAsia" w:ascii="Calibri" w:hAnsi="Calibri" w:eastAsia="宋体" w:cs="宋体"/>
                <w:color w:val="auto"/>
                <w:highlight w:val="none"/>
              </w:rPr>
              <w:t>。</w:t>
            </w:r>
          </w:p>
        </w:tc>
      </w:tr>
      <w:tr w14:paraId="5655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top"/>
          </w:tcPr>
          <w:p w14:paraId="6BEAA5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1.3.3</w:t>
            </w:r>
          </w:p>
        </w:tc>
        <w:tc>
          <w:tcPr>
            <w:tcW w:w="3778" w:type="dxa"/>
            <w:noWrap w:val="0"/>
            <w:vAlign w:val="top"/>
          </w:tcPr>
          <w:p w14:paraId="14F438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质量要求</w:t>
            </w:r>
          </w:p>
        </w:tc>
        <w:tc>
          <w:tcPr>
            <w:tcW w:w="4409" w:type="dxa"/>
            <w:noWrap w:val="0"/>
            <w:vAlign w:val="top"/>
          </w:tcPr>
          <w:p w14:paraId="456714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质量标准：</w:t>
            </w:r>
            <w:r>
              <w:rPr>
                <w:rFonts w:hint="eastAsia" w:ascii="Calibri" w:hAnsi="Calibri" w:cs="宋体"/>
                <w:color w:val="auto"/>
                <w:highlight w:val="none"/>
                <w:u w:val="single"/>
                <w:lang w:val="en-US" w:eastAsia="zh-CN"/>
              </w:rPr>
              <w:t xml:space="preserve">                          </w:t>
            </w:r>
          </w:p>
        </w:tc>
      </w:tr>
      <w:tr w14:paraId="5C91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45D77E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1.4.1</w:t>
            </w:r>
          </w:p>
        </w:tc>
        <w:tc>
          <w:tcPr>
            <w:tcW w:w="3778" w:type="dxa"/>
            <w:noWrap w:val="0"/>
            <w:vAlign w:val="center"/>
          </w:tcPr>
          <w:p w14:paraId="57E3A4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投标人资质条件、能力、诚信要求</w:t>
            </w:r>
          </w:p>
        </w:tc>
        <w:tc>
          <w:tcPr>
            <w:tcW w:w="4409" w:type="dxa"/>
            <w:noWrap w:val="0"/>
            <w:vAlign w:val="top"/>
          </w:tcPr>
          <w:p w14:paraId="73C304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）资质条件：</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lang w:val="en-US" w:eastAsia="zh-CN"/>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p>
          <w:p w14:paraId="62E05D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2</w:t>
            </w:r>
            <w:r>
              <w:rPr>
                <w:rFonts w:hint="eastAsia" w:ascii="Calibri" w:hAnsi="Calibri" w:eastAsia="宋体" w:cs="宋体"/>
                <w:color w:val="auto"/>
                <w:highlight w:val="none"/>
              </w:rPr>
              <w:t>）财务要求：</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年至</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经审计的财务报表（以</w:t>
            </w:r>
            <w:r>
              <w:rPr>
                <w:rFonts w:hint="eastAsia" w:ascii="Calibri" w:hAnsi="Calibri" w:eastAsia="宋体" w:cs="宋体"/>
                <w:color w:val="auto"/>
                <w:highlight w:val="none"/>
                <w:lang w:eastAsia="zh-CN"/>
              </w:rPr>
              <w:t>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为准）</w:t>
            </w:r>
            <w:r>
              <w:rPr>
                <w:rFonts w:hint="eastAsia" w:ascii="方正楷体_GB2312" w:hAnsi="方正楷体_GB2312" w:eastAsia="方正楷体_GB2312" w:cs="方正楷体_GB2312"/>
                <w:color w:val="auto"/>
                <w:highlight w:val="none"/>
              </w:rPr>
              <w:t>【备注：对于从取得营业执照时间起到投标截止时间止不足要求年数的企业，只需提交企业取得营业执照年份至所要求最近年份经审计的财务报表</w:t>
            </w:r>
            <w:r>
              <w:rPr>
                <w:rFonts w:hint="eastAsia" w:ascii="方正楷体_GB2312" w:hAnsi="方正楷体_GB2312" w:eastAsia="方正楷体_GB2312" w:cs="方正楷体_GB2312"/>
                <w:color w:val="auto"/>
                <w:highlight w:val="none"/>
                <w:lang w:eastAsia="zh-CN"/>
              </w:rPr>
              <w:t>，若是投标当年成立的企业，其财务报表不要求经审计。联合体投标的联合体各方均须提供</w:t>
            </w:r>
            <w:r>
              <w:rPr>
                <w:rFonts w:hint="eastAsia" w:ascii="方正楷体_GB2312" w:hAnsi="方正楷体_GB2312" w:eastAsia="方正楷体_GB2312" w:cs="方正楷体_GB2312"/>
                <w:color w:val="auto"/>
                <w:highlight w:val="none"/>
              </w:rPr>
              <w:t>】</w:t>
            </w:r>
            <w:r>
              <w:rPr>
                <w:rFonts w:hint="eastAsia" w:ascii="Calibri" w:hAnsi="Calibri" w:eastAsia="宋体" w:cs="宋体"/>
                <w:color w:val="auto"/>
                <w:highlight w:val="none"/>
              </w:rPr>
              <w:t>。</w:t>
            </w:r>
          </w:p>
          <w:p w14:paraId="2AE70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3</w:t>
            </w:r>
            <w:r>
              <w:rPr>
                <w:rFonts w:hint="eastAsia" w:ascii="Calibri" w:hAnsi="Calibri" w:eastAsia="宋体" w:cs="宋体"/>
                <w:color w:val="auto"/>
                <w:highlight w:val="none"/>
              </w:rPr>
              <w:t>）业绩要求：</w:t>
            </w:r>
          </w:p>
          <w:p w14:paraId="5CAAFF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□无要求；</w:t>
            </w:r>
          </w:p>
          <w:p w14:paraId="2B6B17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有要求</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仿宋_GB2312" w:hAnsi="宋体" w:eastAsia="宋体" w:cs="Times New Roman"/>
                <w:color w:val="auto"/>
                <w:highlight w:val="none"/>
                <w:u w:val="single"/>
                <w:lang w:val="en-US" w:eastAsia="zh-CN"/>
              </w:rPr>
              <w:t xml:space="preserve">     </w:t>
            </w:r>
            <w:r>
              <w:rPr>
                <w:rFonts w:hint="default" w:ascii="仿宋_GB2312" w:hAnsi="宋体" w:eastAsia="宋体" w:cs="Times New Roman"/>
                <w:color w:val="auto"/>
                <w:highlight w:val="none"/>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w:t>
            </w:r>
            <w:r>
              <w:rPr>
                <w:rFonts w:hint="eastAsia" w:ascii="仿宋_GB2312" w:hAnsi="宋体" w:cs="Times New Roman"/>
                <w:color w:val="auto"/>
                <w:highlight w:val="none"/>
                <w:lang w:val="en-US" w:eastAsia="zh-CN"/>
              </w:rPr>
              <w:t>以来</w:t>
            </w:r>
            <w:r>
              <w:rPr>
                <w:rFonts w:hint="eastAsia" w:ascii="Calibri" w:hAnsi="Calibri" w:eastAsia="宋体" w:cs="宋体"/>
                <w:color w:val="auto"/>
                <w:highlight w:val="none"/>
              </w:rPr>
              <w:t>：</w:t>
            </w:r>
          </w:p>
          <w:p w14:paraId="3333A5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□完成过质量合格的类似工程项目</w:t>
            </w:r>
          </w:p>
          <w:p w14:paraId="75CC52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lang w:eastAsia="zh-CN"/>
              </w:rPr>
              <w:t>□</w:t>
            </w:r>
            <w:r>
              <w:rPr>
                <w:rFonts w:hint="eastAsia" w:ascii="Calibri" w:hAnsi="Calibri" w:eastAsia="宋体" w:cs="宋体"/>
                <w:color w:val="auto"/>
                <w:highlight w:val="none"/>
              </w:rPr>
              <w:t>承接过类似工程项目。</w:t>
            </w:r>
          </w:p>
          <w:p w14:paraId="070B39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cs="宋体"/>
                <w:color w:val="auto"/>
                <w:highlight w:val="none"/>
              </w:rPr>
              <w:t>类似工程指：</w:t>
            </w:r>
            <w:r>
              <w:rPr>
                <w:rFonts w:hint="default"/>
                <w:color w:val="auto"/>
                <w:highlight w:val="none"/>
                <w:u w:val="single"/>
              </w:rPr>
              <w:t xml:space="preserve">                    </w:t>
            </w:r>
            <w:r>
              <w:rPr>
                <w:rFonts w:hint="eastAsia" w:cs="宋体"/>
                <w:color w:val="auto"/>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为准）</w:t>
            </w:r>
            <w:r>
              <w:rPr>
                <w:rFonts w:hint="eastAsia" w:ascii="Calibri" w:hAnsi="Calibri" w:cs="宋体"/>
                <w:color w:val="auto"/>
                <w:highlight w:val="none"/>
                <w:lang w:eastAsia="zh-CN"/>
              </w:rPr>
              <w:t>。</w:t>
            </w:r>
          </w:p>
          <w:p w14:paraId="4E4F08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4</w:t>
            </w:r>
            <w:r>
              <w:rPr>
                <w:rFonts w:hint="eastAsia" w:ascii="Calibri" w:hAnsi="Calibri" w:eastAsia="宋体" w:cs="宋体"/>
                <w:color w:val="auto"/>
                <w:highlight w:val="none"/>
              </w:rPr>
              <w:t>）诚信要求：</w:t>
            </w:r>
          </w:p>
          <w:p w14:paraId="1A1408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①</w:t>
            </w: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59D7EF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②</w:t>
            </w: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hint="default" w:cs="宋体"/>
                <w:color w:val="auto"/>
                <w:highlight w:val="none"/>
              </w:rPr>
              <w:fldChar w:fldCharType="begin"/>
            </w:r>
            <w:r>
              <w:rPr>
                <w:rFonts w:hint="default" w:cs="宋体"/>
                <w:color w:val="auto"/>
                <w:highlight w:val="none"/>
              </w:rPr>
              <w:instrText xml:space="preserve"> HYPERLINK "http://jzsc.mohurd.gov.cn/home" </w:instrText>
            </w:r>
            <w:r>
              <w:rPr>
                <w:rFonts w:hint="default" w:cs="宋体"/>
                <w:color w:val="auto"/>
                <w:highlight w:val="none"/>
              </w:rPr>
              <w:fldChar w:fldCharType="separate"/>
            </w:r>
            <w:r>
              <w:rPr>
                <w:rFonts w:hint="default" w:cs="宋体"/>
                <w:color w:val="auto"/>
                <w:highlight w:val="none"/>
              </w:rPr>
              <w:t>http://jzsc.mohurd.gov.cn/home</w:t>
            </w:r>
            <w:r>
              <w:rPr>
                <w:rFonts w:hint="default" w:cs="宋体"/>
                <w:color w:val="auto"/>
                <w:highlight w:val="none"/>
              </w:rPr>
              <w:fldChar w:fldCharType="end"/>
            </w:r>
            <w:r>
              <w:rPr>
                <w:rFonts w:hint="eastAsia" w:cs="宋体"/>
                <w:color w:val="auto"/>
                <w:highlight w:val="none"/>
              </w:rPr>
              <w:t>）查询的结果为准），不得参与投标。</w:t>
            </w:r>
          </w:p>
          <w:p w14:paraId="2AD9C2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ascii="微软雅黑" w:hAnsi="微软雅黑" w:eastAsia="微软雅黑" w:cs="微软雅黑"/>
                <w:color w:val="auto"/>
                <w:highlight w:val="none"/>
              </w:rPr>
              <w:t>③</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hint="default"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581D1F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val="en-US" w:eastAsia="zh-CN"/>
              </w:rPr>
            </w:pPr>
            <w:r>
              <w:rPr>
                <w:rFonts w:hint="eastAsia" w:ascii="微软雅黑" w:hAnsi="微软雅黑" w:eastAsia="微软雅黑" w:cs="微软雅黑"/>
                <w:color w:val="auto"/>
                <w:highlight w:val="none"/>
              </w:rPr>
              <w:t>④</w:t>
            </w: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08E900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ascii="微软雅黑" w:hAnsi="微软雅黑" w:eastAsia="微软雅黑" w:cs="微软雅黑"/>
                <w:color w:val="auto"/>
                <w:highlight w:val="none"/>
              </w:rPr>
              <w:t>⑤</w:t>
            </w:r>
            <w:r>
              <w:rPr>
                <w:rFonts w:hint="eastAsia" w:ascii="Calibri" w:hAnsi="Calibri" w:eastAsia="宋体" w:cs="Times New Roman"/>
                <w:color w:val="auto"/>
                <w:highlight w:val="none"/>
              </w:rPr>
              <w:t>投标人在制作投标文件，生成投标文件时，须在弹出的输入框中填写</w:t>
            </w:r>
            <w:r>
              <w:rPr>
                <w:rFonts w:hint="eastAsia" w:ascii="Calibri" w:hAnsi="Calibri" w:eastAsia="宋体" w:cs="Times New Roman"/>
                <w:color w:val="auto"/>
                <w:highlight w:val="none"/>
                <w:lang w:eastAsia="zh-CN"/>
              </w:rPr>
              <w:t>专职投标员、</w:t>
            </w:r>
            <w:r>
              <w:rPr>
                <w:rFonts w:hint="eastAsia" w:ascii="Calibri" w:hAnsi="Calibri" w:eastAsia="宋体" w:cs="Times New Roman"/>
                <w:color w:val="auto"/>
                <w:highlight w:val="none"/>
              </w:rPr>
              <w:t>拟投入的项目经理</w:t>
            </w:r>
            <w:r>
              <w:rPr>
                <w:rFonts w:hint="eastAsia" w:ascii="Calibri" w:hAnsi="Calibri" w:eastAsia="宋体" w:cs="Times New Roman"/>
                <w:color w:val="auto"/>
                <w:highlight w:val="none"/>
                <w:lang w:eastAsia="zh-CN"/>
              </w:rPr>
              <w:t>及</w:t>
            </w:r>
            <w:r>
              <w:rPr>
                <w:rFonts w:hint="eastAsia" w:ascii="Calibri" w:hAnsi="Calibri" w:eastAsia="宋体" w:cs="Times New Roman"/>
                <w:color w:val="auto"/>
                <w:highlight w:val="none"/>
              </w:rPr>
              <w:t>所有专职安全生产管理人员身份证信息并仔细确认。在投标文件解密环节，</w:t>
            </w:r>
            <w:r>
              <w:rPr>
                <w:rFonts w:hint="eastAsia" w:ascii="宋体" w:hAnsi="宋体" w:eastAsia="宋体" w:cs="宋体"/>
                <w:color w:val="auto"/>
                <w:kern w:val="0"/>
                <w:highlight w:val="none"/>
              </w:rPr>
              <w:t>广西壮族自治区网上开标子系统（http://202.103.240.162:8072/BidOpening</w:t>
            </w:r>
            <w:r>
              <w:rPr>
                <w:rFonts w:hint="eastAsia" w:ascii="宋体" w:hAnsi="宋体" w:cs="宋体"/>
                <w:color w:val="auto"/>
                <w:kern w:val="0"/>
                <w:highlight w:val="none"/>
                <w:lang w:eastAsia="zh-CN"/>
              </w:rPr>
              <w:t>）</w:t>
            </w:r>
            <w:r>
              <w:rPr>
                <w:rFonts w:hint="eastAsia" w:ascii="Calibri" w:hAnsi="Calibri" w:eastAsia="宋体" w:cs="Times New Roman"/>
                <w:color w:val="auto"/>
                <w:highlight w:val="none"/>
              </w:rPr>
              <w:t>将自动验证</w:t>
            </w:r>
            <w:r>
              <w:rPr>
                <w:rFonts w:hint="eastAsia" w:ascii="Calibri" w:hAnsi="Calibri" w:eastAsia="宋体" w:cs="Times New Roman"/>
                <w:color w:val="auto"/>
                <w:highlight w:val="none"/>
                <w:lang w:eastAsia="zh-CN"/>
              </w:rPr>
              <w:t>专职投标员、</w:t>
            </w:r>
            <w:r>
              <w:rPr>
                <w:rFonts w:hint="eastAsia" w:ascii="Calibri" w:hAnsi="Calibri" w:eastAsia="宋体" w:cs="Times New Roman"/>
                <w:color w:val="auto"/>
                <w:highlight w:val="none"/>
              </w:rPr>
              <w:t>项目经理</w:t>
            </w:r>
            <w:r>
              <w:rPr>
                <w:rFonts w:hint="eastAsia" w:ascii="Calibri" w:hAnsi="Calibri" w:eastAsia="宋体" w:cs="Times New Roman"/>
                <w:color w:val="auto"/>
                <w:highlight w:val="none"/>
                <w:lang w:eastAsia="zh-CN"/>
              </w:rPr>
              <w:t>及</w:t>
            </w:r>
            <w:r>
              <w:rPr>
                <w:rFonts w:hint="eastAsia" w:ascii="Calibri" w:hAnsi="Calibri" w:eastAsia="宋体" w:cs="宋体"/>
                <w:color w:val="auto"/>
                <w:highlight w:val="none"/>
              </w:rPr>
              <w:t>所有专职安全生产管理人员</w:t>
            </w:r>
            <w:r>
              <w:rPr>
                <w:rFonts w:hint="eastAsia" w:ascii="Calibri" w:hAnsi="Calibri" w:eastAsia="宋体" w:cs="Times New Roman"/>
                <w:color w:val="auto"/>
                <w:highlight w:val="none"/>
              </w:rPr>
              <w:t>的身份信息及诚信信息。</w:t>
            </w:r>
            <w:r>
              <w:rPr>
                <w:rFonts w:hint="default" w:ascii="Calibri" w:hAnsi="Calibri" w:eastAsia="宋体" w:cs="Times New Roman"/>
                <w:color w:val="auto"/>
                <w:highlight w:val="none"/>
              </w:rPr>
              <w:t>企业</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项目经理</w:t>
            </w:r>
            <w:r>
              <w:rPr>
                <w:rFonts w:hint="eastAsia" w:ascii="Calibri" w:hAnsi="Calibri" w:eastAsia="宋体" w:cs="Times New Roman"/>
                <w:color w:val="auto"/>
                <w:highlight w:val="none"/>
                <w:lang w:eastAsia="zh-CN"/>
              </w:rPr>
              <w:t>和</w:t>
            </w:r>
            <w:r>
              <w:rPr>
                <w:rFonts w:hint="eastAsia" w:ascii="Calibri" w:hAnsi="Calibri" w:eastAsia="宋体" w:cs="Times New Roman"/>
                <w:color w:val="auto"/>
                <w:highlight w:val="none"/>
              </w:rPr>
              <w:t>所有专职安全生产管理人员在“桂建云”内</w:t>
            </w:r>
            <w:r>
              <w:rPr>
                <w:rFonts w:hint="eastAsia" w:ascii="Calibri" w:hAnsi="Calibri" w:eastAsia="宋体" w:cs="宋体"/>
                <w:color w:val="auto"/>
                <w:highlight w:val="none"/>
              </w:rPr>
              <w:t>均应</w:t>
            </w:r>
            <w:r>
              <w:rPr>
                <w:rFonts w:hint="default" w:ascii="Calibri" w:hAnsi="Calibri" w:eastAsia="宋体" w:cs="Times New Roman"/>
                <w:color w:val="auto"/>
                <w:highlight w:val="none"/>
              </w:rPr>
              <w:t>未被锁定。</w:t>
            </w:r>
          </w:p>
          <w:p w14:paraId="3BC7A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b/>
                <w:bCs/>
                <w:color w:val="auto"/>
                <w:highlight w:val="none"/>
                <w:lang w:val="en-US" w:eastAsia="zh-CN"/>
              </w:rPr>
              <w:t>注：</w:t>
            </w:r>
            <w:r>
              <w:rPr>
                <w:rFonts w:hint="eastAsia" w:ascii="方正楷体_GB2312" w:hAnsi="方正楷体_GB2312" w:eastAsia="方正楷体_GB2312" w:cs="方正楷体_GB2312"/>
                <w:color w:val="auto"/>
                <w:highlight w:val="none"/>
                <w:lang w:val="en-US" w:eastAsia="zh-CN"/>
              </w:rPr>
              <w:t>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、④</w:t>
            </w:r>
            <w:r>
              <w:rPr>
                <w:rFonts w:hint="eastAsia" w:ascii="方正楷体_GB2312" w:hAnsi="方正楷体_GB2312" w:eastAsia="方正楷体_GB2312" w:cs="方正楷体_GB2312"/>
                <w:color w:val="auto"/>
                <w:highlight w:val="none"/>
                <w:lang w:val="en-US" w:eastAsia="zh-CN"/>
              </w:rPr>
              <w:t>项查询工作由评标委员会进行查询，并做好相关记录。</w:t>
            </w:r>
          </w:p>
          <w:p w14:paraId="7F40AF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5</w:t>
            </w:r>
            <w:r>
              <w:rPr>
                <w:rFonts w:hint="eastAsia" w:ascii="Calibri" w:hAnsi="Calibri" w:eastAsia="宋体" w:cs="宋体"/>
                <w:color w:val="auto"/>
                <w:highlight w:val="none"/>
              </w:rPr>
              <w:t>）项目经理资格：</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专业</w:t>
            </w:r>
            <w:r>
              <w:rPr>
                <w:rFonts w:hint="default" w:ascii="Calibri" w:hAnsi="Calibri" w:eastAsia="宋体" w:cs="Times New Roman"/>
                <w:color w:val="auto"/>
                <w:highlight w:val="none"/>
                <w:u w:val="single"/>
              </w:rPr>
              <w:t xml:space="preserve">     </w:t>
            </w:r>
            <w:r>
              <w:rPr>
                <w:rFonts w:hint="eastAsia" w:ascii="仿宋_GB2312" w:hAnsi="宋体" w:eastAsia="宋体" w:cs="Times New Roman"/>
                <w:color w:val="auto"/>
                <w:highlight w:val="none"/>
                <w:u w:val="single"/>
                <w:lang w:val="en-US" w:eastAsia="zh-CN"/>
              </w:rPr>
              <w:t xml:space="preserve">   </w:t>
            </w:r>
            <w:r>
              <w:rPr>
                <w:rFonts w:hint="eastAsia" w:ascii="Calibri" w:hAnsi="Calibri" w:eastAsia="宋体" w:cs="宋体"/>
                <w:color w:val="auto"/>
                <w:highlight w:val="none"/>
              </w:rPr>
              <w:t>注册建造师执业资格，已录入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类）。本项目不接受有在建、已中标未开工或已列为其他项目中标候选人第一名的建造师作为项目经理</w:t>
            </w:r>
            <w:r>
              <w:rPr>
                <w:rFonts w:hint="eastAsia" w:ascii="Calibri" w:hAnsi="Calibri" w:eastAsia="宋体" w:cs="宋体"/>
                <w:color w:val="auto"/>
                <w:kern w:val="0"/>
                <w:highlight w:val="none"/>
              </w:rPr>
              <w:t>（</w:t>
            </w:r>
            <w:r>
              <w:rPr>
                <w:rFonts w:hint="eastAsia" w:ascii="Calibri" w:hAnsi="Calibri" w:eastAsia="宋体" w:cs="宋体"/>
                <w:color w:val="auto"/>
                <w:highlight w:val="none"/>
              </w:rPr>
              <w:t>符合《广西壮族自治区建筑市场诚信卡管理暂行办法》第十六条第一款及桂建管﹝2016﹞70号文</w:t>
            </w:r>
            <w:r>
              <w:rPr>
                <w:rFonts w:hint="eastAsia" w:ascii="Times New Roman" w:hAnsi="Times New Roman" w:eastAsia="宋体" w:cs="宋体"/>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Calibri" w:hAnsi="Calibri" w:eastAsia="宋体" w:cs="宋体"/>
                <w:color w:val="auto"/>
                <w:highlight w:val="none"/>
              </w:rPr>
              <w:t>除外）。</w:t>
            </w:r>
          </w:p>
          <w:p w14:paraId="71CC74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6</w:t>
            </w:r>
            <w:r>
              <w:rPr>
                <w:rFonts w:hint="eastAsia" w:ascii="Calibri" w:hAnsi="Calibri" w:eastAsia="宋体" w:cs="宋体"/>
                <w:color w:val="auto"/>
                <w:highlight w:val="none"/>
              </w:rPr>
              <w:t>）专职安全生产管理人员要求：专职安全生产管理人员须已录入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类），人数符合住房和城乡建设部《</w:t>
            </w:r>
            <w:r>
              <w:rPr>
                <w:rFonts w:hint="eastAsia" w:ascii="Calibri" w:hAnsi="Calibri" w:cs="宋体"/>
                <w:color w:val="auto"/>
                <w:highlight w:val="none"/>
                <w:lang w:eastAsia="zh-CN"/>
              </w:rPr>
              <w:t>建筑施工企业、工程项目安全生产管理机构设置及安全生产管理人员配备办法</w:t>
            </w:r>
            <w:r>
              <w:rPr>
                <w:rFonts w:hint="eastAsia" w:ascii="Calibri" w:hAnsi="Calibri" w:eastAsia="宋体" w:cs="宋体"/>
                <w:color w:val="auto"/>
                <w:highlight w:val="none"/>
              </w:rPr>
              <w:t>》（建质</w:t>
            </w:r>
            <w:r>
              <w:rPr>
                <w:rFonts w:hint="eastAsia" w:ascii="Calibri" w:hAnsi="Calibri" w:cs="宋体"/>
                <w:color w:val="auto"/>
                <w:highlight w:val="none"/>
                <w:lang w:val="en-US" w:eastAsia="zh-CN"/>
              </w:rPr>
              <w:t>规</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cs="Times New Roman"/>
                <w:color w:val="auto"/>
                <w:highlight w:val="none"/>
                <w:lang w:val="en-US" w:eastAsia="zh-CN"/>
              </w:rPr>
              <w:t>25</w:t>
            </w:r>
            <w:r>
              <w:rPr>
                <w:rFonts w:hint="eastAsia" w:ascii="Calibri" w:hAnsi="Calibri" w:eastAsia="宋体" w:cs="宋体"/>
                <w:color w:val="auto"/>
                <w:highlight w:val="none"/>
              </w:rPr>
              <w:t>〕</w:t>
            </w:r>
            <w:r>
              <w:rPr>
                <w:rFonts w:hint="eastAsia" w:ascii="Calibri" w:hAnsi="Calibri" w:cs="Times New Roman"/>
                <w:color w:val="auto"/>
                <w:highlight w:val="none"/>
                <w:lang w:val="en-US" w:eastAsia="zh-CN"/>
              </w:rPr>
              <w:t>3</w:t>
            </w:r>
            <w:r>
              <w:rPr>
                <w:rFonts w:hint="eastAsia" w:ascii="Calibri" w:hAnsi="Calibri" w:eastAsia="宋体" w:cs="宋体"/>
                <w:color w:val="auto"/>
                <w:highlight w:val="none"/>
              </w:rPr>
              <w:t>号）的规定不少于</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p>
          <w:p w14:paraId="7BE78D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备注：以上条件要求的投标人信息，如无特别出处要求的，一律以“桂建云”的信息为准（</w:t>
            </w:r>
            <w:r>
              <w:rPr>
                <w:rFonts w:hint="eastAsia" w:ascii="方正楷体_GB2312" w:hAnsi="方正楷体_GB2312" w:eastAsia="方正楷体_GB2312" w:cs="方正楷体_GB2312"/>
                <w:color w:val="auto"/>
                <w:highlight w:val="none"/>
                <w:lang w:val="en-US" w:eastAsia="zh-CN"/>
              </w:rPr>
              <w:t>评标时</w:t>
            </w:r>
            <w:r>
              <w:rPr>
                <w:rFonts w:hint="eastAsia" w:ascii="方正楷体_GB2312" w:hAnsi="方正楷体_GB2312" w:eastAsia="方正楷体_GB2312" w:cs="方正楷体_GB2312"/>
                <w:color w:val="auto"/>
                <w:highlight w:val="none"/>
                <w:lang w:eastAsia="zh-CN"/>
              </w:rPr>
              <w:t>无需</w:t>
            </w:r>
            <w:r>
              <w:rPr>
                <w:rFonts w:hint="eastAsia" w:ascii="方正楷体_GB2312" w:hAnsi="方正楷体_GB2312" w:eastAsia="方正楷体_GB2312" w:cs="方正楷体_GB2312"/>
                <w:color w:val="auto"/>
                <w:highlight w:val="none"/>
                <w:lang w:val="en-US" w:eastAsia="zh-CN"/>
              </w:rPr>
              <w:t>核查</w:t>
            </w:r>
            <w:r>
              <w:rPr>
                <w:rFonts w:hint="eastAsia" w:ascii="方正楷体_GB2312" w:hAnsi="方正楷体_GB2312" w:eastAsia="方正楷体_GB2312" w:cs="方正楷体_GB2312"/>
                <w:color w:val="auto"/>
                <w:highlight w:val="none"/>
                <w:lang w:eastAsia="zh-CN"/>
              </w:rPr>
              <w:t>相关扫描件）</w:t>
            </w:r>
            <w:r>
              <w:rPr>
                <w:rFonts w:hint="eastAsia" w:ascii="方正楷体_GB2312" w:hAnsi="方正楷体_GB2312" w:eastAsia="方正楷体_GB2312" w:cs="方正楷体_GB2312"/>
                <w:color w:val="auto"/>
                <w:highlight w:val="none"/>
              </w:rPr>
              <w:t>。</w:t>
            </w:r>
          </w:p>
          <w:p w14:paraId="67C82B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7</w:t>
            </w:r>
            <w:r>
              <w:rPr>
                <w:rFonts w:hint="eastAsia" w:ascii="Calibri" w:hAnsi="Calibri" w:eastAsia="宋体" w:cs="宋体"/>
                <w:color w:val="auto"/>
                <w:highlight w:val="none"/>
              </w:rPr>
              <w:t>）其他要求：</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u w:val="single"/>
                <w:lang w:val="en-US" w:eastAsia="zh-CN"/>
              </w:rPr>
              <w:t xml:space="preserve">        </w:t>
            </w:r>
            <w:r>
              <w:rPr>
                <w:rFonts w:hint="default" w:ascii="Calibri" w:hAnsi="Calibri" w:eastAsia="宋体" w:cs="Times New Roman"/>
                <w:color w:val="auto"/>
                <w:highlight w:val="none"/>
                <w:u w:val="single"/>
              </w:rPr>
              <w:t xml:space="preserve"> </w:t>
            </w:r>
          </w:p>
          <w:p w14:paraId="43CB34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方正楷体_GB2312" w:hAnsi="方正楷体_GB2312" w:eastAsia="方正楷体_GB2312" w:cs="方正楷体_GB2312"/>
                <w:color w:val="auto"/>
                <w:highlight w:val="none"/>
              </w:rPr>
              <w:t xml:space="preserve">【注：含落实政府采购政策需满足的资格要求】  </w:t>
            </w:r>
            <w:r>
              <w:rPr>
                <w:rFonts w:hint="default" w:ascii="Calibri" w:hAnsi="Calibri" w:eastAsia="宋体" w:cs="Times New Roman"/>
                <w:color w:val="auto"/>
                <w:highlight w:val="none"/>
              </w:rPr>
              <w:t xml:space="preserve">                </w:t>
            </w:r>
          </w:p>
        </w:tc>
      </w:tr>
      <w:tr w14:paraId="2517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dxa"/>
            <w:gridSpan w:val="2"/>
            <w:noWrap w:val="0"/>
            <w:vAlign w:val="center"/>
          </w:tcPr>
          <w:p w14:paraId="4C352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1.4.2</w:t>
            </w:r>
          </w:p>
        </w:tc>
        <w:tc>
          <w:tcPr>
            <w:tcW w:w="3778" w:type="dxa"/>
            <w:noWrap w:val="0"/>
            <w:vAlign w:val="center"/>
          </w:tcPr>
          <w:p w14:paraId="114659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是否接受联合体投标</w:t>
            </w:r>
          </w:p>
        </w:tc>
        <w:tc>
          <w:tcPr>
            <w:tcW w:w="4409" w:type="dxa"/>
            <w:noWrap w:val="0"/>
            <w:vAlign w:val="center"/>
          </w:tcPr>
          <w:p w14:paraId="7BC9A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□不接受</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□接受</w:t>
            </w:r>
          </w:p>
          <w:p w14:paraId="783E6C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highlight w:val="none"/>
              </w:rPr>
            </w:pPr>
            <w:r>
              <w:rPr>
                <w:rFonts w:hint="eastAsia" w:ascii="Calibri" w:hAnsi="Calibri" w:eastAsia="宋体" w:cs="宋体"/>
                <w:color w:val="auto"/>
                <w:highlight w:val="none"/>
              </w:rPr>
              <w:t>联合体投标的，应满足下列要求：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r>
      <w:tr w14:paraId="52FB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dxa"/>
            <w:gridSpan w:val="2"/>
            <w:noWrap w:val="0"/>
            <w:vAlign w:val="center"/>
          </w:tcPr>
          <w:p w14:paraId="4D9DC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1.9.1</w:t>
            </w:r>
          </w:p>
        </w:tc>
        <w:tc>
          <w:tcPr>
            <w:tcW w:w="3778" w:type="dxa"/>
            <w:noWrap w:val="0"/>
            <w:vAlign w:val="center"/>
          </w:tcPr>
          <w:p w14:paraId="42557F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踏勘现场</w:t>
            </w:r>
          </w:p>
        </w:tc>
        <w:tc>
          <w:tcPr>
            <w:tcW w:w="4409" w:type="dxa"/>
            <w:noWrap w:val="0"/>
            <w:vAlign w:val="center"/>
          </w:tcPr>
          <w:p w14:paraId="33D32B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不组织</w:t>
            </w:r>
          </w:p>
        </w:tc>
      </w:tr>
      <w:tr w14:paraId="70DC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dxa"/>
            <w:gridSpan w:val="2"/>
            <w:noWrap w:val="0"/>
            <w:vAlign w:val="center"/>
          </w:tcPr>
          <w:p w14:paraId="57BD6A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1.10</w:t>
            </w:r>
          </w:p>
        </w:tc>
        <w:tc>
          <w:tcPr>
            <w:tcW w:w="3778" w:type="dxa"/>
            <w:noWrap w:val="0"/>
            <w:vAlign w:val="center"/>
          </w:tcPr>
          <w:p w14:paraId="4F038B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投标预备会</w:t>
            </w:r>
          </w:p>
        </w:tc>
        <w:tc>
          <w:tcPr>
            <w:tcW w:w="4409" w:type="dxa"/>
            <w:noWrap w:val="0"/>
            <w:vAlign w:val="center"/>
          </w:tcPr>
          <w:p w14:paraId="78E393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不召开</w:t>
            </w:r>
          </w:p>
        </w:tc>
      </w:tr>
      <w:tr w14:paraId="4DE1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2E1299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1.11</w:t>
            </w:r>
          </w:p>
        </w:tc>
        <w:tc>
          <w:tcPr>
            <w:tcW w:w="3778" w:type="dxa"/>
            <w:noWrap w:val="0"/>
            <w:vAlign w:val="center"/>
          </w:tcPr>
          <w:p w14:paraId="60D0E0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分</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包</w:t>
            </w:r>
          </w:p>
        </w:tc>
        <w:tc>
          <w:tcPr>
            <w:tcW w:w="4409" w:type="dxa"/>
            <w:noWrap w:val="0"/>
            <w:vAlign w:val="center"/>
          </w:tcPr>
          <w:p w14:paraId="5A63A9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□不允许</w:t>
            </w:r>
          </w:p>
          <w:p w14:paraId="53FFA8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□允许，分包内容要求：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30D122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分包金额要求：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251503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接受分包的第三人资质要求：</w:t>
            </w:r>
            <w:r>
              <w:rPr>
                <w:rFonts w:hint="eastAsia" w:ascii="Calibri" w:hAnsi="Calibri" w:eastAsia="宋体" w:cs="宋体"/>
                <w:color w:val="auto"/>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 xml:space="preserve">。       </w:t>
            </w:r>
          </w:p>
          <w:p w14:paraId="320A87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default" w:ascii="Calibri" w:hAnsi="Calibri" w:eastAsia="宋体" w:cs="宋体"/>
                <w:color w:val="auto"/>
                <w:highlight w:val="none"/>
                <w:u w:val="single"/>
              </w:rPr>
            </w:pPr>
            <w:r>
              <w:rPr>
                <w:rFonts w:hint="eastAsia" w:ascii="Calibri" w:hAnsi="Calibri" w:eastAsia="宋体" w:cs="宋体"/>
                <w:color w:val="auto"/>
                <w:highlight w:val="none"/>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tc>
      </w:tr>
      <w:tr w14:paraId="2962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07" w:type="dxa"/>
            <w:gridSpan w:val="2"/>
            <w:noWrap w:val="0"/>
            <w:vAlign w:val="center"/>
          </w:tcPr>
          <w:p w14:paraId="3B8679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778" w:type="dxa"/>
            <w:noWrap w:val="0"/>
            <w:vAlign w:val="center"/>
          </w:tcPr>
          <w:p w14:paraId="30BE2C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离</w:t>
            </w:r>
          </w:p>
        </w:tc>
        <w:tc>
          <w:tcPr>
            <w:tcW w:w="4409" w:type="dxa"/>
            <w:noWrap w:val="0"/>
            <w:vAlign w:val="center"/>
          </w:tcPr>
          <w:p w14:paraId="4391EF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不允许</w:t>
            </w:r>
          </w:p>
        </w:tc>
      </w:tr>
      <w:tr w14:paraId="0CCF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07" w:type="dxa"/>
            <w:gridSpan w:val="2"/>
            <w:noWrap w:val="0"/>
            <w:vAlign w:val="center"/>
          </w:tcPr>
          <w:p w14:paraId="138210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2.1.1</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10</w:t>
            </w:r>
            <w:r>
              <w:rPr>
                <w:rFonts w:hint="eastAsia" w:ascii="Calibri" w:hAnsi="Calibri" w:cs="Times New Roman"/>
                <w:color w:val="auto"/>
                <w:highlight w:val="none"/>
                <w:lang w:eastAsia="zh-CN"/>
              </w:rPr>
              <w:t>)</w:t>
            </w:r>
          </w:p>
        </w:tc>
        <w:tc>
          <w:tcPr>
            <w:tcW w:w="3778" w:type="dxa"/>
            <w:noWrap w:val="0"/>
            <w:vAlign w:val="center"/>
          </w:tcPr>
          <w:p w14:paraId="5BF819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构成招标文件的其他材料</w:t>
            </w:r>
          </w:p>
        </w:tc>
        <w:tc>
          <w:tcPr>
            <w:tcW w:w="4409" w:type="dxa"/>
            <w:noWrap w:val="0"/>
            <w:vAlign w:val="center"/>
          </w:tcPr>
          <w:p w14:paraId="4DF92E45">
            <w:pPr>
              <w:keepNext w:val="0"/>
              <w:keepLines w:val="0"/>
              <w:pageBreakBefore w:val="0"/>
              <w:suppressLineNumbers w:val="0"/>
              <w:tabs>
                <w:tab w:val="left" w:pos="826"/>
              </w:tabs>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招标文件的澄清、修改、补充通知等内容</w:t>
            </w:r>
          </w:p>
        </w:tc>
      </w:tr>
      <w:tr w14:paraId="312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noWrap w:val="0"/>
            <w:vAlign w:val="center"/>
          </w:tcPr>
          <w:p w14:paraId="7ADBD9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2.2.1</w:t>
            </w:r>
          </w:p>
        </w:tc>
        <w:tc>
          <w:tcPr>
            <w:tcW w:w="3778" w:type="dxa"/>
            <w:noWrap w:val="0"/>
            <w:vAlign w:val="center"/>
          </w:tcPr>
          <w:p w14:paraId="50FD2B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投标人对招标文件提出异议的截止时间</w:t>
            </w:r>
          </w:p>
        </w:tc>
        <w:tc>
          <w:tcPr>
            <w:tcW w:w="4409" w:type="dxa"/>
            <w:noWrap w:val="0"/>
            <w:vAlign w:val="center"/>
          </w:tcPr>
          <w:p w14:paraId="7013FF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日前。投标人不在规定期限内通过全国公共资源交易平台（广西壮族自治区）或者</w:t>
            </w:r>
            <w:r>
              <w:rPr>
                <w:rFonts w:hint="default" w:ascii="Calibri" w:hAnsi="Calibri" w:eastAsia="宋体" w:cs="宋体"/>
                <w:color w:val="auto"/>
                <w:highlight w:val="none"/>
              </w:rPr>
              <w:t>线下</w:t>
            </w:r>
            <w:r>
              <w:rPr>
                <w:rFonts w:hint="eastAsia" w:ascii="Calibri" w:hAnsi="Calibri" w:eastAsia="宋体" w:cs="宋体"/>
                <w:color w:val="auto"/>
                <w:highlight w:val="none"/>
              </w:rPr>
              <w:t>提出，招标人有权不予答复，或答复后投标截止时间由招标人确定是否顺延。</w:t>
            </w:r>
          </w:p>
          <w:p w14:paraId="1A58F2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澄清和答复须通过全国公共资源交易平台（广西壮族自治区）进行。</w:t>
            </w:r>
          </w:p>
        </w:tc>
      </w:tr>
      <w:tr w14:paraId="77DE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restart"/>
            <w:noWrap w:val="0"/>
            <w:vAlign w:val="center"/>
          </w:tcPr>
          <w:p w14:paraId="40ABBE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p>
        </w:tc>
        <w:tc>
          <w:tcPr>
            <w:tcW w:w="3778" w:type="dxa"/>
            <w:noWrap w:val="0"/>
            <w:vAlign w:val="center"/>
          </w:tcPr>
          <w:p w14:paraId="235EEE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p>
        </w:tc>
        <w:tc>
          <w:tcPr>
            <w:tcW w:w="4409" w:type="dxa"/>
            <w:noWrap w:val="0"/>
            <w:vAlign w:val="center"/>
          </w:tcPr>
          <w:p w14:paraId="332679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val="en-US" w:eastAsia="zh-CN"/>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时</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none"/>
                <w:lang w:val="en-US" w:eastAsia="zh-CN"/>
              </w:rPr>
              <w:t>秒</w:t>
            </w:r>
          </w:p>
        </w:tc>
      </w:tr>
      <w:tr w14:paraId="29FB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207" w:type="dxa"/>
            <w:gridSpan w:val="2"/>
            <w:vMerge w:val="continue"/>
            <w:noWrap w:val="0"/>
            <w:vAlign w:val="center"/>
          </w:tcPr>
          <w:p w14:paraId="2AB75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778" w:type="dxa"/>
            <w:noWrap w:val="0"/>
            <w:vAlign w:val="center"/>
          </w:tcPr>
          <w:p w14:paraId="457C34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招标文件澄清发布方式</w:t>
            </w:r>
          </w:p>
        </w:tc>
        <w:tc>
          <w:tcPr>
            <w:tcW w:w="4409" w:type="dxa"/>
            <w:noWrap w:val="0"/>
            <w:vAlign w:val="top"/>
          </w:tcPr>
          <w:p w14:paraId="307D73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仿宋_GB2312" w:hAnsi="宋体" w:eastAsia="宋体" w:cs="宋体"/>
                <w:color w:val="auto"/>
                <w:highlight w:val="none"/>
              </w:rPr>
              <w:t>在发布招</w:t>
            </w:r>
            <w:r>
              <w:rPr>
                <w:rFonts w:hint="default" w:ascii="仿宋_GB2312" w:hAnsi="宋体" w:eastAsia="宋体" w:cs="宋体"/>
                <w:color w:val="auto"/>
                <w:highlight w:val="none"/>
              </w:rPr>
              <w:t>标</w:t>
            </w:r>
            <w:r>
              <w:rPr>
                <w:rFonts w:hint="eastAsia" w:ascii="仿宋_GB2312" w:hAnsi="宋体" w:eastAsia="宋体" w:cs="宋体"/>
                <w:color w:val="auto"/>
                <w:highlight w:val="none"/>
              </w:rPr>
              <w:t>公告媒介上发布</w:t>
            </w:r>
          </w:p>
        </w:tc>
      </w:tr>
      <w:tr w14:paraId="015C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noWrap w:val="0"/>
            <w:vAlign w:val="center"/>
          </w:tcPr>
          <w:p w14:paraId="77B217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2.2.3</w:t>
            </w:r>
          </w:p>
        </w:tc>
        <w:tc>
          <w:tcPr>
            <w:tcW w:w="3778" w:type="dxa"/>
            <w:noWrap w:val="0"/>
            <w:vAlign w:val="center"/>
          </w:tcPr>
          <w:p w14:paraId="60D4D1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投标人确认收到澄清的方式</w:t>
            </w:r>
          </w:p>
        </w:tc>
        <w:tc>
          <w:tcPr>
            <w:tcW w:w="4409" w:type="dxa"/>
            <w:noWrap w:val="0"/>
            <w:vAlign w:val="center"/>
          </w:tcPr>
          <w:p w14:paraId="45396E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澄清文件在本章第</w:t>
            </w:r>
            <w:r>
              <w:rPr>
                <w:rFonts w:hint="default" w:ascii="Calibri" w:hAnsi="Calibri" w:eastAsia="宋体" w:cs="Times New Roman"/>
                <w:color w:val="auto"/>
                <w:highlight w:val="none"/>
              </w:rPr>
              <w:t>2.2.2</w:t>
            </w:r>
            <w:r>
              <w:rPr>
                <w:rFonts w:hint="eastAsia" w:ascii="Calibri" w:hAnsi="Calibri" w:eastAsia="宋体" w:cs="宋体"/>
                <w:color w:val="auto"/>
                <w:highlight w:val="none"/>
              </w:rPr>
              <w:t>款规定的网站上发布之日起，视为投标人已收到该澄清。投标人未及时关注招标人在网站上发布的澄清文件造成的损失，由投标人自行负责。</w:t>
            </w:r>
          </w:p>
        </w:tc>
      </w:tr>
      <w:tr w14:paraId="712D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207" w:type="dxa"/>
            <w:gridSpan w:val="2"/>
            <w:noWrap w:val="0"/>
            <w:vAlign w:val="center"/>
          </w:tcPr>
          <w:p w14:paraId="426DB2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3.1.1</w:t>
            </w:r>
          </w:p>
        </w:tc>
        <w:tc>
          <w:tcPr>
            <w:tcW w:w="3778" w:type="dxa"/>
            <w:noWrap w:val="0"/>
            <w:vAlign w:val="center"/>
          </w:tcPr>
          <w:p w14:paraId="4B093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构成投标文件的材料</w:t>
            </w:r>
          </w:p>
          <w:p w14:paraId="5C468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楷体_GB2312" w:hAnsi="Calibri" w:eastAsia="楷体_GB2312" w:cs="Times New Roman"/>
                <w:color w:val="auto"/>
                <w:highlight w:val="none"/>
              </w:rPr>
            </w:pPr>
            <w:r>
              <w:rPr>
                <w:rFonts w:hint="eastAsia" w:ascii="Calibri" w:hAnsi="Calibri" w:eastAsia="楷体_GB2312" w:cs="楷体_GB2312"/>
                <w:color w:val="auto"/>
                <w:highlight w:val="none"/>
              </w:rPr>
              <w:t>【备注：</w:t>
            </w:r>
            <w:r>
              <w:rPr>
                <w:rFonts w:hint="eastAsia" w:ascii="楷体_GB2312" w:hAnsi="Calibri" w:eastAsia="楷体_GB2312" w:cs="楷体_GB2312"/>
                <w:color w:val="auto"/>
                <w:highlight w:val="none"/>
              </w:rPr>
              <w:t>右栏招标人可根据需要进行增减</w:t>
            </w:r>
            <w:r>
              <w:rPr>
                <w:rFonts w:hint="eastAsia" w:ascii="Calibri" w:hAnsi="Calibri" w:eastAsia="楷体_GB2312" w:cs="楷体_GB2312"/>
                <w:color w:val="auto"/>
                <w:highlight w:val="none"/>
              </w:rPr>
              <w:t>】</w:t>
            </w:r>
          </w:p>
        </w:tc>
        <w:tc>
          <w:tcPr>
            <w:tcW w:w="4409" w:type="dxa"/>
            <w:noWrap w:val="0"/>
            <w:vAlign w:val="center"/>
          </w:tcPr>
          <w:p w14:paraId="7B9E3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sz w:val="24"/>
                <w:szCs w:val="24"/>
                <w:highlight w:val="none"/>
              </w:rPr>
            </w:pPr>
            <w:r>
              <w:rPr>
                <w:rFonts w:hint="eastAsia" w:ascii="Calibri" w:hAnsi="Calibri" w:eastAsia="宋体" w:cs="宋体"/>
                <w:color w:val="auto"/>
                <w:highlight w:val="none"/>
              </w:rPr>
              <w:t>投标文件的组成部分：资格审查部分、商务标部分、技术标部分组成</w:t>
            </w:r>
          </w:p>
          <w:p w14:paraId="030FE9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b/>
                <w:bCs/>
                <w:color w:val="auto"/>
                <w:highlight w:val="none"/>
              </w:rPr>
              <w:t>资格审查部分</w:t>
            </w:r>
            <w:r>
              <w:rPr>
                <w:rFonts w:hint="eastAsia" w:ascii="Calibri" w:hAnsi="Calibri" w:eastAsia="宋体" w:cs="宋体"/>
                <w:color w:val="auto"/>
                <w:highlight w:val="none"/>
              </w:rPr>
              <w:t>：</w:t>
            </w:r>
          </w:p>
          <w:p w14:paraId="1E8718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（1）专职投标员身份证</w:t>
            </w:r>
            <w:r>
              <w:rPr>
                <w:rFonts w:hint="eastAsia"/>
                <w:color w:val="auto"/>
                <w:highlight w:val="none"/>
                <w:lang w:val="en-US" w:eastAsia="zh-CN"/>
              </w:rPr>
              <w:t>及</w:t>
            </w:r>
            <w:r>
              <w:rPr>
                <w:rFonts w:hint="eastAsia" w:ascii="Calibri" w:hAnsi="Calibri" w:eastAsia="宋体" w:cs="宋体"/>
                <w:color w:val="auto"/>
                <w:highlight w:val="none"/>
              </w:rPr>
              <w:t>近</w:t>
            </w:r>
            <w:r>
              <w:rPr>
                <w:rFonts w:hint="default" w:ascii="Calibri" w:hAnsi="Calibri" w:eastAsia="宋体" w:cs="Times New Roman"/>
                <w:color w:val="auto"/>
                <w:highlight w:val="none"/>
              </w:rPr>
              <w:t>1</w:t>
            </w:r>
            <w:r>
              <w:rPr>
                <w:rFonts w:hint="eastAsia" w:ascii="Calibri" w:hAnsi="Calibri" w:eastAsia="宋体" w:cs="宋体"/>
                <w:color w:val="auto"/>
                <w:highlight w:val="none"/>
              </w:rPr>
              <w:t>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cs="宋体"/>
                <w:color w:val="auto"/>
                <w:highlight w:val="none"/>
                <w:lang w:eastAsia="zh-CN"/>
              </w:rPr>
              <w:t>。</w:t>
            </w:r>
          </w:p>
          <w:p w14:paraId="17A158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2</w:t>
            </w:r>
            <w:r>
              <w:rPr>
                <w:rFonts w:hint="eastAsia" w:ascii="Calibri" w:hAnsi="Calibri" w:eastAsia="宋体" w:cs="宋体"/>
                <w:color w:val="auto"/>
                <w:highlight w:val="none"/>
              </w:rPr>
              <w:t>）投标人基本情况表（包含联合体各方企业基本情况、营业执照、安全生产许可证、资质证书与录入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有效的信息相符）；</w:t>
            </w:r>
          </w:p>
          <w:p w14:paraId="6E58D6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3</w:t>
            </w:r>
            <w:r>
              <w:rPr>
                <w:rFonts w:hint="eastAsia" w:ascii="Calibri" w:hAnsi="Calibri" w:eastAsia="宋体" w:cs="宋体"/>
                <w:color w:val="auto"/>
                <w:highlight w:val="none"/>
              </w:rPr>
              <w:t>）联合体投标协议书（如有）；</w:t>
            </w:r>
          </w:p>
          <w:p w14:paraId="4CF303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4</w:t>
            </w:r>
            <w:r>
              <w:rPr>
                <w:rFonts w:hint="eastAsia" w:ascii="Calibri" w:hAnsi="Calibri" w:eastAsia="宋体" w:cs="宋体"/>
                <w:color w:val="auto"/>
                <w:highlight w:val="none"/>
              </w:rPr>
              <w:t>）投标保证金的</w:t>
            </w:r>
            <w:r>
              <w:rPr>
                <w:rFonts w:hint="eastAsia" w:ascii="Calibri" w:hAnsi="Calibri" w:eastAsia="宋体" w:cs="宋体"/>
                <w:color w:val="auto"/>
                <w:highlight w:val="none"/>
                <w:lang w:eastAsia="zh-CN"/>
              </w:rPr>
              <w:t>转账</w:t>
            </w:r>
            <w:r>
              <w:rPr>
                <w:rFonts w:hint="eastAsia" w:ascii="Calibri" w:hAnsi="Calibri" w:eastAsia="宋体"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ascii="Calibri" w:hAnsi="Calibri" w:eastAsia="宋体" w:cs="宋体"/>
                <w:color w:val="auto"/>
                <w:highlight w:val="none"/>
              </w:rPr>
              <w:t>；</w:t>
            </w:r>
          </w:p>
          <w:p w14:paraId="4E5B50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5</w:t>
            </w:r>
            <w:r>
              <w:rPr>
                <w:rFonts w:hint="eastAsia" w:ascii="Calibri" w:hAnsi="Calibri" w:eastAsia="宋体" w:cs="宋体"/>
                <w:color w:val="auto"/>
                <w:highlight w:val="none"/>
              </w:rPr>
              <w:t>）建设工程项目管理承诺书；</w:t>
            </w:r>
          </w:p>
          <w:p w14:paraId="1FB39B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6</w:t>
            </w:r>
            <w:r>
              <w:rPr>
                <w:rFonts w:hint="eastAsia" w:ascii="Calibri" w:hAnsi="Calibri" w:eastAsia="宋体" w:cs="宋体"/>
                <w:color w:val="auto"/>
                <w:highlight w:val="none"/>
              </w:rPr>
              <w:t>）项目经理简历表（与录入“桂建云”的项目经理注册建造师执业资格证书和安全生产考核合格证书（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类）的信息相</w:t>
            </w:r>
            <w:r>
              <w:rPr>
                <w:rFonts w:hint="default" w:ascii="Calibri" w:hAnsi="Calibri" w:eastAsia="宋体" w:cs="宋体"/>
                <w:color w:val="auto"/>
                <w:highlight w:val="none"/>
              </w:rPr>
              <w:t>符</w:t>
            </w:r>
            <w:r>
              <w:rPr>
                <w:rFonts w:hint="eastAsia" w:ascii="Calibri" w:hAnsi="Calibri" w:eastAsia="宋体" w:cs="宋体"/>
                <w:color w:val="auto"/>
                <w:highlight w:val="none"/>
              </w:rPr>
              <w:t>）；</w:t>
            </w:r>
          </w:p>
          <w:p w14:paraId="293764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7</w:t>
            </w:r>
            <w:r>
              <w:rPr>
                <w:rFonts w:hint="eastAsia" w:ascii="Calibri" w:hAnsi="Calibri" w:eastAsia="宋体" w:cs="宋体"/>
                <w:color w:val="auto"/>
                <w:highlight w:val="none"/>
              </w:rPr>
              <w:t>）项目技术负责人简历表（与录入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的</w:t>
            </w:r>
            <w:r>
              <w:rPr>
                <w:rFonts w:hint="default" w:ascii="Calibri" w:hAnsi="Calibri" w:eastAsia="宋体" w:cs="宋体"/>
                <w:color w:val="auto"/>
                <w:highlight w:val="none"/>
              </w:rPr>
              <w:t>职称证书的</w:t>
            </w:r>
            <w:r>
              <w:rPr>
                <w:rFonts w:hint="eastAsia" w:ascii="Calibri" w:hAnsi="Calibri" w:eastAsia="宋体" w:cs="宋体"/>
                <w:color w:val="auto"/>
                <w:highlight w:val="none"/>
              </w:rPr>
              <w:t>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200E7E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8</w:t>
            </w:r>
            <w:r>
              <w:rPr>
                <w:rFonts w:hint="eastAsia" w:ascii="Calibri" w:hAnsi="Calibri" w:eastAsia="宋体" w:cs="宋体"/>
                <w:color w:val="auto"/>
                <w:highlight w:val="none"/>
              </w:rPr>
              <w:t>）专职安全生产管理人员的安全生产考核合格证书（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类）与录入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的信息相符</w:t>
            </w:r>
          </w:p>
          <w:p w14:paraId="3DD4A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9</w:t>
            </w:r>
            <w:r>
              <w:rPr>
                <w:rFonts w:hint="eastAsia" w:ascii="Calibri" w:hAnsi="Calibri" w:eastAsia="宋体" w:cs="宋体"/>
                <w:color w:val="auto"/>
                <w:highlight w:val="none"/>
              </w:rPr>
              <w:t>）项目管理机构配备情况表（</w:t>
            </w:r>
            <w:r>
              <w:rPr>
                <w:rFonts w:hint="default" w:ascii="Calibri" w:hAnsi="Calibri" w:eastAsia="宋体" w:cs="宋体"/>
                <w:color w:val="auto"/>
                <w:highlight w:val="none"/>
              </w:rPr>
              <w:t>含</w:t>
            </w:r>
            <w:r>
              <w:rPr>
                <w:rFonts w:hint="eastAsia" w:ascii="Calibri" w:hAnsi="Calibri" w:eastAsia="宋体" w:cs="宋体"/>
                <w:color w:val="auto"/>
                <w:highlight w:val="none"/>
              </w:rPr>
              <w:t>项目经理、技术负责人和主要管理人员情况）</w:t>
            </w:r>
            <w:r>
              <w:rPr>
                <w:rFonts w:hint="default" w:ascii="Calibri" w:hAnsi="Calibri" w:eastAsia="宋体" w:cs="宋体"/>
                <w:color w:val="auto"/>
                <w:highlight w:val="none"/>
              </w:rPr>
              <w:t>，</w:t>
            </w:r>
            <w:r>
              <w:rPr>
                <w:rFonts w:hint="eastAsia" w:ascii="Calibri" w:hAnsi="Calibri" w:eastAsia="宋体" w:cs="宋体"/>
                <w:color w:val="auto"/>
                <w:highlight w:val="none"/>
              </w:rPr>
              <w:t>提供近</w:t>
            </w:r>
            <w:r>
              <w:rPr>
                <w:rFonts w:hint="default" w:ascii="Calibri" w:hAnsi="Calibri" w:eastAsia="宋体" w:cs="Times New Roman"/>
                <w:color w:val="auto"/>
                <w:highlight w:val="none"/>
              </w:rPr>
              <w:t>1</w:t>
            </w:r>
            <w:r>
              <w:rPr>
                <w:rFonts w:hint="eastAsia" w:ascii="Calibri" w:hAnsi="Calibri" w:eastAsia="宋体" w:cs="宋体"/>
                <w:color w:val="auto"/>
                <w:highlight w:val="none"/>
              </w:rPr>
              <w:t>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在现任职单位依法缴纳社会保险证明材料的扫描件</w:t>
            </w:r>
            <w:r>
              <w:rPr>
                <w:rFonts w:hint="eastAsia" w:ascii="宋体" w:hAnsi="宋体" w:eastAsia="宋体" w:cs="宋体"/>
                <w:color w:val="auto"/>
                <w:szCs w:val="21"/>
                <w:highlight w:val="none"/>
              </w:rPr>
              <w:t>（已退休未满65岁的项目经理不用提供社保，但应附退休证明文件的扫描件，且建造师等注册证书注册单位与投标单位一致）</w:t>
            </w:r>
            <w:r>
              <w:rPr>
                <w:rFonts w:hint="eastAsia" w:ascii="Calibri" w:hAnsi="Calibri" w:eastAsia="宋体" w:cs="宋体"/>
                <w:color w:val="auto"/>
                <w:highlight w:val="none"/>
              </w:rPr>
              <w:t>与录入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的信息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3C8FE8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10</w:t>
            </w:r>
            <w:r>
              <w:rPr>
                <w:rFonts w:hint="eastAsia" w:ascii="Calibri" w:hAnsi="Calibri" w:eastAsia="宋体" w:cs="宋体"/>
                <w:color w:val="auto"/>
                <w:highlight w:val="none"/>
              </w:rPr>
              <w:t>）资格审查需要的其他材料：拟投入施工机械设备情况、企业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月至</w:t>
            </w:r>
            <w:r>
              <w:rPr>
                <w:rFonts w:hint="eastAsia" w:ascii="仿宋_GB2312" w:hAnsi="宋体" w:eastAsia="宋体" w:cs="Times New Roman"/>
                <w:color w:val="auto"/>
                <w:highlight w:val="none"/>
              </w:rPr>
              <w:t>投标截止日期止</w:t>
            </w:r>
            <w:r>
              <w:rPr>
                <w:rFonts w:hint="eastAsia" w:ascii="Calibri" w:hAnsi="Calibri" w:eastAsia="宋体" w:cs="宋体"/>
                <w:color w:val="auto"/>
                <w:highlight w:val="none"/>
              </w:rPr>
              <w:t>已完成类似项目（如有）、采用建筑模型（BIM）技术项目业绩（如有）、采用装配式建筑项目业绩（如有）、</w:t>
            </w:r>
            <w:r>
              <w:rPr>
                <w:rFonts w:hint="eastAsia" w:ascii="Calibri" w:hAnsi="Calibri" w:eastAsia="宋体" w:cs="宋体"/>
                <w:color w:val="auto"/>
                <w:highlight w:val="none"/>
              </w:rPr>
              <w:t>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年至</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财务状况（</w:t>
            </w:r>
            <w:r>
              <w:rPr>
                <w:rFonts w:hint="eastAsia" w:ascii="Calibri" w:hAnsi="Calibri" w:cs="宋体"/>
                <w:color w:val="auto"/>
                <w:highlight w:val="none"/>
                <w:lang w:eastAsia="zh-CN"/>
              </w:rPr>
              <w:t>联合体投标的联合体各方均须提供</w:t>
            </w:r>
            <w:r>
              <w:rPr>
                <w:rFonts w:hint="eastAsia" w:ascii="Calibri" w:hAnsi="Calibri" w:eastAsia="宋体" w:cs="宋体"/>
                <w:color w:val="auto"/>
                <w:highlight w:val="none"/>
              </w:rPr>
              <w:t>）、</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w:t>
            </w:r>
            <w:r>
              <w:rPr>
                <w:rFonts w:hint="eastAsia" w:ascii="Calibri" w:hAnsi="Calibri" w:eastAsia="宋体" w:cs="宋体"/>
                <w:color w:val="auto"/>
                <w:highlight w:val="none"/>
                <w:lang w:eastAsia="zh-CN"/>
              </w:rPr>
              <w:t>监狱企业的证明文件扫描件（全部或部分预留份额专门面向中小企业采购的项目须提供</w:t>
            </w:r>
            <w:r>
              <w:rPr>
                <w:rFonts w:hint="eastAsia" w:ascii="Calibri" w:hAnsi="Calibri" w:eastAsia="宋体" w:cs="宋体"/>
                <w:color w:val="auto"/>
                <w:highlight w:val="none"/>
              </w:rPr>
              <w:t>）等</w:t>
            </w:r>
            <w:r>
              <w:rPr>
                <w:rFonts w:hint="eastAsia" w:ascii="Calibri" w:hAnsi="Calibri" w:eastAsia="宋体" w:cs="宋体"/>
                <w:color w:val="auto"/>
                <w:highlight w:val="none"/>
                <w:lang w:val="en-US" w:eastAsia="zh-CN"/>
              </w:rPr>
              <w:t xml:space="preserve"> </w:t>
            </w:r>
            <w:r>
              <w:rPr>
                <w:rFonts w:hint="eastAsia" w:ascii="Calibri" w:hAnsi="Calibri" w:eastAsia="宋体" w:cs="宋体"/>
                <w:color w:val="auto"/>
                <w:highlight w:val="none"/>
              </w:rPr>
              <w:t>。</w:t>
            </w:r>
          </w:p>
          <w:p w14:paraId="33676F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47F4C9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b/>
                <w:color w:val="auto"/>
                <w:highlight w:val="none"/>
              </w:rPr>
              <w:t>商务标部分</w:t>
            </w:r>
            <w:r>
              <w:rPr>
                <w:rFonts w:hint="eastAsia" w:ascii="Calibri" w:hAnsi="Calibri" w:eastAsia="宋体" w:cs="宋体"/>
                <w:color w:val="auto"/>
                <w:highlight w:val="none"/>
              </w:rPr>
              <w:t>：</w:t>
            </w:r>
          </w:p>
          <w:p w14:paraId="52626B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）投标函；</w:t>
            </w:r>
          </w:p>
          <w:p w14:paraId="7DF7C5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）投标函附录；</w:t>
            </w:r>
          </w:p>
          <w:p w14:paraId="479A11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）已标价工程量清单。</w:t>
            </w:r>
          </w:p>
          <w:p w14:paraId="70B3FB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cs="宋体"/>
                <w:color w:val="auto"/>
                <w:highlight w:val="none"/>
                <w:lang w:val="en-US" w:eastAsia="zh-CN"/>
              </w:rPr>
              <w:t>4</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）《中小企业声明函》或者《残疾人福利性单位声明函》或者省级以上监狱管理局、戒毒管理局（含新疆生产建设兵团）出具的属于监狱企业的证明文件扫描件（如有）。</w:t>
            </w:r>
          </w:p>
          <w:p w14:paraId="7AC473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316AEA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技术标部分：</w:t>
            </w:r>
          </w:p>
          <w:p w14:paraId="62787D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）施工组织设计；</w:t>
            </w:r>
          </w:p>
          <w:p w14:paraId="106721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）拟分包计划表；</w:t>
            </w:r>
          </w:p>
          <w:p w14:paraId="11685C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）项目管理机构。</w:t>
            </w:r>
          </w:p>
        </w:tc>
      </w:tr>
      <w:tr w14:paraId="360D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207" w:type="dxa"/>
            <w:gridSpan w:val="2"/>
            <w:vMerge w:val="restart"/>
            <w:noWrap w:val="0"/>
            <w:vAlign w:val="center"/>
          </w:tcPr>
          <w:p w14:paraId="7AC07B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宋体"/>
                <w:color w:val="auto"/>
                <w:highlight w:val="none"/>
              </w:rPr>
              <w:t>3.</w:t>
            </w:r>
            <w:r>
              <w:rPr>
                <w:rFonts w:hint="eastAsia" w:ascii="Calibri" w:hAnsi="Calibri" w:eastAsia="宋体" w:cs="宋体"/>
                <w:color w:val="auto"/>
                <w:highlight w:val="none"/>
              </w:rPr>
              <w:t>1</w:t>
            </w:r>
            <w:r>
              <w:rPr>
                <w:rFonts w:hint="default" w:ascii="Calibri" w:hAnsi="Calibri" w:eastAsia="宋体" w:cs="宋体"/>
                <w:color w:val="auto"/>
                <w:highlight w:val="none"/>
              </w:rPr>
              <w:t>.</w:t>
            </w:r>
            <w:r>
              <w:rPr>
                <w:rFonts w:hint="eastAsia" w:ascii="Calibri" w:hAnsi="Calibri" w:eastAsia="宋体" w:cs="宋体"/>
                <w:color w:val="auto"/>
                <w:highlight w:val="none"/>
              </w:rPr>
              <w:t>4</w:t>
            </w:r>
          </w:p>
        </w:tc>
        <w:tc>
          <w:tcPr>
            <w:tcW w:w="3778" w:type="dxa"/>
            <w:noWrap w:val="0"/>
            <w:vAlign w:val="center"/>
          </w:tcPr>
          <w:p w14:paraId="405BDB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近年财务状况的年份要求</w:t>
            </w:r>
          </w:p>
        </w:tc>
        <w:tc>
          <w:tcPr>
            <w:tcW w:w="4409" w:type="dxa"/>
            <w:noWrap w:val="0"/>
            <w:vAlign w:val="center"/>
          </w:tcPr>
          <w:p w14:paraId="55542E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Times New Roman"/>
                <w:color w:val="auto"/>
                <w:highlight w:val="none"/>
                <w:u w:val="none"/>
                <w:lang w:val="en-US" w:eastAsia="zh-CN"/>
              </w:rPr>
              <w:t>详见</w:t>
            </w:r>
            <w:r>
              <w:rPr>
                <w:rFonts w:hint="eastAsia" w:ascii="Calibri" w:hAnsi="Calibri" w:eastAsia="宋体" w:cs="Times New Roman"/>
                <w:color w:val="auto"/>
                <w:highlight w:val="none"/>
                <w:u w:val="none"/>
                <w:lang w:val="en-US" w:eastAsia="zh-CN"/>
              </w:rPr>
              <w:t>投标人须知前附表1.4.1</w:t>
            </w:r>
          </w:p>
        </w:tc>
      </w:tr>
      <w:tr w14:paraId="3DBD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7" w:type="dxa"/>
            <w:gridSpan w:val="2"/>
            <w:vMerge w:val="continue"/>
            <w:noWrap w:val="0"/>
            <w:vAlign w:val="top"/>
          </w:tcPr>
          <w:p w14:paraId="749A90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778" w:type="dxa"/>
            <w:noWrap w:val="0"/>
            <w:vAlign w:val="center"/>
          </w:tcPr>
          <w:p w14:paraId="2C35B9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近年完成的类似项目的年份要求</w:t>
            </w:r>
          </w:p>
        </w:tc>
        <w:tc>
          <w:tcPr>
            <w:tcW w:w="4409" w:type="dxa"/>
            <w:noWrap w:val="0"/>
            <w:vAlign w:val="center"/>
          </w:tcPr>
          <w:p w14:paraId="49C64C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详见投标人须知前附表1.4.1</w:t>
            </w:r>
          </w:p>
        </w:tc>
      </w:tr>
      <w:tr w14:paraId="0E7C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7" w:type="dxa"/>
            <w:gridSpan w:val="2"/>
            <w:noWrap w:val="0"/>
            <w:vAlign w:val="center"/>
          </w:tcPr>
          <w:p w14:paraId="67E3C7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3.3.1</w:t>
            </w:r>
          </w:p>
        </w:tc>
        <w:tc>
          <w:tcPr>
            <w:tcW w:w="3778" w:type="dxa"/>
            <w:noWrap w:val="0"/>
            <w:vAlign w:val="center"/>
          </w:tcPr>
          <w:p w14:paraId="3F457F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4409" w:type="dxa"/>
            <w:noWrap w:val="0"/>
            <w:vAlign w:val="center"/>
          </w:tcPr>
          <w:p w14:paraId="4B7788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45</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rPr>
              <w:t>60</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rPr>
              <w:t>90</w:t>
            </w:r>
            <w:r>
              <w:rPr>
                <w:rFonts w:hint="eastAsia" w:ascii="Calibri" w:hAnsi="Calibri" w:eastAsia="宋体" w:cs="宋体"/>
                <w:color w:val="auto"/>
                <w:highlight w:val="none"/>
              </w:rPr>
              <w:t>天</w:t>
            </w:r>
          </w:p>
        </w:tc>
      </w:tr>
      <w:tr w14:paraId="5BB1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07" w:type="dxa"/>
            <w:gridSpan w:val="2"/>
            <w:noWrap w:val="0"/>
            <w:vAlign w:val="center"/>
          </w:tcPr>
          <w:p w14:paraId="6ABC8A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3.4.1</w:t>
            </w:r>
          </w:p>
        </w:tc>
        <w:tc>
          <w:tcPr>
            <w:tcW w:w="3778" w:type="dxa"/>
            <w:noWrap w:val="0"/>
            <w:vAlign w:val="center"/>
          </w:tcPr>
          <w:p w14:paraId="5A2BFF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4409" w:type="dxa"/>
            <w:noWrap w:val="0"/>
            <w:vAlign w:val="center"/>
          </w:tcPr>
          <w:p w14:paraId="56369C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□不</w:t>
            </w:r>
            <w:r>
              <w:rPr>
                <w:rFonts w:hint="default" w:ascii="Calibri" w:hAnsi="Calibri" w:eastAsia="宋体" w:cs="Times New Roman"/>
                <w:color w:val="auto"/>
                <w:highlight w:val="none"/>
              </w:rPr>
              <w:t>需要</w:t>
            </w:r>
            <w:r>
              <w:rPr>
                <w:rFonts w:hint="eastAsia" w:ascii="Calibri" w:hAnsi="Calibri" w:eastAsia="宋体" w:cs="Times New Roman"/>
                <w:color w:val="auto"/>
                <w:highlight w:val="none"/>
              </w:rPr>
              <w:t>提交。</w:t>
            </w:r>
          </w:p>
          <w:p w14:paraId="3ED3C9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Calibri" w:hAnsi="宋体" w:eastAsia="宋体" w:cs="Times New Roman"/>
                <w:color w:val="auto"/>
                <w:highlight w:val="none"/>
              </w:rPr>
              <w:t>□需要提交，</w:t>
            </w:r>
            <w:r>
              <w:rPr>
                <w:rFonts w:hint="default" w:ascii="Calibri" w:hAnsi="Calibri" w:eastAsia="宋体" w:cs="Times New Roman"/>
                <w:color w:val="auto"/>
                <w:highlight w:val="none"/>
              </w:rPr>
              <w:t>投标保证金的</w:t>
            </w:r>
            <w:r>
              <w:rPr>
                <w:rFonts w:hint="eastAsia" w:ascii="Calibri" w:hAnsi="Calibri" w:eastAsia="宋体" w:cs="Times New Roman"/>
                <w:color w:val="auto"/>
                <w:highlight w:val="none"/>
              </w:rPr>
              <w:t>提交方式：</w:t>
            </w:r>
            <w:r>
              <w:rPr>
                <w:rFonts w:hint="eastAsia" w:ascii="Calibri" w:hAnsi="宋体" w:eastAsia="宋体" w:cs="宋体"/>
                <w:color w:val="auto"/>
                <w:highlight w:val="none"/>
              </w:rPr>
              <w:t>银行转账、电汇或网上支付、保函（银行保函、电子</w:t>
            </w:r>
            <w:r>
              <w:rPr>
                <w:rFonts w:hint="default" w:ascii="Calibri" w:hAnsi="宋体" w:eastAsia="宋体" w:cs="宋体"/>
                <w:color w:val="auto"/>
                <w:highlight w:val="none"/>
              </w:rPr>
              <w:t>保函</w:t>
            </w:r>
            <w:r>
              <w:rPr>
                <w:rFonts w:hint="eastAsia" w:ascii="Calibri" w:hAnsi="宋体" w:eastAsia="宋体" w:cs="宋体"/>
                <w:color w:val="auto"/>
                <w:highlight w:val="none"/>
              </w:rPr>
              <w:t>、保证保险保函、工程担保保函）</w:t>
            </w:r>
            <w:r>
              <w:rPr>
                <w:rFonts w:hint="eastAsia" w:ascii="Calibri" w:hAnsi="宋体" w:eastAsia="宋体" w:cs="Times New Roman"/>
                <w:color w:val="auto"/>
                <w:highlight w:val="none"/>
              </w:rPr>
              <w:t>等方式提交</w:t>
            </w:r>
            <w:r>
              <w:rPr>
                <w:rFonts w:hint="default" w:ascii="Calibri" w:hAnsi="Calibri" w:eastAsia="宋体" w:cs="Times New Roman"/>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4767646D">
            <w:pPr>
              <w:pStyle w:val="3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color w:val="auto"/>
                <w:sz w:val="21"/>
                <w:szCs w:val="21"/>
                <w:highlight w:val="none"/>
              </w:rPr>
            </w:pPr>
            <w:r>
              <w:rPr>
                <w:color w:val="auto"/>
                <w:sz w:val="21"/>
                <w:szCs w:val="21"/>
                <w:highlight w:val="none"/>
              </w:rPr>
              <w:t>投标保证金的金额：</w:t>
            </w:r>
            <w:r>
              <w:rPr>
                <w:color w:val="auto"/>
                <w:sz w:val="21"/>
                <w:szCs w:val="21"/>
                <w:highlight w:val="none"/>
                <w:u w:val="single"/>
              </w:rPr>
              <w:t xml:space="preserve">       </w:t>
            </w:r>
            <w:r>
              <w:rPr>
                <w:rFonts w:hint="eastAsia"/>
                <w:color w:val="auto"/>
                <w:sz w:val="21"/>
                <w:szCs w:val="21"/>
                <w:highlight w:val="none"/>
              </w:rPr>
              <w:t>。</w:t>
            </w:r>
          </w:p>
          <w:p w14:paraId="2AD217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楷体_GB2312" w:cs="Times New Roman"/>
                <w:color w:val="auto"/>
                <w:highlight w:val="none"/>
              </w:rPr>
              <w:t>【备注：</w:t>
            </w:r>
            <w:r>
              <w:rPr>
                <w:rFonts w:hint="eastAsia" w:ascii="Calibri" w:hAnsi="Calibri" w:eastAsia="楷体_GB2312" w:cs="Times New Roman"/>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hint="default" w:ascii="Calibri" w:hAnsi="Calibri" w:eastAsia="楷体_GB2312" w:cs="Times New Roman"/>
                <w:color w:val="auto"/>
                <w:kern w:val="0"/>
                <w:highlight w:val="none"/>
              </w:rPr>
              <w:t>的</w:t>
            </w:r>
            <w:r>
              <w:rPr>
                <w:rFonts w:hint="eastAsia" w:ascii="Calibri" w:hAnsi="Calibri" w:eastAsia="楷体_GB2312" w:cs="Times New Roman"/>
                <w:color w:val="auto"/>
                <w:kern w:val="0"/>
                <w:highlight w:val="none"/>
                <w:lang w:val="en-US" w:eastAsia="zh-CN"/>
              </w:rPr>
              <w:t>1</w:t>
            </w:r>
            <w:r>
              <w:rPr>
                <w:rFonts w:hint="default" w:ascii="Calibri" w:hAnsi="Calibri" w:eastAsia="楷体_GB2312" w:cs="Times New Roman"/>
                <w:color w:val="auto"/>
                <w:kern w:val="0"/>
                <w:highlight w:val="none"/>
              </w:rPr>
              <w:t>%，且最多不</w:t>
            </w:r>
            <w:r>
              <w:rPr>
                <w:rFonts w:hint="eastAsia" w:ascii="Calibri" w:hAnsi="Calibri" w:eastAsia="楷体_GB2312" w:cs="Times New Roman"/>
                <w:color w:val="auto"/>
                <w:kern w:val="0"/>
                <w:highlight w:val="none"/>
              </w:rPr>
              <w:t>得</w:t>
            </w:r>
            <w:r>
              <w:rPr>
                <w:rFonts w:hint="default" w:ascii="Calibri" w:hAnsi="Calibri" w:eastAsia="楷体_GB2312" w:cs="Times New Roman"/>
                <w:color w:val="auto"/>
                <w:kern w:val="0"/>
                <w:highlight w:val="none"/>
              </w:rPr>
              <w:t>超过</w:t>
            </w:r>
            <w:r>
              <w:rPr>
                <w:rFonts w:hint="eastAsia" w:ascii="Calibri" w:hAnsi="Calibri" w:eastAsia="楷体_GB2312" w:cs="Times New Roman"/>
                <w:color w:val="auto"/>
                <w:kern w:val="0"/>
                <w:highlight w:val="none"/>
                <w:lang w:val="en-US" w:eastAsia="zh-CN"/>
              </w:rPr>
              <w:t>3</w:t>
            </w:r>
            <w:r>
              <w:rPr>
                <w:rFonts w:hint="default" w:ascii="Calibri" w:hAnsi="Calibri" w:eastAsia="楷体_GB2312" w:cs="Times New Roman"/>
                <w:color w:val="auto"/>
                <w:kern w:val="0"/>
                <w:highlight w:val="none"/>
              </w:rPr>
              <w:t>0万元</w:t>
            </w:r>
            <w:r>
              <w:rPr>
                <w:rFonts w:hint="eastAsia" w:ascii="Calibri" w:hAnsi="Calibri" w:eastAsia="楷体_GB2312" w:cs="Times New Roman"/>
                <w:color w:val="auto"/>
                <w:kern w:val="0"/>
                <w:highlight w:val="none"/>
              </w:rPr>
              <w:t>，鼓励招标人减少或免除投标保证金</w:t>
            </w:r>
            <w:r>
              <w:rPr>
                <w:rFonts w:hint="default" w:ascii="Calibri" w:hAnsi="Calibri" w:eastAsia="楷体_GB2312" w:cs="Times New Roman"/>
                <w:color w:val="auto"/>
                <w:highlight w:val="none"/>
              </w:rPr>
              <w:t>】</w:t>
            </w:r>
          </w:p>
          <w:p w14:paraId="5EBAEA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宋体" w:eastAsia="宋体" w:cs="Times New Roman"/>
                <w:color w:val="auto"/>
                <w:highlight w:val="none"/>
              </w:rPr>
            </w:pPr>
            <w:r>
              <w:rPr>
                <w:rFonts w:hint="eastAsia" w:ascii="Calibri" w:hAnsi="Calibri" w:eastAsia="宋体" w:cs="宋体"/>
                <w:color w:val="auto"/>
                <w:highlight w:val="none"/>
              </w:rPr>
              <w:t>提交方式：</w:t>
            </w:r>
          </w:p>
          <w:p w14:paraId="722B69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w:t>
            </w:r>
            <w:r>
              <w:rPr>
                <w:rFonts w:hint="eastAsia" w:ascii="Calibri" w:hAnsi="宋体" w:cs="Times New Roman"/>
                <w:color w:val="auto"/>
                <w:highlight w:val="none"/>
                <w:lang w:eastAsia="zh-CN"/>
              </w:rPr>
              <w:t>1.</w:t>
            </w:r>
            <w:r>
              <w:rPr>
                <w:rFonts w:hint="eastAsia" w:ascii="Calibri" w:hAnsi="宋体" w:eastAsia="宋体" w:cs="Times New Roman"/>
                <w:color w:val="auto"/>
                <w:highlight w:val="none"/>
              </w:rPr>
              <w:t>使</w:t>
            </w:r>
            <w:r>
              <w:rPr>
                <w:rFonts w:hint="eastAsia" w:ascii="Calibri" w:hAnsi="宋体" w:eastAsia="宋体" w:cs="Times New Roman"/>
                <w:color w:val="auto"/>
                <w:highlight w:val="none"/>
                <w:lang w:eastAsia="zh-CN"/>
              </w:rPr>
              <w:t>用银行转账（或电汇、网上支付）时投标保证金</w:t>
            </w:r>
            <w:r>
              <w:rPr>
                <w:rFonts w:hint="eastAsia" w:ascii="Calibri" w:hAnsi="宋体" w:eastAsia="宋体" w:cs="Times New Roman"/>
                <w:color w:val="auto"/>
                <w:highlight w:val="none"/>
              </w:rPr>
              <w:t>必须从投标人的企业基本账户汇到以下指定的投标保证金专用</w:t>
            </w:r>
            <w:r>
              <w:rPr>
                <w:rFonts w:hint="eastAsia" w:ascii="Calibri" w:hAnsi="宋体" w:cs="Times New Roman"/>
                <w:color w:val="auto"/>
                <w:highlight w:val="none"/>
                <w:lang w:eastAsia="zh-CN"/>
              </w:rPr>
              <w:t>账</w:t>
            </w:r>
            <w:r>
              <w:rPr>
                <w:rFonts w:hint="eastAsia" w:ascii="Calibri" w:hAnsi="宋体" w:eastAsia="宋体" w:cs="Times New Roman"/>
                <w:color w:val="auto"/>
                <w:highlight w:val="none"/>
              </w:rPr>
              <w:t>户，否则投标无效。</w:t>
            </w:r>
          </w:p>
          <w:p w14:paraId="615F61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账户名称：</w:t>
            </w:r>
            <w:r>
              <w:rPr>
                <w:rFonts w:hint="eastAsia" w:hAnsi="宋体" w:cs="Times New Roman"/>
                <w:color w:val="auto"/>
                <w:highlight w:val="none"/>
                <w:u w:val="single"/>
                <w:lang w:val="en-US" w:eastAsia="zh-CN"/>
              </w:rPr>
              <w:t xml:space="preserve">                        </w:t>
            </w:r>
          </w:p>
          <w:p w14:paraId="2B9E1C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Times New Roman" w:hAnsi="宋体" w:eastAsia="宋体" w:cs="Times New Roman"/>
                <w:color w:val="auto"/>
                <w:highlight w:val="none"/>
                <w:u w:val="single"/>
                <w:lang w:val="en-US" w:eastAsia="zh-CN"/>
              </w:rPr>
            </w:pPr>
            <w:r>
              <w:rPr>
                <w:rFonts w:hint="eastAsia" w:ascii="Calibri" w:hAnsi="宋体" w:eastAsia="宋体" w:cs="Times New Roman"/>
                <w:color w:val="auto"/>
                <w:highlight w:val="none"/>
              </w:rPr>
              <w:t xml:space="preserve">  </w:t>
            </w:r>
            <w:r>
              <w:rPr>
                <w:rFonts w:hint="eastAsia" w:ascii="Times New Roman" w:hAnsi="宋体" w:eastAsia="宋体" w:cs="Times New Roman"/>
                <w:color w:val="auto"/>
                <w:highlight w:val="none"/>
              </w:rPr>
              <w:t xml:space="preserve">  开户银行：</w:t>
            </w:r>
            <w:r>
              <w:rPr>
                <w:rFonts w:hint="eastAsia" w:hAnsi="宋体" w:cs="Times New Roman"/>
                <w:color w:val="auto"/>
                <w:highlight w:val="none"/>
                <w:u w:val="single"/>
                <w:lang w:val="en-US" w:eastAsia="zh-CN"/>
              </w:rPr>
              <w:t xml:space="preserve">                        </w:t>
            </w:r>
          </w:p>
          <w:p w14:paraId="26484D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Times New Roman" w:hAnsi="宋体" w:eastAsia="宋体" w:cs="Times New Roman"/>
                <w:color w:val="auto"/>
                <w:highlight w:val="none"/>
                <w:u w:val="single"/>
                <w:lang w:val="en-US" w:eastAsia="zh-CN"/>
              </w:rPr>
            </w:pPr>
            <w:r>
              <w:rPr>
                <w:rFonts w:hint="eastAsia" w:ascii="Times New Roman" w:hAnsi="宋体" w:eastAsia="宋体" w:cs="Times New Roman"/>
                <w:color w:val="auto"/>
                <w:highlight w:val="none"/>
              </w:rPr>
              <w:t>银行账号：</w:t>
            </w:r>
            <w:r>
              <w:rPr>
                <w:rFonts w:hint="eastAsia" w:hAnsi="宋体" w:cs="Times New Roman"/>
                <w:color w:val="auto"/>
                <w:highlight w:val="none"/>
                <w:u w:val="single"/>
                <w:lang w:val="en-US" w:eastAsia="zh-CN"/>
              </w:rPr>
              <w:t xml:space="preserve">                        </w:t>
            </w:r>
          </w:p>
          <w:p w14:paraId="7C6530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，工程担保保证人应将出具的纸质保函相关信息录入“广西建筑市场监管云”平台，以实现开标时保函的自动查询及验真通过，否则投标无效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eastAsia" w:ascii="Times New Roman" w:hAnsi="宋体" w:eastAsia="宋体" w:cs="Times New Roman"/>
                <w:color w:val="auto"/>
                <w:highlight w:val="none"/>
                <w:lang w:bidi="ar-SA"/>
              </w:rPr>
              <w:t>。</w:t>
            </w:r>
          </w:p>
          <w:p w14:paraId="7849CC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投标保证金不足额缴纳的，或保函（银行保函、</w:t>
            </w:r>
            <w:r>
              <w:rPr>
                <w:rFonts w:hint="eastAsia" w:ascii="Calibri" w:hAnsi="宋体" w:eastAsia="宋体" w:cs="Times New Roman"/>
                <w:color w:val="auto"/>
                <w:highlight w:val="none"/>
                <w:lang w:eastAsia="zh-CN"/>
              </w:rPr>
              <w:t>电子保函、</w:t>
            </w:r>
            <w:r>
              <w:rPr>
                <w:rFonts w:hint="eastAsia" w:ascii="Calibri" w:hAnsi="宋体" w:eastAsia="宋体" w:cs="Times New Roman"/>
                <w:color w:val="auto"/>
                <w:highlight w:val="none"/>
              </w:rPr>
              <w:t>保证保险保函、工程担保保函）额度不足的，其投标无效。</w:t>
            </w:r>
          </w:p>
          <w:p w14:paraId="10541B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315" w:firstLineChars="150"/>
              <w:textAlignment w:val="auto"/>
              <w:rPr>
                <w:rFonts w:hint="default" w:ascii="宋体" w:hAnsi="宋体" w:eastAsia="宋体" w:cs="Times New Roman"/>
                <w:color w:val="auto"/>
                <w:highlight w:val="none"/>
              </w:rPr>
            </w:pPr>
            <w:r>
              <w:rPr>
                <w:rFonts w:hint="eastAsia" w:ascii="Calibri" w:hAnsi="宋体" w:eastAsia="宋体" w:cs="Times New Roman"/>
                <w:color w:val="auto"/>
                <w:highlight w:val="none"/>
              </w:rPr>
              <w:t xml:space="preserve"> </w:t>
            </w:r>
            <w:r>
              <w:rPr>
                <w:rFonts w:hint="default" w:ascii="宋体" w:hAnsi="宋体" w:eastAsia="宋体" w:cs="Times New Roman"/>
                <w:color w:val="auto"/>
                <w:highlight w:val="none"/>
              </w:rPr>
              <w:t>投标保证金必须以投标人自身的名义提交，不得以分支机构等其他名义提交。</w:t>
            </w:r>
            <w:r>
              <w:rPr>
                <w:rFonts w:hint="eastAsia" w:ascii="宋体" w:hAnsi="宋体" w:eastAsia="宋体" w:cs="Times New Roman"/>
                <w:color w:val="auto"/>
                <w:highlight w:val="none"/>
              </w:rPr>
              <w:t>当投标人为联合体时，可由联合体中的任一方缴纳，并在联合体协议书中明确。</w:t>
            </w:r>
          </w:p>
          <w:p w14:paraId="4DAE0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方正楷体_GB2312" w:hAnsi="方正楷体_GB2312" w:eastAsia="方正楷体_GB2312" w:cs="方正楷体_GB2312"/>
                <w:color w:val="auto"/>
                <w:highlight w:val="none"/>
              </w:rPr>
              <w:t>备注：对投标截止</w:t>
            </w:r>
            <w:r>
              <w:rPr>
                <w:rFonts w:hint="eastAsia" w:ascii="方正楷体_GB2312" w:hAnsi="方正楷体_GB2312" w:eastAsia="方正楷体_GB2312" w:cs="方正楷体_GB2312"/>
                <w:color w:val="auto"/>
                <w:highlight w:val="none"/>
                <w:lang w:eastAsia="zh-CN"/>
              </w:rPr>
              <w:t>日期当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5A94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07" w:type="dxa"/>
            <w:gridSpan w:val="2"/>
            <w:noWrap w:val="0"/>
            <w:vAlign w:val="center"/>
          </w:tcPr>
          <w:p w14:paraId="7F4ADB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3.5</w:t>
            </w:r>
          </w:p>
        </w:tc>
        <w:tc>
          <w:tcPr>
            <w:tcW w:w="3778" w:type="dxa"/>
            <w:noWrap w:val="0"/>
            <w:vAlign w:val="center"/>
          </w:tcPr>
          <w:p w14:paraId="10AFEC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是否允许提交备选投标方案</w:t>
            </w:r>
          </w:p>
        </w:tc>
        <w:tc>
          <w:tcPr>
            <w:tcW w:w="4409" w:type="dxa"/>
            <w:noWrap w:val="0"/>
            <w:vAlign w:val="center"/>
          </w:tcPr>
          <w:p w14:paraId="70F890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不允许</w:t>
            </w:r>
          </w:p>
        </w:tc>
      </w:tr>
      <w:tr w14:paraId="77B6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noWrap w:val="0"/>
            <w:vAlign w:val="center"/>
          </w:tcPr>
          <w:p w14:paraId="798543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3.6.3</w:t>
            </w:r>
          </w:p>
        </w:tc>
        <w:tc>
          <w:tcPr>
            <w:tcW w:w="3778" w:type="dxa"/>
            <w:noWrap w:val="0"/>
            <w:vAlign w:val="center"/>
          </w:tcPr>
          <w:p w14:paraId="190879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盖章要求</w:t>
            </w:r>
          </w:p>
        </w:tc>
        <w:tc>
          <w:tcPr>
            <w:tcW w:w="4409" w:type="dxa"/>
            <w:noWrap w:val="0"/>
            <w:vAlign w:val="center"/>
          </w:tcPr>
          <w:p w14:paraId="5D6E16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电子投标文件由投标人在招标文件规定的投标文件相关位置加盖投标人法人单位电子印章。投标文件未盖投标人法人单位电子印章的，均</w:t>
            </w:r>
            <w:r>
              <w:rPr>
                <w:rFonts w:hint="eastAsia" w:ascii="Calibri" w:hAnsi="Calibri" w:eastAsia="宋体" w:cs="宋体"/>
                <w:color w:val="auto"/>
                <w:highlight w:val="none"/>
              </w:rPr>
              <w:t>作否决投标处理。联合体投标的，除联合体协议书需要双方盖法人单位</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p>
        </w:tc>
      </w:tr>
      <w:tr w14:paraId="0B69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noWrap w:val="0"/>
            <w:vAlign w:val="center"/>
          </w:tcPr>
          <w:p w14:paraId="6E54CD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3.6.4</w:t>
            </w:r>
          </w:p>
        </w:tc>
        <w:tc>
          <w:tcPr>
            <w:tcW w:w="3778" w:type="dxa"/>
            <w:noWrap w:val="0"/>
            <w:vAlign w:val="center"/>
          </w:tcPr>
          <w:p w14:paraId="16158F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投标文件副本份数</w:t>
            </w:r>
          </w:p>
        </w:tc>
        <w:tc>
          <w:tcPr>
            <w:tcW w:w="4409" w:type="dxa"/>
            <w:noWrap w:val="0"/>
            <w:vAlign w:val="center"/>
          </w:tcPr>
          <w:p w14:paraId="4782ED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无</w:t>
            </w:r>
          </w:p>
        </w:tc>
      </w:tr>
      <w:tr w14:paraId="7A54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07" w:type="dxa"/>
            <w:gridSpan w:val="2"/>
            <w:noWrap w:val="0"/>
            <w:vAlign w:val="center"/>
          </w:tcPr>
          <w:p w14:paraId="109AF8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2</w:t>
            </w:r>
          </w:p>
        </w:tc>
        <w:tc>
          <w:tcPr>
            <w:tcW w:w="3778" w:type="dxa"/>
            <w:noWrap w:val="0"/>
            <w:vAlign w:val="center"/>
          </w:tcPr>
          <w:p w14:paraId="12A324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未加密的电子投标文件U盘密封封套上写明</w:t>
            </w:r>
          </w:p>
        </w:tc>
        <w:tc>
          <w:tcPr>
            <w:tcW w:w="4409" w:type="dxa"/>
            <w:noWrap w:val="0"/>
            <w:vAlign w:val="center"/>
          </w:tcPr>
          <w:p w14:paraId="4A7697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不需要</w:t>
            </w:r>
            <w:r>
              <w:rPr>
                <w:rFonts w:hint="default" w:ascii="Calibri" w:hAnsi="Calibri" w:eastAsia="宋体" w:cs="宋体"/>
                <w:color w:val="auto"/>
                <w:highlight w:val="none"/>
              </w:rPr>
              <w:t>提交</w:t>
            </w:r>
          </w:p>
        </w:tc>
      </w:tr>
      <w:tr w14:paraId="299B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760E1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.2</w:t>
            </w:r>
          </w:p>
        </w:tc>
        <w:tc>
          <w:tcPr>
            <w:tcW w:w="3778" w:type="dxa"/>
            <w:noWrap w:val="0"/>
            <w:vAlign w:val="center"/>
          </w:tcPr>
          <w:p w14:paraId="39728E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提交投标文件地点</w:t>
            </w:r>
          </w:p>
        </w:tc>
        <w:tc>
          <w:tcPr>
            <w:tcW w:w="4409" w:type="dxa"/>
            <w:noWrap w:val="0"/>
            <w:vAlign w:val="center"/>
          </w:tcPr>
          <w:p w14:paraId="265879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加密电子投标文件由各投标人在投标时间截止前自行在全国公共资源交易平台（广西壮族自治区）成功上传。</w:t>
            </w:r>
          </w:p>
        </w:tc>
      </w:tr>
      <w:tr w14:paraId="7029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787356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.3</w:t>
            </w:r>
          </w:p>
        </w:tc>
        <w:tc>
          <w:tcPr>
            <w:tcW w:w="3778" w:type="dxa"/>
            <w:noWrap w:val="0"/>
            <w:vAlign w:val="center"/>
          </w:tcPr>
          <w:p w14:paraId="699629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是否退还投标文件</w:t>
            </w:r>
          </w:p>
        </w:tc>
        <w:tc>
          <w:tcPr>
            <w:tcW w:w="4409" w:type="dxa"/>
            <w:noWrap w:val="0"/>
            <w:vAlign w:val="center"/>
          </w:tcPr>
          <w:p w14:paraId="2B7982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否</w:t>
            </w:r>
          </w:p>
        </w:tc>
      </w:tr>
      <w:tr w14:paraId="3B6E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07" w:type="dxa"/>
            <w:gridSpan w:val="2"/>
            <w:noWrap w:val="0"/>
            <w:vAlign w:val="center"/>
          </w:tcPr>
          <w:p w14:paraId="478AD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5.1</w:t>
            </w:r>
          </w:p>
        </w:tc>
        <w:tc>
          <w:tcPr>
            <w:tcW w:w="3778" w:type="dxa"/>
            <w:noWrap w:val="0"/>
            <w:vAlign w:val="center"/>
          </w:tcPr>
          <w:p w14:paraId="26EB50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开标时间和地点</w:t>
            </w:r>
          </w:p>
        </w:tc>
        <w:tc>
          <w:tcPr>
            <w:tcW w:w="4409" w:type="dxa"/>
            <w:noWrap w:val="0"/>
            <w:vAlign w:val="center"/>
          </w:tcPr>
          <w:p w14:paraId="74A50C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开标时间：同投标截止时间</w:t>
            </w:r>
          </w:p>
          <w:p w14:paraId="5B40C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开标地点：</w:t>
            </w:r>
            <w:r>
              <w:rPr>
                <w:rFonts w:hint="eastAsia" w:ascii="Calibri" w:hAnsi="Calibri" w:eastAsia="宋体" w:cs="宋体"/>
                <w:color w:val="auto"/>
                <w:highlight w:val="none"/>
                <w:u w:val="single"/>
              </w:rPr>
              <w:t>当地交易中心</w:t>
            </w:r>
            <w:r>
              <w:rPr>
                <w:rFonts w:hint="eastAsia" w:ascii="Calibri" w:hAnsi="Calibri" w:eastAsia="宋体" w:cs="Times New Roman"/>
                <w:color w:val="auto"/>
                <w:highlight w:val="none"/>
              </w:rPr>
              <w:t>或</w:t>
            </w:r>
            <w:r>
              <w:rPr>
                <w:rFonts w:hint="default" w:ascii="Calibri" w:hAnsi="Calibri" w:eastAsia="宋体" w:cs="Times New Roman"/>
                <w:color w:val="auto"/>
                <w:highlight w:val="none"/>
              </w:rPr>
              <w:t>网上开标室</w:t>
            </w:r>
            <w:r>
              <w:rPr>
                <w:rFonts w:hint="eastAsia" w:ascii="Calibri" w:hAnsi="Calibri" w:eastAsia="宋体" w:cs="Times New Roman"/>
                <w:color w:val="auto"/>
                <w:highlight w:val="none"/>
              </w:rPr>
              <w:t>，企业专职投标员需通过 CA 锁登录广西壮族自治区网上开标子系统（http://202.103.240.162:8072/BidOpening</w:t>
            </w:r>
            <w:r>
              <w:rPr>
                <w:rFonts w:hint="eastAsia" w:ascii="Calibri" w:hAnsi="Calibri" w:cs="Times New Roman"/>
                <w:color w:val="auto"/>
                <w:highlight w:val="none"/>
                <w:lang w:eastAsia="zh-CN"/>
              </w:rPr>
              <w:t>）进入投标文件解密环节后60分钟内</w:t>
            </w:r>
            <w:r>
              <w:rPr>
                <w:rFonts w:hint="eastAsia" w:ascii="Calibri" w:hAnsi="Calibri" w:eastAsia="宋体" w:cs="Times New Roman"/>
                <w:color w:val="auto"/>
                <w:highlight w:val="none"/>
                <w:lang w:val="en-US" w:eastAsia="zh-CN"/>
              </w:rPr>
              <w:t>完成签到、解密、验证</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r>
              <w:rPr>
                <w:rFonts w:hint="eastAsia" w:ascii="Calibri" w:hAnsi="Calibri" w:eastAsia="宋体" w:cs="Times New Roman"/>
                <w:color w:val="auto"/>
                <w:highlight w:val="none"/>
                <w:lang w:eastAsia="zh-CN"/>
              </w:rPr>
              <w:t>）</w:t>
            </w:r>
          </w:p>
        </w:tc>
      </w:tr>
      <w:tr w14:paraId="6A17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7" w:type="dxa"/>
            <w:gridSpan w:val="2"/>
            <w:noWrap w:val="0"/>
            <w:vAlign w:val="center"/>
          </w:tcPr>
          <w:p w14:paraId="6F192D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6.1.1</w:t>
            </w:r>
          </w:p>
        </w:tc>
        <w:tc>
          <w:tcPr>
            <w:tcW w:w="3778" w:type="dxa"/>
            <w:noWrap w:val="0"/>
            <w:vAlign w:val="center"/>
          </w:tcPr>
          <w:p w14:paraId="00DFEF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评标委员会的组建</w:t>
            </w:r>
          </w:p>
        </w:tc>
        <w:tc>
          <w:tcPr>
            <w:tcW w:w="4409" w:type="dxa"/>
            <w:noWrap w:val="0"/>
            <w:vAlign w:val="center"/>
          </w:tcPr>
          <w:p w14:paraId="7AB69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评标委员会构成：</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人，其中招标人代表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r>
              <w:rPr>
                <w:rFonts w:hint="eastAsia" w:ascii="Calibri" w:hAnsi="Calibri" w:eastAsia="楷体_GB2312" w:cs="楷体_GB2312"/>
                <w:color w:val="auto"/>
                <w:highlight w:val="none"/>
              </w:rPr>
              <w:t>【要求详见本表后的备注】</w:t>
            </w:r>
            <w:r>
              <w:rPr>
                <w:rFonts w:hint="eastAsia" w:ascii="Calibri" w:hAnsi="Calibri" w:eastAsia="宋体" w:cs="宋体"/>
                <w:color w:val="auto"/>
                <w:highlight w:val="none"/>
              </w:rPr>
              <w:t>，专家</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p>
          <w:p w14:paraId="125DFA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评标专家分工：</w:t>
            </w:r>
            <w:r>
              <w:rPr>
                <w:rFonts w:hint="eastAsia" w:ascii="Calibri" w:hAnsi="Calibri" w:eastAsia="宋体" w:cs="Times New Roman"/>
                <w:color w:val="auto"/>
                <w:highlight w:val="none"/>
              </w:rPr>
              <w:t>分技术、经济类，其中，招标人代表参加技术类</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人；技术类专家</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人、经济类专家</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w:t>
            </w:r>
            <w:r>
              <w:rPr>
                <w:rFonts w:hint="eastAsia" w:ascii="Calibri" w:hAnsi="Calibri" w:eastAsia="楷体_GB2312" w:cs="楷体_GB2312"/>
                <w:color w:val="auto"/>
                <w:highlight w:val="none"/>
              </w:rPr>
              <w:t>【注</w:t>
            </w:r>
            <w:r>
              <w:rPr>
                <w:rFonts w:hint="default" w:ascii="Calibri" w:hAnsi="Calibri" w:eastAsia="楷体_GB2312" w:cs="楷体_GB2312"/>
                <w:color w:val="auto"/>
                <w:highlight w:val="none"/>
              </w:rPr>
              <w:t>：经济类</w:t>
            </w:r>
            <w:r>
              <w:rPr>
                <w:rFonts w:hint="eastAsia" w:ascii="Calibri" w:hAnsi="Calibri" w:eastAsia="楷体_GB2312" w:cs="楷体_GB2312"/>
                <w:color w:val="auto"/>
                <w:highlight w:val="none"/>
              </w:rPr>
              <w:t>评</w:t>
            </w:r>
            <w:r>
              <w:rPr>
                <w:rFonts w:hint="default" w:ascii="Calibri" w:hAnsi="Calibri" w:eastAsia="楷体_GB2312" w:cs="楷体_GB2312"/>
                <w:color w:val="auto"/>
                <w:highlight w:val="none"/>
              </w:rPr>
              <w:t>委</w:t>
            </w:r>
            <w:r>
              <w:rPr>
                <w:rFonts w:hint="eastAsia" w:ascii="Calibri" w:hAnsi="Calibri" w:eastAsia="楷体_GB2312" w:cs="楷体_GB2312"/>
                <w:color w:val="auto"/>
                <w:highlight w:val="none"/>
              </w:rPr>
              <w:t>人数</w:t>
            </w:r>
            <w:r>
              <w:rPr>
                <w:rFonts w:hint="default" w:ascii="Calibri" w:hAnsi="Calibri" w:eastAsia="楷体_GB2312" w:cs="楷体_GB2312"/>
                <w:color w:val="auto"/>
                <w:highlight w:val="none"/>
              </w:rPr>
              <w:t>不</w:t>
            </w:r>
            <w:r>
              <w:rPr>
                <w:rFonts w:hint="eastAsia" w:ascii="Calibri" w:hAnsi="Calibri" w:eastAsia="楷体_GB2312" w:cs="楷体_GB2312"/>
                <w:color w:val="auto"/>
                <w:highlight w:val="none"/>
              </w:rPr>
              <w:t>应多</w:t>
            </w:r>
            <w:r>
              <w:rPr>
                <w:rFonts w:hint="default" w:ascii="Calibri" w:hAnsi="Calibri" w:eastAsia="楷体_GB2312" w:cs="楷体_GB2312"/>
                <w:color w:val="auto"/>
                <w:highlight w:val="none"/>
              </w:rPr>
              <w:t>于</w:t>
            </w:r>
            <w:r>
              <w:rPr>
                <w:rFonts w:hint="eastAsia" w:ascii="Calibri" w:hAnsi="Calibri" w:eastAsia="楷体_GB2312" w:cs="楷体_GB2312"/>
                <w:color w:val="auto"/>
                <w:highlight w:val="none"/>
              </w:rPr>
              <w:t>2人</w:t>
            </w:r>
            <w:r>
              <w:rPr>
                <w:rFonts w:hint="eastAsia" w:ascii="Calibri" w:hAnsi="Calibri" w:eastAsia="楷体_GB2312" w:cs="楷体_GB2312"/>
                <w:color w:val="auto"/>
                <w:highlight w:val="none"/>
                <w:lang w:eastAsia="zh-CN"/>
              </w:rPr>
              <w:t>】</w:t>
            </w:r>
          </w:p>
          <w:p w14:paraId="456BE0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评标专家确定方式：</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u w:val="single"/>
              </w:rPr>
              <w:t>随机抽取</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5F0BE1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是</w:t>
            </w:r>
            <w:r>
              <w:rPr>
                <w:rFonts w:hint="default" w:ascii="Calibri" w:hAnsi="Calibri" w:eastAsia="宋体" w:cs="宋体"/>
                <w:color w:val="auto"/>
                <w:highlight w:val="none"/>
              </w:rPr>
              <w:t>否远程抽取：</w:t>
            </w:r>
            <w:r>
              <w:rPr>
                <w:rFonts w:hint="eastAsia" w:ascii="Calibri" w:hAnsi="Calibri" w:eastAsia="宋体" w:cs="宋体"/>
                <w:color w:val="auto"/>
                <w:highlight w:val="none"/>
              </w:rPr>
              <w:t>□是</w:t>
            </w:r>
            <w:r>
              <w:rPr>
                <w:rFonts w:hint="eastAsia" w:ascii="Calibri" w:hAnsi="Calibri" w:eastAsia="宋体" w:cs="Times New Roman"/>
                <w:color w:val="auto"/>
                <w:highlight w:val="none"/>
              </w:rPr>
              <w:t xml:space="preserve">   </w:t>
            </w:r>
            <w:r>
              <w:rPr>
                <w:rFonts w:hint="eastAsia" w:ascii="Calibri" w:hAnsi="Calibri" w:eastAsia="宋体" w:cs="宋体"/>
                <w:color w:val="auto"/>
                <w:highlight w:val="none"/>
              </w:rPr>
              <w:t>□否</w:t>
            </w:r>
          </w:p>
        </w:tc>
      </w:tr>
      <w:tr w14:paraId="31FD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5AB86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6.3</w:t>
            </w:r>
          </w:p>
        </w:tc>
        <w:tc>
          <w:tcPr>
            <w:tcW w:w="3778" w:type="dxa"/>
            <w:noWrap w:val="0"/>
            <w:vAlign w:val="center"/>
          </w:tcPr>
          <w:p w14:paraId="598AF7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评标方式</w:t>
            </w:r>
          </w:p>
        </w:tc>
        <w:tc>
          <w:tcPr>
            <w:tcW w:w="4409" w:type="dxa"/>
            <w:noWrap w:val="0"/>
            <w:vAlign w:val="center"/>
          </w:tcPr>
          <w:p w14:paraId="40EF0A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□经评审的合理低价法</w:t>
            </w:r>
          </w:p>
          <w:p w14:paraId="5622AD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□综合评估法</w:t>
            </w:r>
          </w:p>
        </w:tc>
      </w:tr>
      <w:tr w14:paraId="37EF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20B0D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w:t>
            </w:r>
          </w:p>
        </w:tc>
        <w:tc>
          <w:tcPr>
            <w:tcW w:w="3778" w:type="dxa"/>
            <w:noWrap w:val="0"/>
            <w:vAlign w:val="center"/>
          </w:tcPr>
          <w:p w14:paraId="621A89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评标资料封存方式</w:t>
            </w:r>
          </w:p>
        </w:tc>
        <w:tc>
          <w:tcPr>
            <w:tcW w:w="4409" w:type="dxa"/>
            <w:noWrap w:val="0"/>
            <w:vAlign w:val="center"/>
          </w:tcPr>
          <w:p w14:paraId="591D76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在交易中心封存</w:t>
            </w:r>
          </w:p>
        </w:tc>
      </w:tr>
      <w:tr w14:paraId="6C25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0EEC80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6.5.1</w:t>
            </w:r>
          </w:p>
        </w:tc>
        <w:tc>
          <w:tcPr>
            <w:tcW w:w="3778" w:type="dxa"/>
            <w:noWrap w:val="0"/>
            <w:vAlign w:val="center"/>
          </w:tcPr>
          <w:p w14:paraId="45AE50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封存的其它材料</w:t>
            </w:r>
          </w:p>
        </w:tc>
        <w:tc>
          <w:tcPr>
            <w:tcW w:w="4409" w:type="dxa"/>
            <w:noWrap w:val="0"/>
            <w:vAlign w:val="center"/>
          </w:tcPr>
          <w:p w14:paraId="5878F4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r>
      <w:tr w14:paraId="112A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6C1E6F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6.6.1</w:t>
            </w:r>
          </w:p>
        </w:tc>
        <w:tc>
          <w:tcPr>
            <w:tcW w:w="3778" w:type="dxa"/>
            <w:noWrap w:val="0"/>
            <w:vAlign w:val="center"/>
          </w:tcPr>
          <w:p w14:paraId="66FB25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中标候选人公示的媒介</w:t>
            </w:r>
          </w:p>
        </w:tc>
        <w:tc>
          <w:tcPr>
            <w:tcW w:w="4409" w:type="dxa"/>
            <w:noWrap w:val="0"/>
            <w:vAlign w:val="center"/>
          </w:tcPr>
          <w:p w14:paraId="622100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在发布招标公告媒介上公示</w:t>
            </w:r>
          </w:p>
        </w:tc>
      </w:tr>
      <w:tr w14:paraId="37C4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312021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6.7</w:t>
            </w:r>
          </w:p>
        </w:tc>
        <w:tc>
          <w:tcPr>
            <w:tcW w:w="3778" w:type="dxa"/>
            <w:noWrap w:val="0"/>
            <w:vAlign w:val="center"/>
          </w:tcPr>
          <w:p w14:paraId="1BCACC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履约能力审查的标准和方法</w:t>
            </w:r>
          </w:p>
        </w:tc>
        <w:tc>
          <w:tcPr>
            <w:tcW w:w="4409" w:type="dxa"/>
            <w:noWrap w:val="0"/>
            <w:vAlign w:val="center"/>
          </w:tcPr>
          <w:p w14:paraId="097B7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在中标通知书发出前，中标候选人不得有以下情形：</w:t>
            </w:r>
          </w:p>
          <w:p w14:paraId="1742DE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272E7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358395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Calibri" w:hAnsi="Calibri" w:eastAsia="宋体" w:cs="Times New Roman"/>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ascii="Calibri" w:hAnsi="Calibri" w:eastAsia="宋体" w:cs="Times New Roman"/>
                <w:color w:val="auto"/>
                <w:sz w:val="21"/>
                <w:szCs w:val="21"/>
                <w:highlight w:val="none"/>
              </w:rPr>
              <w:t xml:space="preserve"> </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u w:val="none"/>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06DD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07" w:type="dxa"/>
            <w:gridSpan w:val="2"/>
            <w:noWrap w:val="0"/>
            <w:vAlign w:val="center"/>
          </w:tcPr>
          <w:p w14:paraId="4E1EA3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7.1</w:t>
            </w:r>
          </w:p>
        </w:tc>
        <w:tc>
          <w:tcPr>
            <w:tcW w:w="3778" w:type="dxa"/>
            <w:noWrap w:val="0"/>
            <w:vAlign w:val="center"/>
          </w:tcPr>
          <w:p w14:paraId="2F58DA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是否授权评标委员会确定中标人</w:t>
            </w:r>
          </w:p>
        </w:tc>
        <w:tc>
          <w:tcPr>
            <w:tcW w:w="4409" w:type="dxa"/>
            <w:noWrap w:val="0"/>
            <w:vAlign w:val="center"/>
          </w:tcPr>
          <w:p w14:paraId="76A352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w:t>
            </w:r>
          </w:p>
          <w:p w14:paraId="6A88F1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□否，推荐的中标候选人数：</w:t>
            </w:r>
            <w:r>
              <w:rPr>
                <w:rFonts w:hint="default" w:ascii="Calibri" w:hAnsi="Calibri" w:eastAsia="宋体" w:cs="Times New Roman"/>
                <w:color w:val="auto"/>
                <w:highlight w:val="none"/>
                <w:u w:val="single"/>
              </w:rPr>
              <w:t xml:space="preserve">       </w:t>
            </w:r>
          </w:p>
        </w:tc>
      </w:tr>
      <w:tr w14:paraId="5E8F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07" w:type="dxa"/>
            <w:gridSpan w:val="2"/>
            <w:noWrap w:val="0"/>
            <w:vAlign w:val="center"/>
          </w:tcPr>
          <w:p w14:paraId="74874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7.3.1</w:t>
            </w:r>
          </w:p>
        </w:tc>
        <w:tc>
          <w:tcPr>
            <w:tcW w:w="3778" w:type="dxa"/>
            <w:noWrap w:val="0"/>
            <w:vAlign w:val="center"/>
          </w:tcPr>
          <w:p w14:paraId="476F13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履约保证金</w:t>
            </w:r>
          </w:p>
        </w:tc>
        <w:tc>
          <w:tcPr>
            <w:tcW w:w="4409" w:type="dxa"/>
            <w:noWrap w:val="0"/>
            <w:vAlign w:val="center"/>
          </w:tcPr>
          <w:p w14:paraId="311356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b w:val="0"/>
                <w:bCs w:val="0"/>
                <w:color w:val="auto"/>
                <w:highlight w:val="none"/>
              </w:rPr>
            </w:pPr>
            <w:r>
              <w:rPr>
                <w:rFonts w:hint="eastAsia" w:ascii="Calibri" w:hAnsi="Calibri" w:eastAsia="宋体" w:cs="宋体"/>
                <w:color w:val="auto"/>
                <w:highlight w:val="none"/>
              </w:rPr>
              <w:t>□是</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履约保证金的形式：</w:t>
            </w:r>
            <w:r>
              <w:rPr>
                <w:rFonts w:hint="eastAsia" w:ascii="Calibri" w:hAnsi="Calibri" w:eastAsia="宋体" w:cs="宋体"/>
                <w:color w:val="auto"/>
                <w:highlight w:val="none"/>
              </w:rPr>
              <w:t>可以采用现金、银行保函、工程担保、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或保证保险等形式</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val="en-US" w:eastAsia="zh-CN"/>
              </w:rPr>
              <w:t>1.</w:t>
            </w:r>
            <w:r>
              <w:rPr>
                <w:rFonts w:hint="eastAsia" w:ascii="Calibri" w:hAnsi="Calibri" w:eastAsia="楷体_GB2312" w:cs="楷体_GB2312"/>
                <w:color w:val="auto"/>
                <w:highlight w:val="none"/>
              </w:rPr>
              <w:t>严禁要求中标人只能以现金方式提交保证金的行为，严禁现金形式缴纳的额度与其他形式不</w:t>
            </w:r>
            <w:r>
              <w:rPr>
                <w:rFonts w:hint="default" w:ascii="Calibri" w:hAnsi="Calibri" w:eastAsia="楷体_GB2312" w:cs="楷体_GB2312"/>
                <w:color w:val="auto"/>
                <w:highlight w:val="none"/>
              </w:rPr>
              <w:t>一致</w:t>
            </w:r>
            <w:r>
              <w:rPr>
                <w:rFonts w:hint="eastAsia" w:ascii="Calibri" w:hAnsi="Calibri" w:eastAsia="楷体_GB2312" w:cs="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工程担保保证人应将出具的保函相关信息录入“广西建筑市场监管云”平台，以实现保函查询及验真功能；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p>
          <w:p w14:paraId="6F7394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履约保证金：</w:t>
            </w:r>
          </w:p>
          <w:p w14:paraId="3A4A74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楷体_GB2312" w:cs="楷体_GB2312"/>
                <w:color w:val="auto"/>
                <w:highlight w:val="none"/>
              </w:rPr>
              <w:t>金额：</w:t>
            </w:r>
            <w:r>
              <w:rPr>
                <w:rFonts w:hint="default" w:ascii="Calibri" w:hAnsi="Calibri" w:eastAsia="楷体_GB2312" w:cs="楷体_GB2312"/>
                <w:color w:val="auto"/>
                <w:highlight w:val="none"/>
                <w:u w:val="single"/>
              </w:rPr>
              <w:t xml:space="preserve">       </w:t>
            </w:r>
            <w:r>
              <w:rPr>
                <w:rFonts w:hint="eastAsia" w:ascii="Calibri" w:hAnsi="Calibri" w:eastAsia="楷体_GB2312" w:cs="楷体_GB2312"/>
                <w:color w:val="auto"/>
                <w:highlight w:val="none"/>
              </w:rPr>
              <w:t>万</w:t>
            </w:r>
            <w:r>
              <w:rPr>
                <w:rFonts w:hint="default" w:ascii="Calibri" w:hAnsi="Calibri" w:eastAsia="楷体_GB2312" w:cs="楷体_GB2312"/>
                <w:color w:val="auto"/>
                <w:highlight w:val="none"/>
              </w:rPr>
              <w:t>元</w:t>
            </w:r>
          </w:p>
          <w:p w14:paraId="719335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楷体_GB2312" w:cs="Times New Roman"/>
                <w:color w:val="auto"/>
                <w:highlight w:val="none"/>
                <w:lang w:eastAsia="zh-CN"/>
              </w:rPr>
            </w:pPr>
            <w:r>
              <w:rPr>
                <w:rFonts w:hint="eastAsia" w:ascii="Calibri" w:hAnsi="Calibri" w:eastAsia="宋体" w:cs="宋体"/>
                <w:color w:val="auto"/>
                <w:highlight w:val="none"/>
              </w:rPr>
              <w:t>□</w:t>
            </w:r>
            <w:r>
              <w:rPr>
                <w:rFonts w:hint="eastAsia" w:ascii="Calibri" w:hAnsi="Calibri" w:eastAsia="楷体_GB2312" w:cs="楷体_GB2312"/>
                <w:color w:val="auto"/>
                <w:highlight w:val="none"/>
              </w:rPr>
              <w:t>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u w:val="single"/>
              </w:rPr>
              <w:t xml:space="preserve">       </w:t>
            </w:r>
            <w:r>
              <w:rPr>
                <w:rFonts w:hint="default" w:ascii="Calibri" w:hAnsi="Calibri" w:eastAsia="楷体_GB2312" w:cs="Times New Roman"/>
                <w:color w:val="auto"/>
                <w:highlight w:val="none"/>
              </w:rPr>
              <w:t>%</w:t>
            </w:r>
            <w:r>
              <w:rPr>
                <w:rFonts w:hint="eastAsia" w:ascii="Calibri" w:hAnsi="Calibri" w:eastAsia="楷体_GB2312" w:cs="Times New Roman"/>
                <w:color w:val="auto"/>
                <w:highlight w:val="none"/>
                <w:lang w:eastAsia="zh-CN"/>
              </w:rPr>
              <w:t>。</w:t>
            </w:r>
          </w:p>
          <w:p w14:paraId="222F7C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楷体_GB2312" w:cs="Times New Roman"/>
                <w:b/>
                <w:bCs/>
                <w:color w:val="auto"/>
                <w:highlight w:val="none"/>
              </w:rPr>
            </w:pPr>
            <w:r>
              <w:rPr>
                <w:rFonts w:hint="eastAsia" w:ascii="Calibri" w:hAnsi="Calibri" w:eastAsia="楷体_GB2312" w:cs="楷体_GB2312"/>
                <w:color w:val="auto"/>
                <w:highlight w:val="none"/>
              </w:rPr>
              <w:t>【备注：上限为合同价款扣除暂列金额、专业工程暂估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rPr>
              <w:t>10%</w:t>
            </w:r>
            <w:r>
              <w:rPr>
                <w:rFonts w:hint="eastAsia" w:ascii="Calibri" w:hAnsi="Calibri" w:eastAsia="楷体_GB2312" w:cs="楷体_GB2312"/>
                <w:color w:val="auto"/>
                <w:highlight w:val="none"/>
              </w:rPr>
              <w:t>】</w:t>
            </w:r>
          </w:p>
          <w:p w14:paraId="65B40E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投标人在收到中标通知书后，须在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w:t>
            </w:r>
            <w:r>
              <w:rPr>
                <w:rFonts w:hint="eastAsia" w:ascii="Calibri" w:hAnsi="Calibri" w:eastAsia="楷体_GB2312" w:cs="楷体_GB2312"/>
                <w:color w:val="auto"/>
                <w:highlight w:val="none"/>
              </w:rPr>
              <w:t>【备注：此处约定应与合同专用条款第</w:t>
            </w:r>
            <w:r>
              <w:rPr>
                <w:rFonts w:hint="default" w:ascii="Calibri" w:hAnsi="Calibri" w:eastAsia="楷体_GB2312" w:cs="Times New Roman"/>
                <w:color w:val="auto"/>
                <w:highlight w:val="none"/>
              </w:rPr>
              <w:t>3.7</w:t>
            </w:r>
            <w:r>
              <w:rPr>
                <w:rFonts w:hint="eastAsia" w:ascii="Calibri" w:hAnsi="Calibri" w:eastAsia="楷体_GB2312" w:cs="楷体_GB2312"/>
                <w:color w:val="auto"/>
                <w:highlight w:val="none"/>
              </w:rPr>
              <w:t>条一致】</w:t>
            </w:r>
            <w:r>
              <w:rPr>
                <w:rFonts w:hint="eastAsia" w:ascii="Calibri" w:hAnsi="Calibri" w:eastAsia="宋体" w:cs="宋体"/>
                <w:color w:val="auto"/>
                <w:highlight w:val="none"/>
              </w:rPr>
              <w:t>。</w:t>
            </w:r>
          </w:p>
          <w:p w14:paraId="3679B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联合体中标的，其履约保证金由联合体任一方提交。</w:t>
            </w:r>
          </w:p>
          <w:p w14:paraId="5C1395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□否</w:t>
            </w:r>
          </w:p>
        </w:tc>
      </w:tr>
      <w:tr w14:paraId="5445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top"/>
          </w:tcPr>
          <w:p w14:paraId="13B4D7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 </w:t>
            </w:r>
            <w:r>
              <w:rPr>
                <w:rFonts w:hint="eastAsia" w:ascii="Calibri" w:hAnsi="Calibri" w:eastAsia="宋体" w:cs="宋体"/>
                <w:color w:val="auto"/>
                <w:highlight w:val="none"/>
              </w:rPr>
              <w:t>需要补充的其他内容</w:t>
            </w:r>
          </w:p>
        </w:tc>
      </w:tr>
      <w:tr w14:paraId="0B52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4"/>
            <w:noWrap w:val="0"/>
            <w:vAlign w:val="top"/>
          </w:tcPr>
          <w:p w14:paraId="38A67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10.1 </w:t>
            </w:r>
            <w:r>
              <w:rPr>
                <w:rFonts w:hint="eastAsia" w:ascii="Calibri" w:hAnsi="Calibri" w:eastAsia="宋体" w:cs="宋体"/>
                <w:color w:val="auto"/>
                <w:highlight w:val="none"/>
              </w:rPr>
              <w:t>词语定义</w:t>
            </w:r>
          </w:p>
        </w:tc>
      </w:tr>
      <w:tr w14:paraId="7F3D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07" w:type="dxa"/>
            <w:gridSpan w:val="2"/>
            <w:noWrap w:val="0"/>
            <w:vAlign w:val="center"/>
          </w:tcPr>
          <w:p w14:paraId="1D7A86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1</w:t>
            </w:r>
          </w:p>
        </w:tc>
        <w:tc>
          <w:tcPr>
            <w:tcW w:w="3778" w:type="dxa"/>
            <w:noWrap w:val="0"/>
            <w:vAlign w:val="center"/>
          </w:tcPr>
          <w:p w14:paraId="0D7D92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发布媒介</w:t>
            </w:r>
          </w:p>
        </w:tc>
        <w:tc>
          <w:tcPr>
            <w:tcW w:w="4409" w:type="dxa"/>
            <w:noWrap w:val="0"/>
            <w:vAlign w:val="center"/>
          </w:tcPr>
          <w:p w14:paraId="598F7A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Times New Roman" w:hAnsi="Times New Roman" w:eastAsia="宋体" w:cs="Times New Roman"/>
                <w:color w:val="auto"/>
                <w:highlight w:val="none"/>
              </w:rPr>
              <w:t>发布媒介是指招标公告规定的发布招标公告、招标文件澄清</w:t>
            </w:r>
            <w:r>
              <w:rPr>
                <w:rFonts w:hint="eastAsia" w:cs="Times New Roman"/>
                <w:color w:val="auto"/>
                <w:highlight w:val="none"/>
                <w:lang w:val="en-US" w:eastAsia="zh-CN"/>
              </w:rPr>
              <w:t>或修改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中标候选人公示、中标结果公告</w:t>
            </w:r>
            <w:r>
              <w:rPr>
                <w:rFonts w:hint="default" w:ascii="Times New Roman" w:hAnsi="Times New Roman" w:eastAsia="宋体" w:cs="Times New Roman"/>
                <w:color w:val="auto"/>
                <w:highlight w:val="none"/>
              </w:rPr>
              <w:t>等信息的</w:t>
            </w:r>
            <w:r>
              <w:rPr>
                <w:rFonts w:hint="default" w:ascii="Times New Roman" w:hAnsi="Times New Roman" w:eastAsia="宋体" w:cs="Times New Roman"/>
                <w:color w:val="auto"/>
                <w:highlight w:val="none"/>
              </w:rPr>
              <w:t>媒介</w:t>
            </w:r>
            <w:r>
              <w:rPr>
                <w:rFonts w:hint="default" w:ascii="Times New Roman" w:hAnsi="Times New Roman" w:eastAsia="宋体" w:cs="Times New Roman"/>
                <w:color w:val="auto"/>
                <w:highlight w:val="none"/>
              </w:rPr>
              <w:t>。按照招标公告规定还需在其它媒介上公示的，发布内容、发布期限应以法规指定媒介发布的为准。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486F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4"/>
            <w:noWrap w:val="0"/>
            <w:vAlign w:val="top"/>
          </w:tcPr>
          <w:p w14:paraId="6D288C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 xml:space="preserve">10.2 </w:t>
            </w:r>
            <w:r>
              <w:rPr>
                <w:rFonts w:hint="eastAsia" w:ascii="Calibri" w:hAnsi="Calibri" w:eastAsia="宋体" w:cs="宋体"/>
                <w:color w:val="auto"/>
                <w:highlight w:val="none"/>
                <w:lang w:eastAsia="zh-CN"/>
              </w:rPr>
              <w:t>最高投标限价</w:t>
            </w:r>
          </w:p>
        </w:tc>
      </w:tr>
      <w:tr w14:paraId="37B3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07" w:type="dxa"/>
            <w:gridSpan w:val="2"/>
            <w:noWrap w:val="0"/>
            <w:vAlign w:val="center"/>
          </w:tcPr>
          <w:p w14:paraId="0ED585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778" w:type="dxa"/>
            <w:noWrap w:val="0"/>
            <w:vAlign w:val="center"/>
          </w:tcPr>
          <w:p w14:paraId="529EB6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最高投标限价</w:t>
            </w:r>
          </w:p>
        </w:tc>
        <w:tc>
          <w:tcPr>
            <w:tcW w:w="4409" w:type="dxa"/>
            <w:noWrap w:val="0"/>
            <w:vAlign w:val="center"/>
          </w:tcPr>
          <w:p w14:paraId="229E33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□设</w:t>
            </w:r>
            <w:r>
              <w:rPr>
                <w:rFonts w:hint="eastAsia" w:ascii="Calibri" w:hAnsi="Calibri" w:eastAsia="宋体" w:cs="宋体"/>
                <w:color w:val="auto"/>
                <w:highlight w:val="none"/>
                <w:lang w:eastAsia="zh-CN"/>
              </w:rPr>
              <w:t>最高投标限价</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eastAsia="zh-CN"/>
              </w:rPr>
              <w:t>1.</w:t>
            </w:r>
            <w:r>
              <w:rPr>
                <w:rFonts w:hint="eastAsia" w:ascii="Calibri" w:hAnsi="Calibri" w:eastAsia="楷体_GB2312" w:cs="楷体_GB2312"/>
                <w:color w:val="auto"/>
                <w:highlight w:val="none"/>
              </w:rPr>
              <w:t>政府及国有资金投资的工程建设项目招标，招标人必须勾选；</w:t>
            </w:r>
            <w:r>
              <w:rPr>
                <w:rFonts w:hint="eastAsia" w:ascii="Calibri" w:hAnsi="Calibri" w:eastAsia="楷体_GB2312" w:cs="楷体_GB2312"/>
                <w:color w:val="auto"/>
                <w:highlight w:val="none"/>
                <w:lang w:eastAsia="zh-CN"/>
              </w:rPr>
              <w:t>2.</w:t>
            </w:r>
            <w:r>
              <w:rPr>
                <w:rFonts w:hint="eastAsia" w:ascii="Calibri" w:hAnsi="Calibri" w:eastAsia="楷体_GB2312" w:cs="楷体_GB2312"/>
                <w:color w:val="auto"/>
                <w:highlight w:val="none"/>
              </w:rPr>
              <w:t>对建设单位创建优质工程的，鼓励在</w:t>
            </w:r>
            <w:r>
              <w:rPr>
                <w:rFonts w:hint="eastAsia" w:ascii="Calibri" w:hAnsi="Calibri" w:eastAsia="楷体_GB2312" w:cs="楷体_GB2312"/>
                <w:color w:val="auto"/>
                <w:highlight w:val="none"/>
                <w:lang w:eastAsia="zh-CN"/>
              </w:rPr>
              <w:t>最高投标限价</w:t>
            </w:r>
            <w:r>
              <w:rPr>
                <w:rFonts w:hint="eastAsia" w:ascii="Calibri" w:hAnsi="Calibri" w:eastAsia="楷体_GB2312" w:cs="楷体_GB2312"/>
                <w:color w:val="auto"/>
                <w:highlight w:val="none"/>
              </w:rPr>
              <w:t>和预算中按我区工程建设定额规定计列工程优质费，工程优质费为不可竞争】</w:t>
            </w:r>
          </w:p>
          <w:p w14:paraId="0710BA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□不设</w:t>
            </w:r>
            <w:r>
              <w:rPr>
                <w:rFonts w:hint="eastAsia" w:ascii="Calibri" w:hAnsi="Calibri" w:eastAsia="宋体" w:cs="宋体"/>
                <w:color w:val="auto"/>
                <w:highlight w:val="none"/>
                <w:lang w:eastAsia="zh-CN"/>
              </w:rPr>
              <w:t>最高投标限价</w:t>
            </w:r>
          </w:p>
        </w:tc>
      </w:tr>
      <w:tr w14:paraId="7AB0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4"/>
            <w:noWrap w:val="0"/>
            <w:vAlign w:val="center"/>
          </w:tcPr>
          <w:p w14:paraId="2B7837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10.3</w:t>
            </w:r>
            <w:r>
              <w:rPr>
                <w:rFonts w:hint="eastAsia" w:ascii="Calibri" w:hAnsi="Calibri" w:eastAsia="宋体" w:cs="Times New Roman"/>
                <w:color w:val="auto"/>
                <w:highlight w:val="none"/>
              </w:rPr>
              <w:t>技术</w:t>
            </w:r>
            <w:r>
              <w:rPr>
                <w:rFonts w:hint="default" w:ascii="Calibri" w:hAnsi="Calibri" w:eastAsia="宋体" w:cs="Times New Roman"/>
                <w:color w:val="auto"/>
                <w:highlight w:val="none"/>
              </w:rPr>
              <w:t>标</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r>
      <w:tr w14:paraId="5BBE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07" w:type="dxa"/>
            <w:gridSpan w:val="2"/>
            <w:noWrap w:val="0"/>
            <w:vAlign w:val="center"/>
          </w:tcPr>
          <w:p w14:paraId="42B781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778" w:type="dxa"/>
            <w:noWrap w:val="0"/>
            <w:vAlign w:val="center"/>
          </w:tcPr>
          <w:p w14:paraId="7D7E4A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施工</w:t>
            </w:r>
            <w:r>
              <w:rPr>
                <w:rFonts w:hint="default" w:ascii="Calibri" w:hAnsi="Calibri" w:eastAsia="宋体" w:cs="宋体"/>
                <w:color w:val="auto"/>
                <w:highlight w:val="none"/>
              </w:rPr>
              <w:t>组织设计采用“暗标”</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r>
              <w:rPr>
                <w:rFonts w:hint="eastAsia" w:ascii="Calibri" w:hAnsi="Calibri" w:eastAsia="宋体" w:cs="宋体"/>
                <w:color w:val="auto"/>
                <w:highlight w:val="none"/>
              </w:rPr>
              <w:t xml:space="preserve"> </w:t>
            </w:r>
          </w:p>
          <w:p w14:paraId="03AABB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拟分包计划表、项目管理机构</w:t>
            </w:r>
            <w:r>
              <w:rPr>
                <w:rFonts w:hint="default" w:ascii="Calibri" w:hAnsi="Calibri" w:eastAsia="宋体" w:cs="宋体"/>
                <w:color w:val="auto"/>
                <w:highlight w:val="none"/>
              </w:rPr>
              <w:t>采用“</w:t>
            </w:r>
            <w:r>
              <w:rPr>
                <w:rFonts w:hint="eastAsia" w:ascii="Calibri" w:hAnsi="Calibri" w:eastAsia="宋体" w:cs="宋体"/>
                <w:color w:val="auto"/>
                <w:highlight w:val="none"/>
              </w:rPr>
              <w:t>明</w:t>
            </w:r>
            <w:r>
              <w:rPr>
                <w:rFonts w:hint="default" w:ascii="Calibri" w:hAnsi="Calibri" w:eastAsia="宋体" w:cs="宋体"/>
                <w:color w:val="auto"/>
                <w:highlight w:val="none"/>
              </w:rPr>
              <w:t>标”</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c>
          <w:tcPr>
            <w:tcW w:w="4409" w:type="dxa"/>
            <w:noWrap w:val="0"/>
            <w:vAlign w:val="center"/>
          </w:tcPr>
          <w:p w14:paraId="2953D5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投标人应严格按照第</w:t>
            </w:r>
            <w:r>
              <w:rPr>
                <w:rFonts w:hint="eastAsia" w:ascii="Calibri" w:hAnsi="Calibri" w:eastAsia="宋体" w:cs="Times New Roman"/>
                <w:color w:val="auto"/>
                <w:highlight w:val="none"/>
              </w:rPr>
              <w:t>九</w:t>
            </w:r>
            <w:r>
              <w:rPr>
                <w:rFonts w:hint="default" w:ascii="Calibri" w:hAnsi="Calibri" w:eastAsia="宋体" w:cs="Times New Roman"/>
                <w:color w:val="auto"/>
                <w:highlight w:val="none"/>
              </w:rPr>
              <w:t>章“投标文件格式”中“施工组织设计（暗标）编制要求”编制施工组织设计。</w:t>
            </w:r>
          </w:p>
        </w:tc>
      </w:tr>
      <w:tr w14:paraId="6FAB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4"/>
            <w:noWrap w:val="0"/>
            <w:vAlign w:val="top"/>
          </w:tcPr>
          <w:p w14:paraId="5E7C61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10.4 </w:t>
            </w:r>
            <w:r>
              <w:rPr>
                <w:rFonts w:hint="eastAsia" w:ascii="Calibri" w:hAnsi="Calibri" w:eastAsia="宋体" w:cs="宋体"/>
                <w:color w:val="auto"/>
                <w:highlight w:val="none"/>
              </w:rPr>
              <w:t>电子投标文件</w:t>
            </w:r>
          </w:p>
        </w:tc>
      </w:tr>
      <w:tr w14:paraId="6293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207" w:type="dxa"/>
            <w:gridSpan w:val="2"/>
            <w:noWrap w:val="0"/>
            <w:vAlign w:val="center"/>
          </w:tcPr>
          <w:p w14:paraId="13DCDA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p>
        </w:tc>
        <w:tc>
          <w:tcPr>
            <w:tcW w:w="3778" w:type="dxa"/>
            <w:noWrap w:val="0"/>
            <w:vAlign w:val="center"/>
          </w:tcPr>
          <w:p w14:paraId="176EF4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投标人提交电子投标文件的要求</w:t>
            </w:r>
          </w:p>
        </w:tc>
        <w:tc>
          <w:tcPr>
            <w:tcW w:w="4409" w:type="dxa"/>
            <w:noWrap w:val="0"/>
            <w:vAlign w:val="center"/>
          </w:tcPr>
          <w:p w14:paraId="39641E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lang w:bidi="ar-SA"/>
              </w:rPr>
            </w:pPr>
            <w:r>
              <w:rPr>
                <w:rFonts w:hint="default" w:ascii="Times New Roman" w:hAnsi="Times New Roman" w:eastAsia="宋体" w:cs="Times New Roman"/>
                <w:color w:val="auto"/>
                <w:highlight w:val="none"/>
                <w:lang w:bidi="ar-SA"/>
              </w:rPr>
              <w:t>电子投标文件格式：</w:t>
            </w:r>
          </w:p>
          <w:p w14:paraId="355CEB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u w:val="none"/>
                <w:lang w:bidi="ar-SA"/>
              </w:rPr>
            </w:pPr>
            <w:r>
              <w:rPr>
                <w:rFonts w:hint="default" w:ascii="Times New Roman" w:hAnsi="Times New Roman" w:eastAsia="宋体" w:cs="Times New Roman"/>
                <w:color w:val="auto"/>
                <w:highlight w:val="none"/>
                <w:lang w:bidi="ar-SA"/>
              </w:rPr>
              <w:t xml:space="preserve">    </w:t>
            </w:r>
            <w:r>
              <w:rPr>
                <w:rFonts w:hint="default" w:ascii="Times New Roman" w:hAnsi="Times New Roman" w:eastAsia="宋体" w:cs="Times New Roman"/>
                <w:color w:val="auto"/>
                <w:highlight w:val="none"/>
                <w:u w:val="none"/>
                <w:lang w:bidi="ar-SA"/>
              </w:rPr>
              <w:t xml:space="preserve">加密格式（*.GXTF） </w:t>
            </w:r>
          </w:p>
          <w:p w14:paraId="79A1E9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cs="Times New Roman"/>
                <w:color w:val="auto"/>
                <w:highlight w:val="none"/>
              </w:rPr>
            </w:pPr>
            <w:r>
              <w:rPr>
                <w:rFonts w:hint="default"/>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default"/>
                <w:color w:val="auto"/>
                <w:highlight w:val="none"/>
              </w:rPr>
              <w:t>使用专职投标员个人</w:t>
            </w:r>
            <w:r>
              <w:rPr>
                <w:rFonts w:hint="default"/>
                <w:color w:val="auto"/>
                <w:highlight w:val="none"/>
                <w:lang w:eastAsia="zh-CN"/>
              </w:rPr>
              <w:t>数字证书（CA）</w:t>
            </w:r>
            <w:r>
              <w:rPr>
                <w:rFonts w:hint="default"/>
                <w:color w:val="auto"/>
                <w:highlight w:val="none"/>
              </w:rPr>
              <w:t>签到，使用加密投标文件的</w:t>
            </w:r>
            <w:r>
              <w:rPr>
                <w:rFonts w:hint="default"/>
                <w:color w:val="auto"/>
                <w:highlight w:val="none"/>
                <w:lang w:eastAsia="zh-CN"/>
              </w:rPr>
              <w:t>数字证书（CA）</w:t>
            </w:r>
            <w:r>
              <w:rPr>
                <w:rFonts w:hint="default"/>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default"/>
                <w:color w:val="auto"/>
                <w:highlight w:val="none"/>
                <w:lang w:eastAsia="zh-CN"/>
              </w:rPr>
              <w:t>）</w:t>
            </w:r>
          </w:p>
          <w:p w14:paraId="5CC18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Times New Roman" w:hAnsi="Times New Roman" w:eastAsia="宋体" w:cs="宋体"/>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tc>
      </w:tr>
      <w:tr w14:paraId="7499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94" w:type="dxa"/>
            <w:gridSpan w:val="4"/>
            <w:noWrap w:val="0"/>
            <w:vAlign w:val="top"/>
          </w:tcPr>
          <w:p w14:paraId="2F8224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10.5 知识产权</w:t>
            </w:r>
          </w:p>
        </w:tc>
      </w:tr>
      <w:tr w14:paraId="5403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07" w:type="dxa"/>
            <w:gridSpan w:val="2"/>
            <w:noWrap w:val="0"/>
            <w:vAlign w:val="top"/>
          </w:tcPr>
          <w:p w14:paraId="27DCB7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87" w:type="dxa"/>
            <w:gridSpan w:val="2"/>
            <w:noWrap w:val="0"/>
            <w:vAlign w:val="top"/>
          </w:tcPr>
          <w:p w14:paraId="785C2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2F10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4"/>
            <w:noWrap w:val="0"/>
            <w:vAlign w:val="top"/>
          </w:tcPr>
          <w:p w14:paraId="7D62F8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10.6 </w:t>
            </w:r>
            <w:r>
              <w:rPr>
                <w:rFonts w:hint="eastAsia" w:ascii="Calibri" w:hAnsi="Calibri" w:eastAsia="宋体" w:cs="宋体"/>
                <w:color w:val="auto"/>
                <w:highlight w:val="none"/>
              </w:rPr>
              <w:t>重新招标的其他情形</w:t>
            </w:r>
          </w:p>
        </w:tc>
      </w:tr>
      <w:tr w14:paraId="6173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07" w:type="dxa"/>
            <w:gridSpan w:val="2"/>
            <w:noWrap w:val="0"/>
            <w:vAlign w:val="top"/>
          </w:tcPr>
          <w:p w14:paraId="328E4F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87" w:type="dxa"/>
            <w:gridSpan w:val="2"/>
            <w:noWrap w:val="0"/>
            <w:vAlign w:val="top"/>
          </w:tcPr>
          <w:p w14:paraId="45AB83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除投标人须知正文第</w:t>
            </w:r>
            <w:r>
              <w:rPr>
                <w:rFonts w:hint="default" w:ascii="Calibri" w:hAnsi="Calibri" w:eastAsia="宋体" w:cs="Times New Roman"/>
                <w:color w:val="auto"/>
                <w:highlight w:val="none"/>
              </w:rPr>
              <w:t>8</w:t>
            </w:r>
            <w:r>
              <w:rPr>
                <w:rFonts w:hint="eastAsia" w:ascii="Calibri" w:hAnsi="Calibri" w:eastAsia="宋体" w:cs="宋体"/>
                <w:color w:val="auto"/>
                <w:highlight w:val="none"/>
              </w:rPr>
              <w:t>条规定的情形外，除非已经产生中标候选人，在投标有效期内同意延长投标有效期的投标人少于三个的，招标人在分析招标失败的原因并采取相应措施后，应当依法重新招标。</w:t>
            </w:r>
          </w:p>
        </w:tc>
      </w:tr>
      <w:tr w14:paraId="35F3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4"/>
            <w:noWrap w:val="0"/>
            <w:vAlign w:val="center"/>
          </w:tcPr>
          <w:p w14:paraId="2652A8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10.7 </w:t>
            </w:r>
            <w:r>
              <w:rPr>
                <w:rFonts w:hint="eastAsia" w:ascii="Calibri" w:hAnsi="Calibri" w:eastAsia="宋体" w:cs="宋体"/>
                <w:color w:val="auto"/>
                <w:highlight w:val="none"/>
              </w:rPr>
              <w:t>同义词语</w:t>
            </w:r>
          </w:p>
        </w:tc>
      </w:tr>
      <w:tr w14:paraId="2736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196" w:type="dxa"/>
            <w:noWrap w:val="0"/>
            <w:vAlign w:val="center"/>
          </w:tcPr>
          <w:p w14:paraId="6EDC0A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64CF3C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构成招标文件组成部分的</w:t>
            </w:r>
            <w:r>
              <w:rPr>
                <w:rFonts w:hint="default" w:ascii="Calibri" w:hAnsi="Calibri" w:eastAsia="宋体" w:cs="Times New Roman"/>
                <w:color w:val="auto"/>
                <w:highlight w:val="none"/>
              </w:rPr>
              <w:t>“</w:t>
            </w:r>
            <w:r>
              <w:rPr>
                <w:rFonts w:hint="eastAsia" w:ascii="Calibri" w:hAnsi="Calibri" w:eastAsia="宋体" w:cs="宋体"/>
                <w:color w:val="auto"/>
                <w:highlight w:val="none"/>
              </w:rPr>
              <w:t>通用合同条款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专用合同条款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技术标准和要求</w:t>
            </w:r>
            <w:r>
              <w:rPr>
                <w:rFonts w:hint="default" w:ascii="Calibri" w:hAnsi="Calibri" w:eastAsia="宋体" w:cs="Times New Roman"/>
                <w:color w:val="auto"/>
                <w:highlight w:val="none"/>
              </w:rPr>
              <w:t>”</w:t>
            </w:r>
            <w:r>
              <w:rPr>
                <w:rFonts w:hint="eastAsia" w:ascii="Calibri" w:hAnsi="Calibri" w:eastAsia="宋体" w:cs="宋体"/>
                <w:color w:val="auto"/>
                <w:highlight w:val="none"/>
              </w:rPr>
              <w:t>和</w:t>
            </w:r>
            <w:r>
              <w:rPr>
                <w:rFonts w:hint="default" w:ascii="Calibri" w:hAnsi="Calibri" w:eastAsia="宋体" w:cs="Times New Roman"/>
                <w:color w:val="auto"/>
                <w:highlight w:val="none"/>
              </w:rPr>
              <w:t>“</w:t>
            </w:r>
            <w:r>
              <w:rPr>
                <w:rFonts w:hint="eastAsia" w:ascii="Calibri" w:hAnsi="Calibri" w:eastAsia="宋体" w:cs="宋体"/>
                <w:color w:val="auto"/>
                <w:highlight w:val="none"/>
              </w:rPr>
              <w:t>工程量清单</w:t>
            </w:r>
            <w:r>
              <w:rPr>
                <w:rFonts w:hint="default" w:ascii="Calibri" w:hAnsi="Calibri" w:eastAsia="宋体" w:cs="Times New Roman"/>
                <w:color w:val="auto"/>
                <w:highlight w:val="none"/>
              </w:rPr>
              <w:t>”</w:t>
            </w:r>
            <w:r>
              <w:rPr>
                <w:rFonts w:hint="eastAsia" w:ascii="Calibri" w:hAnsi="Calibri" w:eastAsia="宋体" w:cs="宋体"/>
                <w:color w:val="auto"/>
                <w:highlight w:val="none"/>
              </w:rPr>
              <w:t>等章节中出现的措辞</w:t>
            </w:r>
            <w:r>
              <w:rPr>
                <w:rFonts w:hint="default" w:ascii="Calibri" w:hAnsi="Calibri" w:eastAsia="宋体" w:cs="Times New Roman"/>
                <w:color w:val="auto"/>
                <w:highlight w:val="none"/>
              </w:rPr>
              <w:t>“</w:t>
            </w:r>
            <w:r>
              <w:rPr>
                <w:rFonts w:hint="eastAsia" w:ascii="Calibri" w:hAnsi="Calibri" w:eastAsia="宋体" w:cs="宋体"/>
                <w:color w:val="auto"/>
                <w:highlight w:val="none"/>
              </w:rPr>
              <w:t>发包人</w:t>
            </w:r>
            <w:r>
              <w:rPr>
                <w:rFonts w:hint="default" w:ascii="Calibri" w:hAnsi="Calibri" w:eastAsia="宋体" w:cs="Times New Roman"/>
                <w:color w:val="auto"/>
                <w:highlight w:val="none"/>
              </w:rPr>
              <w:t>”</w:t>
            </w:r>
            <w:r>
              <w:rPr>
                <w:rFonts w:hint="eastAsia" w:ascii="Calibri" w:hAnsi="Calibri" w:eastAsia="宋体" w:cs="宋体"/>
                <w:color w:val="auto"/>
                <w:highlight w:val="none"/>
              </w:rPr>
              <w:t>和</w:t>
            </w:r>
            <w:r>
              <w:rPr>
                <w:rFonts w:hint="default" w:ascii="Calibri" w:hAnsi="Calibri" w:eastAsia="宋体" w:cs="Times New Roman"/>
                <w:color w:val="auto"/>
                <w:highlight w:val="none"/>
              </w:rPr>
              <w:t>“</w:t>
            </w:r>
            <w:r>
              <w:rPr>
                <w:rFonts w:hint="eastAsia" w:ascii="Calibri" w:hAnsi="Calibri" w:eastAsia="宋体" w:cs="宋体"/>
                <w:color w:val="auto"/>
                <w:highlight w:val="none"/>
              </w:rPr>
              <w:t>承包人</w:t>
            </w:r>
            <w:r>
              <w:rPr>
                <w:rFonts w:hint="default" w:ascii="Calibri" w:hAnsi="Calibri" w:eastAsia="宋体" w:cs="Times New Roman"/>
                <w:color w:val="auto"/>
                <w:highlight w:val="none"/>
              </w:rPr>
              <w:t>”</w:t>
            </w:r>
            <w:r>
              <w:rPr>
                <w:rFonts w:hint="eastAsia" w:ascii="Calibri" w:hAnsi="Calibri" w:eastAsia="宋体" w:cs="宋体"/>
                <w:color w:val="auto"/>
                <w:highlight w:val="none"/>
              </w:rPr>
              <w:t>，在招标投标阶段应当分别按</w:t>
            </w:r>
            <w:r>
              <w:rPr>
                <w:rFonts w:hint="default" w:ascii="Calibri" w:hAnsi="Calibri" w:eastAsia="宋体" w:cs="Times New Roman"/>
                <w:color w:val="auto"/>
                <w:highlight w:val="none"/>
              </w:rPr>
              <w:t>“</w:t>
            </w:r>
            <w:r>
              <w:rPr>
                <w:rFonts w:hint="eastAsia" w:ascii="Calibri" w:hAnsi="Calibri" w:eastAsia="宋体" w:cs="宋体"/>
                <w:color w:val="auto"/>
                <w:highlight w:val="none"/>
              </w:rPr>
              <w:t>招标人</w:t>
            </w:r>
            <w:r>
              <w:rPr>
                <w:rFonts w:hint="default" w:ascii="Calibri" w:hAnsi="Calibri" w:eastAsia="宋体" w:cs="Times New Roman"/>
                <w:color w:val="auto"/>
                <w:highlight w:val="none"/>
              </w:rPr>
              <w:t>”</w:t>
            </w:r>
            <w:r>
              <w:rPr>
                <w:rFonts w:hint="eastAsia" w:ascii="Calibri" w:hAnsi="Calibri" w:eastAsia="宋体" w:cs="宋体"/>
                <w:color w:val="auto"/>
                <w:highlight w:val="none"/>
              </w:rPr>
              <w:t>和</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w:t>
            </w:r>
            <w:r>
              <w:rPr>
                <w:rFonts w:hint="default" w:ascii="Calibri" w:hAnsi="Calibri" w:eastAsia="宋体" w:cs="Times New Roman"/>
                <w:color w:val="auto"/>
                <w:highlight w:val="none"/>
              </w:rPr>
              <w:t>”</w:t>
            </w:r>
            <w:r>
              <w:rPr>
                <w:rFonts w:hint="eastAsia" w:ascii="Calibri" w:hAnsi="Calibri" w:eastAsia="宋体" w:cs="宋体"/>
                <w:color w:val="auto"/>
                <w:highlight w:val="none"/>
              </w:rPr>
              <w:t>进行理解。</w:t>
            </w:r>
          </w:p>
        </w:tc>
      </w:tr>
      <w:tr w14:paraId="7783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4"/>
            <w:noWrap w:val="0"/>
            <w:vAlign w:val="center"/>
          </w:tcPr>
          <w:p w14:paraId="5E55A1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10.8 </w:t>
            </w:r>
            <w:r>
              <w:rPr>
                <w:rFonts w:hint="eastAsia" w:ascii="Calibri" w:hAnsi="Calibri" w:eastAsia="宋体" w:cs="宋体"/>
                <w:color w:val="auto"/>
                <w:highlight w:val="none"/>
              </w:rPr>
              <w:t>监督</w:t>
            </w:r>
          </w:p>
        </w:tc>
      </w:tr>
      <w:tr w14:paraId="585A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3D0046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783944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本项目的招标投标活动及其相关当事人应当接受有管辖权的建设工程招标投标行政监督部门依法实施的监督，如项目属于公共资源范围，应同时接受本级公共资源交易监督机构的监管。</w:t>
            </w:r>
          </w:p>
        </w:tc>
      </w:tr>
      <w:tr w14:paraId="464C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center"/>
          </w:tcPr>
          <w:p w14:paraId="58252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10.9承包人应履行的其他义务</w:t>
            </w:r>
          </w:p>
        </w:tc>
      </w:tr>
      <w:tr w14:paraId="4DCD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3E9760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5E8033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 xml:space="preserve"> “按照《中华人民共和国工会法</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国务院关于进一步做好为农民工服务工作的意见》（国发〔2014〕40号）、《中华全国总工会关于深入贯彻落实</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w:t>
            </w:r>
            <w:r>
              <w:rPr>
                <w:rFonts w:hint="eastAsia" w:ascii="Calibri" w:hAnsi="Calibri" w:cs="宋体"/>
                <w:color w:val="auto"/>
                <w:highlight w:val="none"/>
                <w:lang w:eastAsia="zh-CN"/>
              </w:rPr>
              <w:t>〉</w:t>
            </w:r>
            <w:r>
              <w:rPr>
                <w:rFonts w:hint="default" w:ascii="Calibri" w:hAnsi="Calibri" w:eastAsia="宋体" w:cs="宋体"/>
                <w:color w:val="auto"/>
                <w:highlight w:val="none"/>
              </w:rPr>
              <w:t>的实施意见》（总工发〔2015〕14号）有关要求，建筑工程要成立项目工会或项目联合工会，深入开展‘农民工入会集中行动</w:t>
            </w:r>
            <w:r>
              <w:rPr>
                <w:rFonts w:hint="eastAsia" w:ascii="Calibri" w:hAnsi="Calibri" w:eastAsia="宋体" w:cs="宋体"/>
                <w:color w:val="auto"/>
                <w:highlight w:val="none"/>
              </w:rPr>
              <w:t>’”。</w:t>
            </w:r>
          </w:p>
        </w:tc>
      </w:tr>
      <w:tr w14:paraId="550E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center"/>
          </w:tcPr>
          <w:p w14:paraId="37528A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eastAsia" w:ascii="Calibri" w:hAnsi="Calibri"/>
                <w:color w:val="auto"/>
                <w:highlight w:val="none"/>
              </w:rPr>
              <w:t>10.1</w:t>
            </w:r>
            <w:r>
              <w:rPr>
                <w:rFonts w:hint="default" w:ascii="Calibri" w:hAnsi="Calibri"/>
                <w:color w:val="auto"/>
                <w:highlight w:val="none"/>
              </w:rPr>
              <w:t>0</w:t>
            </w:r>
            <w:r>
              <w:rPr>
                <w:rFonts w:hint="eastAsia" w:ascii="宋体" w:hAnsi="宋体"/>
                <w:color w:val="auto"/>
                <w:highlight w:val="none"/>
              </w:rPr>
              <w:t>农民工工资保证金</w:t>
            </w:r>
          </w:p>
        </w:tc>
      </w:tr>
      <w:tr w14:paraId="7D74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4971E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olor w:val="auto"/>
                <w:highlight w:val="none"/>
              </w:rPr>
            </w:pPr>
          </w:p>
        </w:tc>
        <w:tc>
          <w:tcPr>
            <w:tcW w:w="8198" w:type="dxa"/>
            <w:gridSpan w:val="3"/>
            <w:noWrap w:val="0"/>
            <w:vAlign w:val="center"/>
          </w:tcPr>
          <w:p w14:paraId="31C88B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default" w:ascii="Times New Roman" w:hAnsi="Times New Roman" w:eastAsia="宋体" w:cs="Times New Roman"/>
                <w:color w:val="auto"/>
                <w:highlight w:val="none"/>
              </w:rPr>
              <w:t>按广西壮族自治区人力资源和社会保障厅等8部门《关于印发广西壮族自治区工程建设领域农民工工资专用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户管理暂行办法实施细则的通知》（桂人社规</w:t>
            </w:r>
            <w:r>
              <w:rPr>
                <w:rFonts w:hint="eastAsia" w:cs="Times New Roman"/>
                <w:color w:val="auto"/>
                <w:highlight w:val="none"/>
                <w:lang w:eastAsia="zh-CN"/>
              </w:rPr>
              <w:t>〔2022〕5号</w:t>
            </w:r>
            <w:r>
              <w:rPr>
                <w:rFonts w:hint="default" w:ascii="Times New Roman" w:hAnsi="Times New Roman" w:eastAsia="宋体" w:cs="Times New Roman"/>
                <w:color w:val="auto"/>
                <w:highlight w:val="none"/>
              </w:rPr>
              <w:t>）执行，承包人在合</w:t>
            </w:r>
            <w:r>
              <w:rPr>
                <w:rFonts w:hint="eastAsia" w:ascii="Times New Roman" w:hAnsi="Times New Roman" w:eastAsia="宋体" w:cs="Times New Roman"/>
                <w:color w:val="auto"/>
                <w:highlight w:val="none"/>
                <w:lang w:val="en-US" w:eastAsia="zh-CN"/>
              </w:rPr>
              <w:t>同</w:t>
            </w:r>
            <w:r>
              <w:rPr>
                <w:rFonts w:hint="default" w:ascii="Times New Roman" w:hAnsi="Times New Roman" w:eastAsia="宋体" w:cs="Times New Roman"/>
                <w:color w:val="auto"/>
                <w:highlight w:val="none"/>
              </w:rPr>
              <w:t>签订之日起30日内，自主选择在自治区行政区域内依法设立或设有分支机构的银行开立专用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w:t>
            </w:r>
            <w:r>
              <w:rPr>
                <w:rFonts w:hint="eastAsia" w:cs="Times New Roman"/>
                <w:color w:val="auto"/>
                <w:highlight w:val="none"/>
                <w:lang w:eastAsia="zh-CN"/>
              </w:rPr>
              <w:t>办理</w:t>
            </w:r>
            <w:r>
              <w:rPr>
                <w:rFonts w:hint="default" w:ascii="Times New Roman" w:hAnsi="Times New Roman" w:eastAsia="宋体" w:cs="Times New Roman"/>
                <w:color w:val="auto"/>
                <w:highlight w:val="none"/>
              </w:rPr>
              <w:t>施工许可证后，按照《关于印发广西壮族自治区工程建设领域农民工工资保证金规定实施办法的通知》</w:t>
            </w:r>
            <w:r>
              <w:rPr>
                <w:rFonts w:hint="eastAsia" w:cs="Times New Roman"/>
                <w:color w:val="auto"/>
                <w:highlight w:val="none"/>
                <w:lang w:eastAsia="zh-CN"/>
              </w:rPr>
              <w:t>（</w:t>
            </w:r>
            <w:r>
              <w:rPr>
                <w:rFonts w:hint="default" w:ascii="Times New Roman" w:hAnsi="Times New Roman" w:eastAsia="宋体" w:cs="Times New Roman"/>
                <w:color w:val="auto"/>
                <w:highlight w:val="none"/>
              </w:rPr>
              <w:t>桂人社规</w:t>
            </w:r>
            <w:r>
              <w:rPr>
                <w:rFonts w:hint="eastAsia" w:cs="Times New Roman"/>
                <w:color w:val="auto"/>
                <w:highlight w:val="none"/>
                <w:lang w:eastAsia="zh-CN"/>
              </w:rPr>
              <w:t>〔2021〕16号</w:t>
            </w:r>
            <w:r>
              <w:rPr>
                <w:rFonts w:hint="default" w:ascii="Times New Roman" w:hAnsi="Times New Roman" w:eastAsia="宋体" w:cs="Times New Roman"/>
                <w:color w:val="auto"/>
                <w:highlight w:val="none"/>
              </w:rPr>
              <w:t>）缴存保证金，也可以使用银行保函</w:t>
            </w:r>
            <w:r>
              <w:rPr>
                <w:rFonts w:hint="default" w:ascii="Times New Roman" w:hAnsi="Times New Roman" w:eastAsia="宋体" w:cs="Times New Roman"/>
                <w:b/>
                <w:bCs/>
                <w:color w:val="auto"/>
                <w:highlight w:val="none"/>
              </w:rPr>
              <w:t>、工程担保公司保函或工程保证保险</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工程竣工验收结算经审定后，按照规定程序，将农民工工资保证金没有使用或剩余的金额退还给承包人。</w:t>
            </w:r>
          </w:p>
        </w:tc>
      </w:tr>
      <w:tr w14:paraId="17B0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center"/>
          </w:tcPr>
          <w:p w14:paraId="0B26EB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1</w:t>
            </w:r>
            <w:r>
              <w:rPr>
                <w:rFonts w:hint="eastAsia" w:ascii="Calibri" w:hAnsi="Calibri" w:eastAsia="宋体" w:cs="宋体"/>
                <w:color w:val="auto"/>
                <w:highlight w:val="none"/>
              </w:rPr>
              <w:t>中小企业</w:t>
            </w:r>
          </w:p>
        </w:tc>
      </w:tr>
      <w:tr w14:paraId="2282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05E83D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2C7CD6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Times New Roman" w:hAnsi="Times New Roman" w:eastAsia="宋体" w:cs="宋体"/>
                <w:color w:val="auto"/>
                <w:highlight w:val="none"/>
              </w:rPr>
            </w:pPr>
            <w:r>
              <w:rPr>
                <w:rFonts w:hint="eastAsia" w:cs="宋体"/>
                <w:color w:val="auto"/>
                <w:highlight w:val="none"/>
              </w:rPr>
              <w:t xml:space="preserve">1. </w:t>
            </w:r>
            <w:r>
              <w:rPr>
                <w:rFonts w:hint="eastAsia" w:ascii="Times New Roman" w:hAnsi="Times New Roman" w:eastAsia="宋体" w:cs="宋体"/>
                <w:color w:val="auto"/>
                <w:highlight w:val="none"/>
              </w:rPr>
              <w:t>根据《政府采购促进中小企业发展管理办法》（财库〔2020〕46号）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宋体"/>
                <w:i w:val="0"/>
                <w:caps w:val="0"/>
                <w:color w:val="auto"/>
                <w:spacing w:val="0"/>
                <w:kern w:val="2"/>
                <w:sz w:val="21"/>
                <w:szCs w:val="21"/>
                <w:highlight w:val="none"/>
                <w:shd w:val="clear" w:color="auto" w:fill="auto"/>
                <w:lang w:val="en-US" w:eastAsia="zh-CN" w:bidi="ar"/>
              </w:rPr>
              <w:t>等</w:t>
            </w:r>
            <w:r>
              <w:rPr>
                <w:rFonts w:hint="eastAsia" w:ascii="Times New Roman" w:hAnsi="Times New Roman" w:eastAsia="宋体" w:cs="宋体"/>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9D730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2.</w:t>
            </w:r>
            <w:r>
              <w:rPr>
                <w:rFonts w:hint="eastAsia" w:ascii="Calibri" w:hAnsi="Calibri" w:eastAsia="宋体" w:cs="宋体"/>
                <w:color w:val="auto"/>
                <w:highlight w:val="none"/>
              </w:rPr>
              <w:t xml:space="preserve">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2DA435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 xml:space="preserve">3. </w:t>
            </w:r>
            <w:r>
              <w:rPr>
                <w:rFonts w:hint="eastAsia" w:ascii="Calibri" w:hAnsi="Calibri" w:eastAsia="宋体" w:cs="宋体"/>
                <w:color w:val="auto"/>
                <w:highlight w:val="none"/>
              </w:rPr>
              <w:t>本项目所属行业为</w:t>
            </w:r>
            <w:r>
              <w:rPr>
                <w:rFonts w:hint="eastAsia" w:ascii="Calibri" w:hAnsi="Calibri" w:eastAsia="宋体" w:cs="宋体"/>
                <w:color w:val="auto"/>
                <w:highlight w:val="none"/>
                <w:u w:val="none"/>
              </w:rPr>
              <w:t>建筑业</w:t>
            </w:r>
            <w:r>
              <w:rPr>
                <w:rFonts w:hint="eastAsia" w:ascii="Calibri" w:hAnsi="Calibri" w:eastAsia="宋体" w:cs="宋体"/>
                <w:color w:val="auto"/>
                <w:highlight w:val="none"/>
              </w:rPr>
              <w:t>。</w:t>
            </w:r>
          </w:p>
          <w:p w14:paraId="2C8D7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C4A4B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4.</w:t>
            </w:r>
            <w:r>
              <w:rPr>
                <w:rFonts w:hint="eastAsia" w:ascii="Calibri" w:hAnsi="Calibri" w:eastAsia="宋体" w:cs="宋体"/>
                <w:color w:val="auto"/>
                <w:highlight w:val="none"/>
              </w:rPr>
              <w:t>投标人判断是否为中小企业可以使用工业和信息化部中小企业局开发的“中小企业规模类型自测小程序”。</w:t>
            </w:r>
          </w:p>
          <w:p w14:paraId="0FA9E0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5.投标</w:t>
            </w:r>
            <w:r>
              <w:rPr>
                <w:rFonts w:hint="eastAsia" w:ascii="Calibri" w:hAnsi="Calibri" w:eastAsia="宋体" w:cs="宋体"/>
                <w:color w:val="auto"/>
                <w:highlight w:val="none"/>
              </w:rPr>
              <w:t>人确定自身属于上述定义的中小企业时，应按第九章“投标文件格式“提供相应的《中小企业声明函》，否则评标时不予认定。任何单位和个人不得要求投标人提供《中小企业声明函》之外的中小企业身份证明文件。</w:t>
            </w:r>
          </w:p>
        </w:tc>
      </w:tr>
      <w:tr w14:paraId="068A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center"/>
          </w:tcPr>
          <w:p w14:paraId="5208EF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2</w:t>
            </w:r>
            <w:r>
              <w:rPr>
                <w:rFonts w:hint="eastAsia" w:ascii="Calibri" w:hAnsi="Calibri" w:eastAsia="宋体" w:cs="Times New Roman"/>
                <w:color w:val="auto"/>
                <w:highlight w:val="none"/>
              </w:rPr>
              <w:t>监狱企业</w:t>
            </w:r>
          </w:p>
        </w:tc>
      </w:tr>
      <w:tr w14:paraId="4CE1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095565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3491DC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15437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1970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4"/>
            <w:noWrap w:val="0"/>
            <w:vAlign w:val="center"/>
          </w:tcPr>
          <w:p w14:paraId="651ACC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3</w:t>
            </w:r>
            <w:r>
              <w:rPr>
                <w:rFonts w:hint="eastAsia" w:ascii="Calibri" w:hAnsi="Calibri" w:eastAsia="宋体" w:cs="宋体"/>
                <w:color w:val="auto"/>
                <w:highlight w:val="none"/>
              </w:rPr>
              <w:t>残疾人福利性单位</w:t>
            </w:r>
          </w:p>
        </w:tc>
      </w:tr>
      <w:tr w14:paraId="57C3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96" w:type="dxa"/>
            <w:noWrap w:val="0"/>
            <w:vAlign w:val="center"/>
          </w:tcPr>
          <w:p w14:paraId="4BF223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32E97C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w:t>
            </w:r>
            <w:r>
              <w:rPr>
                <w:rFonts w:hint="eastAsia" w:ascii="Calibri" w:hAnsi="Calibri" w:eastAsia="宋体" w:cs="宋体"/>
                <w:color w:val="auto"/>
                <w:highlight w:val="none"/>
              </w:rPr>
              <w:t>. 根据《关于促进残疾人就业政府采购政策的通知》（财库〔2017〕141号）的规定，享受政府采购支持政策的残疾人福利性单位应当同时满足以下条件：</w:t>
            </w:r>
          </w:p>
          <w:p w14:paraId="7A4609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（1）安置的残疾人占本单位在职职工人数的比例不低于25%（含25%），并且安置的残疾人人数不少于10人（含10人）；</w:t>
            </w:r>
          </w:p>
          <w:p w14:paraId="7EFCB9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（2）依法与安置的每位残疾人签订了一年以上（含一年）的劳动合同或服务协议；</w:t>
            </w:r>
          </w:p>
          <w:p w14:paraId="5547DD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（3）为安置的每位残疾人按月足额缴纳了基本养老保险、基本医疗保险、失业保险、工伤保险和生育保险等社会保险费；</w:t>
            </w:r>
          </w:p>
          <w:p w14:paraId="33923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（4）通过银行等金融机构向安置的每位残疾人，按月支付了不低于单位所在区县适用的经省级人民政府批准的月最低工资标准的工资；</w:t>
            </w:r>
          </w:p>
          <w:p w14:paraId="0A6436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（5）提供本单位制造的货物、承担的工程或者服务（以下简称产品），或者提供其他残疾人福利性单位制造的货物（不包括使用非残疾人福利性单位注册商标的货物）。</w:t>
            </w:r>
          </w:p>
          <w:p w14:paraId="51A956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DDC5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w:t>
            </w:r>
            <w:r>
              <w:rPr>
                <w:rFonts w:hint="eastAsia" w:ascii="Calibri" w:hAnsi="Calibri" w:eastAsia="宋体" w:cs="宋体"/>
                <w:color w:val="auto"/>
                <w:highlight w:val="none"/>
              </w:rPr>
              <w:t>.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71AF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4"/>
            <w:noWrap w:val="0"/>
            <w:vAlign w:val="center"/>
          </w:tcPr>
          <w:p w14:paraId="6B0789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r>
              <w:rPr>
                <w:rFonts w:hint="default" w:ascii="Calibri" w:hAnsi="Calibri" w:eastAsia="宋体" w:cs="Times New Roman"/>
                <w:color w:val="auto"/>
                <w:highlight w:val="none"/>
                <w:lang w:val="en-US"/>
              </w:rPr>
              <w:t>14</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解释权</w:t>
            </w:r>
          </w:p>
        </w:tc>
      </w:tr>
      <w:tr w14:paraId="548A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196" w:type="dxa"/>
            <w:noWrap w:val="0"/>
            <w:vAlign w:val="center"/>
          </w:tcPr>
          <w:p w14:paraId="297F8C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98" w:type="dxa"/>
            <w:gridSpan w:val="3"/>
            <w:noWrap w:val="0"/>
            <w:vAlign w:val="center"/>
          </w:tcPr>
          <w:p w14:paraId="382511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合同条款及格式、工程量清单、图纸、危险性较大的分部分项工程清单（如有）、技术标准和要求、</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043B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94" w:type="dxa"/>
            <w:gridSpan w:val="4"/>
            <w:noWrap w:val="0"/>
            <w:vAlign w:val="center"/>
          </w:tcPr>
          <w:p w14:paraId="4C119C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招标人补充的其他内容</w:t>
            </w:r>
          </w:p>
        </w:tc>
      </w:tr>
      <w:tr w14:paraId="173C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1207" w:type="dxa"/>
            <w:gridSpan w:val="2"/>
            <w:noWrap w:val="0"/>
            <w:vAlign w:val="center"/>
          </w:tcPr>
          <w:p w14:paraId="3EBC56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.1</w:t>
            </w:r>
          </w:p>
        </w:tc>
        <w:tc>
          <w:tcPr>
            <w:tcW w:w="3778" w:type="dxa"/>
            <w:noWrap w:val="0"/>
            <w:vAlign w:val="center"/>
          </w:tcPr>
          <w:p w14:paraId="57D18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招标代理服务费的计算与收取</w:t>
            </w:r>
          </w:p>
        </w:tc>
        <w:tc>
          <w:tcPr>
            <w:tcW w:w="4409" w:type="dxa"/>
            <w:noWrap w:val="0"/>
            <w:vAlign w:val="center"/>
          </w:tcPr>
          <w:p w14:paraId="1BA0DD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□招标人支付。</w:t>
            </w:r>
          </w:p>
          <w:p w14:paraId="515E56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□中标人支付。具体为：根据招标人与代理人签订的《建设工程招标代理合同》，本项目委托招标代理服务费按</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计取，由中标人在领取中标通知书时，一次性向招标代理机构支付。</w:t>
            </w:r>
          </w:p>
        </w:tc>
      </w:tr>
      <w:tr w14:paraId="5529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7" w:type="dxa"/>
            <w:gridSpan w:val="2"/>
            <w:noWrap w:val="0"/>
            <w:vAlign w:val="center"/>
          </w:tcPr>
          <w:p w14:paraId="006A4C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.2</w:t>
            </w:r>
          </w:p>
        </w:tc>
        <w:tc>
          <w:tcPr>
            <w:tcW w:w="8187" w:type="dxa"/>
            <w:gridSpan w:val="2"/>
            <w:noWrap w:val="0"/>
            <w:vAlign w:val="center"/>
          </w:tcPr>
          <w:p w14:paraId="17D90A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勘察单位：</w:t>
            </w:r>
          </w:p>
          <w:p w14:paraId="1AD096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设计单位：</w:t>
            </w:r>
          </w:p>
        </w:tc>
      </w:tr>
    </w:tbl>
    <w:p w14:paraId="009F122E">
      <w:pPr>
        <w:spacing w:line="360" w:lineRule="auto"/>
        <w:rPr>
          <w:rFonts w:eastAsia="楷体_GB2312" w:cs="楷体_GB2312"/>
          <w:color w:val="auto"/>
          <w:highlight w:val="none"/>
        </w:rPr>
      </w:pPr>
    </w:p>
    <w:p w14:paraId="37FB7263">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楷体_GB2312"/>
          <w:color w:val="auto"/>
          <w:highlight w:val="none"/>
        </w:rPr>
      </w:pPr>
      <w:r>
        <w:rPr>
          <w:rFonts w:hint="eastAsia" w:eastAsia="楷体_GB2312" w:cs="楷体_GB2312"/>
          <w:color w:val="auto"/>
          <w:highlight w:val="none"/>
        </w:rPr>
        <w:t>备注：</w:t>
      </w:r>
    </w:p>
    <w:p w14:paraId="021BACC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1. “</w:t>
      </w:r>
      <w:r>
        <w:rPr>
          <w:rFonts w:hint="eastAsia" w:eastAsia="楷体_GB2312" w:cs="楷体_GB2312"/>
          <w:color w:val="auto"/>
          <w:highlight w:val="none"/>
        </w:rPr>
        <w:t>投标人须知前附表</w:t>
      </w:r>
      <w:r>
        <w:rPr>
          <w:rFonts w:eastAsia="楷体_GB2312"/>
          <w:color w:val="auto"/>
          <w:highlight w:val="none"/>
        </w:rPr>
        <w:t>”</w:t>
      </w:r>
      <w:r>
        <w:rPr>
          <w:rFonts w:hint="eastAsia" w:eastAsia="楷体_GB2312" w:cs="楷体_GB2312"/>
          <w:color w:val="auto"/>
          <w:highlight w:val="none"/>
        </w:rPr>
        <w:t>中的条款名称、编列内容，招标人可根据项目实际需要进行适当的增减。</w:t>
      </w:r>
    </w:p>
    <w:p w14:paraId="7408CAD3">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 xml:space="preserve">2. </w:t>
      </w:r>
      <w:r>
        <w:rPr>
          <w:rFonts w:hint="eastAsia" w:eastAsia="楷体_GB2312" w:cs="楷体_GB2312"/>
          <w:color w:val="auto"/>
          <w:highlight w:val="none"/>
        </w:rPr>
        <w:t>招标人如需要对</w:t>
      </w:r>
      <w:r>
        <w:rPr>
          <w:rFonts w:eastAsia="楷体_GB2312"/>
          <w:color w:val="auto"/>
          <w:highlight w:val="none"/>
        </w:rPr>
        <w:t>“</w:t>
      </w:r>
      <w:r>
        <w:rPr>
          <w:rFonts w:hint="eastAsia" w:eastAsia="楷体_GB2312" w:cs="楷体_GB2312"/>
          <w:color w:val="auto"/>
          <w:highlight w:val="none"/>
        </w:rPr>
        <w:t>投标人须知</w:t>
      </w:r>
      <w:r>
        <w:rPr>
          <w:rFonts w:eastAsia="楷体_GB2312"/>
          <w:color w:val="auto"/>
          <w:highlight w:val="none"/>
        </w:rPr>
        <w:t>”</w:t>
      </w:r>
      <w:r>
        <w:rPr>
          <w:rFonts w:hint="eastAsia" w:eastAsia="楷体_GB2312" w:cs="楷体_GB2312"/>
          <w:color w:val="auto"/>
          <w:highlight w:val="none"/>
        </w:rPr>
        <w:t>正文条款进行细化调整的，应在</w:t>
      </w:r>
      <w:r>
        <w:rPr>
          <w:rFonts w:eastAsia="楷体_GB2312"/>
          <w:color w:val="auto"/>
          <w:highlight w:val="none"/>
        </w:rPr>
        <w:t>“</w:t>
      </w:r>
      <w:r>
        <w:rPr>
          <w:rFonts w:hint="eastAsia" w:eastAsia="楷体_GB2312" w:cs="楷体_GB2312"/>
          <w:color w:val="auto"/>
          <w:highlight w:val="none"/>
        </w:rPr>
        <w:t>投标人须知前附表</w:t>
      </w:r>
      <w:r>
        <w:rPr>
          <w:rFonts w:eastAsia="楷体_GB2312"/>
          <w:color w:val="auto"/>
          <w:highlight w:val="none"/>
        </w:rPr>
        <w:t>”</w:t>
      </w:r>
      <w:r>
        <w:rPr>
          <w:rFonts w:hint="eastAsia" w:eastAsia="楷体_GB2312" w:cs="楷体_GB2312"/>
          <w:color w:val="auto"/>
          <w:highlight w:val="none"/>
        </w:rPr>
        <w:t>中进行。</w:t>
      </w:r>
    </w:p>
    <w:p w14:paraId="7D1C7280">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u w:val="single"/>
        </w:rPr>
      </w:pPr>
      <w:r>
        <w:rPr>
          <w:rFonts w:eastAsia="楷体_GB2312"/>
          <w:color w:val="auto"/>
          <w:highlight w:val="none"/>
        </w:rPr>
        <w:t xml:space="preserve">3. </w:t>
      </w:r>
      <w:r>
        <w:rPr>
          <w:rFonts w:hint="eastAsia" w:eastAsia="楷体_GB2312" w:cs="楷体_GB2312"/>
          <w:color w:val="auto"/>
          <w:highlight w:val="none"/>
        </w:rPr>
        <w:t>招标人派出评委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提供近1个月（</w:t>
      </w:r>
      <w:r>
        <w:rPr>
          <w:rFonts w:hint="eastAsia" w:eastAsia="楷体_GB2312" w:cs="楷体_GB2312"/>
          <w:color w:val="auto"/>
          <w:highlight w:val="none"/>
          <w:u w:val="single"/>
        </w:rPr>
        <w:t xml:space="preserve">  </w:t>
      </w:r>
      <w:r>
        <w:rPr>
          <w:rFonts w:hint="eastAsia" w:eastAsia="楷体_GB2312" w:cs="楷体_GB2312"/>
          <w:color w:val="auto"/>
          <w:highlight w:val="none"/>
          <w:u w:val="single"/>
          <w:lang w:val="en-US" w:eastAsia="zh-CN"/>
        </w:rPr>
        <w:t xml:space="preserve">   </w:t>
      </w:r>
      <w:r>
        <w:rPr>
          <w:rFonts w:hint="eastAsia" w:eastAsia="楷体_GB2312" w:cs="楷体_GB2312"/>
          <w:color w:val="auto"/>
          <w:highlight w:val="none"/>
        </w:rPr>
        <w:t>年</w:t>
      </w:r>
      <w:r>
        <w:rPr>
          <w:rFonts w:hint="eastAsia" w:eastAsia="楷体_GB2312" w:cs="楷体_GB2312"/>
          <w:color w:val="auto"/>
          <w:highlight w:val="none"/>
          <w:u w:val="single"/>
        </w:rPr>
        <w:t xml:space="preserve">  </w:t>
      </w:r>
      <w:r>
        <w:rPr>
          <w:rFonts w:hint="eastAsia" w:eastAsia="楷体_GB2312" w:cs="楷体_GB2312"/>
          <w:color w:val="auto"/>
          <w:highlight w:val="none"/>
        </w:rPr>
        <w:t>月至投标截止时间止任意一个月社保）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w:t>
      </w:r>
      <w:r>
        <w:rPr>
          <w:rFonts w:hint="eastAsia" w:eastAsia="楷体_GB2312" w:cs="楷体_GB2312"/>
          <w:color w:val="auto"/>
          <w:highlight w:val="none"/>
          <w:u w:val="single"/>
        </w:rPr>
        <w:t xml:space="preserve">  </w:t>
      </w:r>
      <w:r>
        <w:rPr>
          <w:rFonts w:hint="eastAsia" w:eastAsia="楷体_GB2312" w:cs="楷体_GB2312"/>
          <w:color w:val="auto"/>
          <w:highlight w:val="none"/>
        </w:rPr>
        <w:t>年</w:t>
      </w:r>
      <w:r>
        <w:rPr>
          <w:rFonts w:hint="eastAsia" w:eastAsia="楷体_GB2312" w:cs="楷体_GB2312"/>
          <w:color w:val="auto"/>
          <w:highlight w:val="none"/>
          <w:u w:val="single"/>
        </w:rPr>
        <w:t xml:space="preserve">  </w:t>
      </w:r>
      <w:r>
        <w:rPr>
          <w:rFonts w:hint="eastAsia" w:eastAsia="楷体_GB2312" w:cs="楷体_GB2312"/>
          <w:color w:val="auto"/>
          <w:highlight w:val="none"/>
        </w:rPr>
        <w:t>月至投标截止时间止任意一个月社保）的社会保险证明原件或者工作编制证明文件原件扫描件。（3）以上扫描件应在开标前通过全国公共资源交易平台（广西壮族自治区）成功提交并审核通过。</w:t>
      </w:r>
      <w:r>
        <w:rPr>
          <w:rFonts w:hint="eastAsia" w:eastAsia="楷体_GB2312" w:cs="楷体_GB2312"/>
          <w:color w:val="auto"/>
          <w:highlight w:val="none"/>
          <w:lang w:eastAsia="zh-CN"/>
        </w:rPr>
        <w:t>（</w:t>
      </w:r>
      <w:r>
        <w:rPr>
          <w:rFonts w:hint="eastAsia" w:eastAsia="楷体_GB2312" w:cs="楷体_GB2312"/>
          <w:color w:val="auto"/>
          <w:highlight w:val="none"/>
        </w:rPr>
        <w:t>4</w:t>
      </w:r>
      <w:r>
        <w:rPr>
          <w:rFonts w:hint="eastAsia" w:eastAsia="楷体_GB2312" w:cs="楷体_GB2312"/>
          <w:color w:val="auto"/>
          <w:highlight w:val="none"/>
          <w:lang w:eastAsia="zh-CN"/>
        </w:rPr>
        <w:t>）</w:t>
      </w:r>
      <w:r>
        <w:rPr>
          <w:rFonts w:hint="eastAsia" w:eastAsia="楷体_GB2312" w:cs="楷体_GB2312"/>
          <w:color w:val="auto"/>
          <w:highlight w:val="none"/>
          <w:u w:val="single"/>
        </w:rPr>
        <w:t xml:space="preserve">        </w:t>
      </w:r>
    </w:p>
    <w:p w14:paraId="65B89371">
      <w:pPr>
        <w:pBdr>
          <w:top w:val="none" w:color="auto" w:sz="0" w:space="0"/>
          <w:left w:val="none" w:color="auto" w:sz="0" w:space="0"/>
          <w:bottom w:val="none" w:color="auto" w:sz="0" w:space="0"/>
          <w:right w:val="none" w:color="auto" w:sz="0" w:space="0"/>
          <w:between w:val="none" w:color="auto" w:sz="0" w:space="0"/>
        </w:pBdr>
        <w:ind w:left="750" w:hanging="749" w:hangingChars="357"/>
        <w:rPr>
          <w:rFonts w:eastAsia="楷体_GB2312"/>
          <w:color w:val="auto"/>
          <w:highlight w:val="none"/>
        </w:rPr>
      </w:pPr>
    </w:p>
    <w:p w14:paraId="7A9B5941">
      <w:pPr>
        <w:pBdr>
          <w:top w:val="none" w:color="auto" w:sz="0" w:space="0"/>
          <w:left w:val="none" w:color="auto" w:sz="0" w:space="0"/>
          <w:bottom w:val="none" w:color="auto" w:sz="0" w:space="0"/>
          <w:right w:val="none" w:color="auto" w:sz="0" w:space="0"/>
          <w:between w:val="none" w:color="auto" w:sz="0" w:space="0"/>
        </w:pBdr>
        <w:ind w:left="750" w:hanging="749" w:hangingChars="357"/>
        <w:rPr>
          <w:color w:val="auto"/>
          <w:highlight w:val="none"/>
        </w:rPr>
      </w:pPr>
    </w:p>
    <w:p w14:paraId="0F153F4C">
      <w:pPr>
        <w:pBdr>
          <w:top w:val="none" w:color="auto" w:sz="0" w:space="0"/>
          <w:left w:val="none" w:color="auto" w:sz="0" w:space="0"/>
          <w:bottom w:val="none" w:color="auto" w:sz="0" w:space="0"/>
          <w:right w:val="none" w:color="auto" w:sz="0" w:space="0"/>
          <w:between w:val="none" w:color="auto" w:sz="0" w:space="0"/>
        </w:pBdr>
        <w:ind w:left="750" w:hanging="749" w:hangingChars="357"/>
        <w:rPr>
          <w:color w:val="auto"/>
          <w:highlight w:val="none"/>
        </w:rPr>
      </w:pPr>
    </w:p>
    <w:p w14:paraId="1322582F">
      <w:pPr>
        <w:pBdr>
          <w:top w:val="none" w:color="auto" w:sz="0" w:space="0"/>
          <w:left w:val="none" w:color="auto" w:sz="0" w:space="0"/>
          <w:bottom w:val="none" w:color="auto" w:sz="0" w:space="0"/>
          <w:right w:val="none" w:color="auto" w:sz="0" w:space="0"/>
          <w:between w:val="none" w:color="auto" w:sz="0" w:space="0"/>
        </w:pBdr>
        <w:ind w:left="750" w:hanging="749" w:hangingChars="357"/>
        <w:rPr>
          <w:color w:val="auto"/>
          <w:highlight w:val="none"/>
        </w:rPr>
      </w:pPr>
    </w:p>
    <w:p w14:paraId="6ACAC8C2">
      <w:pPr>
        <w:pBdr>
          <w:top w:val="none" w:color="auto" w:sz="0" w:space="0"/>
          <w:left w:val="none" w:color="auto" w:sz="0" w:space="0"/>
          <w:bottom w:val="none" w:color="auto" w:sz="0" w:space="0"/>
          <w:right w:val="none" w:color="auto" w:sz="0" w:space="0"/>
          <w:between w:val="none" w:color="auto" w:sz="0" w:space="0"/>
        </w:pBdr>
        <w:ind w:left="750" w:hanging="749" w:hangingChars="357"/>
        <w:rPr>
          <w:color w:val="auto"/>
          <w:highlight w:val="none"/>
        </w:rPr>
      </w:pPr>
    </w:p>
    <w:p w14:paraId="7D6DD3AD">
      <w:pPr>
        <w:pBdr>
          <w:top w:val="none" w:color="auto" w:sz="0" w:space="0"/>
          <w:left w:val="none" w:color="auto" w:sz="0" w:space="0"/>
          <w:bottom w:val="none" w:color="auto" w:sz="0" w:space="0"/>
          <w:right w:val="none" w:color="auto" w:sz="0" w:space="0"/>
          <w:between w:val="none" w:color="auto" w:sz="0" w:space="0"/>
        </w:pBdr>
        <w:ind w:left="750" w:hanging="749" w:hangingChars="357"/>
        <w:rPr>
          <w:color w:val="auto"/>
          <w:highlight w:val="none"/>
        </w:rPr>
      </w:pPr>
    </w:p>
    <w:p w14:paraId="095DFF44">
      <w:pPr>
        <w:pStyle w:val="2"/>
        <w:jc w:val="center"/>
        <w:rPr>
          <w:color w:val="auto"/>
          <w:highlight w:val="none"/>
        </w:rPr>
      </w:pPr>
      <w:bookmarkStart w:id="132" w:name="_Toc389065144"/>
      <w:bookmarkStart w:id="133" w:name="_Toc78449621"/>
      <w:bookmarkStart w:id="134" w:name="_Toc407135077"/>
      <w:bookmarkStart w:id="135" w:name="_Toc5349"/>
      <w:bookmarkStart w:id="136" w:name="_Toc1178315932"/>
      <w:r>
        <w:rPr>
          <w:rFonts w:hint="eastAsia" w:cs="黑体"/>
          <w:color w:val="auto"/>
          <w:highlight w:val="none"/>
        </w:rPr>
        <w:t>投标人须知正文部分</w:t>
      </w:r>
      <w:bookmarkEnd w:id="132"/>
      <w:bookmarkEnd w:id="133"/>
      <w:bookmarkEnd w:id="134"/>
      <w:bookmarkEnd w:id="135"/>
      <w:bookmarkEnd w:id="136"/>
    </w:p>
    <w:p w14:paraId="34B6BB90">
      <w:pPr>
        <w:pStyle w:val="3"/>
        <w:rPr>
          <w:color w:val="auto"/>
          <w:highlight w:val="none"/>
        </w:rPr>
      </w:pPr>
      <w:bookmarkStart w:id="137" w:name="_Toc407135078"/>
      <w:bookmarkStart w:id="138" w:name="_Toc389065145"/>
      <w:bookmarkStart w:id="139" w:name="_Toc78449622"/>
      <w:bookmarkStart w:id="140" w:name="_Toc20119670"/>
      <w:bookmarkStart w:id="141" w:name="_Toc13483"/>
      <w:r>
        <w:rPr>
          <w:color w:val="auto"/>
          <w:highlight w:val="none"/>
        </w:rPr>
        <w:t xml:space="preserve">1 </w:t>
      </w:r>
      <w:r>
        <w:rPr>
          <w:rFonts w:hint="eastAsia" w:cs="黑体"/>
          <w:color w:val="auto"/>
          <w:highlight w:val="none"/>
        </w:rPr>
        <w:t>总则</w:t>
      </w:r>
      <w:bookmarkEnd w:id="137"/>
      <w:bookmarkEnd w:id="138"/>
      <w:bookmarkEnd w:id="139"/>
      <w:bookmarkEnd w:id="140"/>
      <w:bookmarkEnd w:id="141"/>
    </w:p>
    <w:p w14:paraId="0986C265">
      <w:pPr>
        <w:pStyle w:val="4"/>
        <w:rPr>
          <w:color w:val="auto"/>
          <w:highlight w:val="none"/>
        </w:rPr>
      </w:pPr>
      <w:bookmarkStart w:id="142" w:name="_Toc1679181711"/>
      <w:bookmarkStart w:id="143" w:name="_Toc389065146"/>
      <w:bookmarkStart w:id="144" w:name="_Toc9107"/>
      <w:bookmarkStart w:id="145" w:name="_Toc407135079"/>
      <w:bookmarkStart w:id="146" w:name="_Toc78449623"/>
      <w:r>
        <w:rPr>
          <w:color w:val="auto"/>
          <w:highlight w:val="none"/>
        </w:rPr>
        <w:t xml:space="preserve">1.1 </w:t>
      </w:r>
      <w:r>
        <w:rPr>
          <w:rFonts w:hint="eastAsia" w:cs="黑体"/>
          <w:color w:val="auto"/>
          <w:highlight w:val="none"/>
        </w:rPr>
        <w:t>项目概况</w:t>
      </w:r>
      <w:bookmarkEnd w:id="142"/>
      <w:bookmarkEnd w:id="143"/>
      <w:bookmarkEnd w:id="144"/>
      <w:bookmarkEnd w:id="145"/>
      <w:bookmarkEnd w:id="146"/>
    </w:p>
    <w:p w14:paraId="7184933E">
      <w:pPr>
        <w:spacing w:line="360" w:lineRule="auto"/>
        <w:ind w:firstLine="420" w:firstLineChars="200"/>
        <w:rPr>
          <w:color w:val="auto"/>
          <w:highlight w:val="none"/>
        </w:rPr>
      </w:pPr>
      <w:r>
        <w:rPr>
          <w:color w:val="auto"/>
          <w:highlight w:val="none"/>
        </w:rPr>
        <w:t xml:space="preserve">1.1.1 </w:t>
      </w:r>
      <w:r>
        <w:rPr>
          <w:rFonts w:hint="eastAsia" w:cs="宋体"/>
          <w:color w:val="auto"/>
          <w:highlight w:val="none"/>
        </w:rPr>
        <w:t>根据《中华人民共和国招标投标法》等有关</w:t>
      </w:r>
      <w:r>
        <w:rPr>
          <w:rFonts w:hint="eastAsia" w:cs="宋体"/>
          <w:color w:val="auto"/>
          <w:highlight w:val="none"/>
          <w:lang w:eastAsia="zh-CN"/>
        </w:rPr>
        <w:t>法律法规</w:t>
      </w:r>
      <w:r>
        <w:rPr>
          <w:rFonts w:hint="eastAsia" w:cs="宋体"/>
          <w:color w:val="auto"/>
          <w:highlight w:val="none"/>
        </w:rPr>
        <w:t>和规章的规定，本招标项目已具备招标条件，现对本标段施工进行招标。</w:t>
      </w:r>
    </w:p>
    <w:p w14:paraId="326CF030">
      <w:pPr>
        <w:spacing w:line="360" w:lineRule="auto"/>
        <w:ind w:firstLine="420" w:firstLineChars="200"/>
        <w:rPr>
          <w:color w:val="auto"/>
          <w:highlight w:val="none"/>
        </w:rPr>
      </w:pPr>
      <w:r>
        <w:rPr>
          <w:color w:val="auto"/>
          <w:highlight w:val="none"/>
        </w:rPr>
        <w:t xml:space="preserve">1.1.2 </w:t>
      </w:r>
      <w:r>
        <w:rPr>
          <w:rFonts w:hint="eastAsia" w:cs="宋体"/>
          <w:color w:val="auto"/>
          <w:highlight w:val="none"/>
        </w:rPr>
        <w:t>本招标项目招标人：见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CD9B81C">
      <w:pPr>
        <w:spacing w:line="360" w:lineRule="auto"/>
        <w:ind w:firstLine="420" w:firstLineChars="200"/>
        <w:rPr>
          <w:color w:val="auto"/>
          <w:highlight w:val="none"/>
        </w:rPr>
      </w:pPr>
      <w:r>
        <w:rPr>
          <w:color w:val="auto"/>
          <w:highlight w:val="none"/>
        </w:rPr>
        <w:t xml:space="preserve">1.1.3 </w:t>
      </w:r>
      <w:r>
        <w:rPr>
          <w:rFonts w:hint="eastAsia" w:cs="宋体"/>
          <w:color w:val="auto"/>
          <w:highlight w:val="none"/>
        </w:rPr>
        <w:t>本标段招标代理机构：见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02A33AB6">
      <w:pPr>
        <w:spacing w:line="360" w:lineRule="auto"/>
        <w:ind w:firstLine="420" w:firstLineChars="200"/>
        <w:rPr>
          <w:color w:val="auto"/>
          <w:highlight w:val="none"/>
        </w:rPr>
      </w:pPr>
      <w:r>
        <w:rPr>
          <w:color w:val="auto"/>
          <w:highlight w:val="none"/>
        </w:rPr>
        <w:t xml:space="preserve">1.1.4 </w:t>
      </w:r>
      <w:r>
        <w:rPr>
          <w:rFonts w:hint="eastAsia" w:cs="宋体"/>
          <w:color w:val="auto"/>
          <w:highlight w:val="none"/>
        </w:rPr>
        <w:t>本招标项目名称及</w:t>
      </w:r>
      <w:r>
        <w:rPr>
          <w:rFonts w:hint="eastAsia" w:cs="宋体"/>
          <w:color w:val="auto"/>
          <w:highlight w:val="none"/>
          <w:lang w:eastAsia="zh-CN"/>
        </w:rPr>
        <w:t>招标项目编号</w:t>
      </w:r>
      <w:r>
        <w:rPr>
          <w:rFonts w:hint="eastAsia" w:cs="宋体"/>
          <w:color w:val="auto"/>
          <w:highlight w:val="none"/>
        </w:rPr>
        <w:t>：见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4E1ACF53">
      <w:pPr>
        <w:spacing w:line="360" w:lineRule="auto"/>
        <w:ind w:firstLine="420" w:firstLineChars="200"/>
        <w:rPr>
          <w:color w:val="auto"/>
          <w:highlight w:val="none"/>
        </w:rPr>
      </w:pPr>
      <w:r>
        <w:rPr>
          <w:color w:val="auto"/>
          <w:highlight w:val="none"/>
        </w:rPr>
        <w:t xml:space="preserve">1.1.5 </w:t>
      </w:r>
      <w:r>
        <w:rPr>
          <w:rFonts w:hint="eastAsia" w:cs="宋体"/>
          <w:color w:val="auto"/>
          <w:highlight w:val="none"/>
        </w:rPr>
        <w:t>本标段建设地点：见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70D67217">
      <w:pPr>
        <w:pStyle w:val="4"/>
        <w:rPr>
          <w:color w:val="auto"/>
          <w:highlight w:val="none"/>
        </w:rPr>
      </w:pPr>
      <w:bookmarkStart w:id="147" w:name="_Toc407135080"/>
      <w:bookmarkStart w:id="148" w:name="_Toc25565"/>
      <w:bookmarkStart w:id="149" w:name="_Toc78449624"/>
      <w:bookmarkStart w:id="150" w:name="_Toc389065147"/>
      <w:bookmarkStart w:id="151" w:name="_Toc664574515"/>
      <w:r>
        <w:rPr>
          <w:color w:val="auto"/>
          <w:highlight w:val="none"/>
        </w:rPr>
        <w:t xml:space="preserve">1.2 </w:t>
      </w:r>
      <w:bookmarkEnd w:id="147"/>
      <w:r>
        <w:rPr>
          <w:rFonts w:hint="eastAsia" w:cs="黑体"/>
          <w:color w:val="auto"/>
          <w:highlight w:val="none"/>
        </w:rPr>
        <w:t>资金来源和落实及增值税计税方法情况</w:t>
      </w:r>
      <w:bookmarkEnd w:id="148"/>
      <w:bookmarkEnd w:id="149"/>
      <w:bookmarkEnd w:id="150"/>
      <w:bookmarkEnd w:id="151"/>
    </w:p>
    <w:p w14:paraId="2EF9862D">
      <w:pPr>
        <w:spacing w:line="360" w:lineRule="auto"/>
        <w:ind w:firstLine="420" w:firstLineChars="200"/>
        <w:rPr>
          <w:color w:val="auto"/>
          <w:highlight w:val="none"/>
        </w:rPr>
      </w:pPr>
      <w:r>
        <w:rPr>
          <w:color w:val="auto"/>
          <w:highlight w:val="none"/>
        </w:rPr>
        <w:t xml:space="preserve">1.2.1 </w:t>
      </w:r>
      <w:r>
        <w:rPr>
          <w:rFonts w:hint="eastAsia" w:cs="宋体"/>
          <w:color w:val="auto"/>
          <w:highlight w:val="none"/>
        </w:rPr>
        <w:t>本招标项目的资金来源：见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14EF5BEB">
      <w:pPr>
        <w:spacing w:line="360" w:lineRule="auto"/>
        <w:ind w:firstLine="420" w:firstLineChars="200"/>
        <w:rPr>
          <w:color w:val="auto"/>
          <w:highlight w:val="none"/>
        </w:rPr>
      </w:pPr>
      <w:r>
        <w:rPr>
          <w:color w:val="auto"/>
          <w:highlight w:val="none"/>
        </w:rPr>
        <w:t xml:space="preserve">1.2.2 </w:t>
      </w:r>
      <w:r>
        <w:rPr>
          <w:rFonts w:hint="eastAsia" w:cs="宋体"/>
          <w:color w:val="auto"/>
          <w:highlight w:val="none"/>
        </w:rPr>
        <w:t>本招标项目的出资比例：见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33D7A7A1">
      <w:pPr>
        <w:spacing w:line="360" w:lineRule="auto"/>
        <w:ind w:firstLine="420" w:firstLineChars="200"/>
        <w:rPr>
          <w:rFonts w:hint="eastAsia" w:cs="宋体"/>
          <w:color w:val="auto"/>
          <w:highlight w:val="none"/>
        </w:rPr>
      </w:pPr>
      <w:r>
        <w:rPr>
          <w:color w:val="auto"/>
          <w:highlight w:val="none"/>
        </w:rPr>
        <w:t xml:space="preserve">1.2.3 </w:t>
      </w:r>
      <w:r>
        <w:rPr>
          <w:rFonts w:hint="eastAsia" w:cs="宋体"/>
          <w:color w:val="auto"/>
          <w:highlight w:val="none"/>
        </w:rPr>
        <w:t>本招标项目的资金落实情况：见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27C1CA77">
      <w:pPr>
        <w:spacing w:line="360" w:lineRule="auto"/>
        <w:ind w:firstLine="420" w:firstLineChars="200"/>
        <w:rPr>
          <w:color w:val="auto"/>
          <w:highlight w:val="none"/>
        </w:rPr>
      </w:pPr>
      <w:r>
        <w:rPr>
          <w:rFonts w:hint="eastAsia" w:cs="宋体"/>
          <w:color w:val="auto"/>
          <w:highlight w:val="none"/>
        </w:rPr>
        <w:t>1.2.4本招标项目的增值税计税方法：见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1981889D">
      <w:pPr>
        <w:pStyle w:val="4"/>
        <w:rPr>
          <w:color w:val="auto"/>
          <w:highlight w:val="none"/>
        </w:rPr>
      </w:pPr>
      <w:bookmarkStart w:id="152" w:name="_Toc780160916"/>
      <w:bookmarkStart w:id="153" w:name="_Toc21740"/>
      <w:bookmarkStart w:id="154" w:name="_Toc78449625"/>
      <w:bookmarkStart w:id="155" w:name="_Toc407135081"/>
      <w:bookmarkStart w:id="156" w:name="_Toc389065148"/>
      <w:r>
        <w:rPr>
          <w:color w:val="auto"/>
          <w:highlight w:val="none"/>
        </w:rPr>
        <w:t xml:space="preserve">1.3 </w:t>
      </w:r>
      <w:r>
        <w:rPr>
          <w:rFonts w:hint="eastAsia" w:cs="黑体"/>
          <w:color w:val="auto"/>
          <w:highlight w:val="none"/>
        </w:rPr>
        <w:t>招标范围、计划工期和质量要求</w:t>
      </w:r>
      <w:bookmarkEnd w:id="152"/>
      <w:bookmarkEnd w:id="153"/>
      <w:bookmarkEnd w:id="154"/>
      <w:bookmarkEnd w:id="155"/>
      <w:bookmarkEnd w:id="156"/>
    </w:p>
    <w:p w14:paraId="2CCDDF48">
      <w:pPr>
        <w:spacing w:line="360" w:lineRule="auto"/>
        <w:ind w:firstLine="420" w:firstLineChars="200"/>
        <w:rPr>
          <w:color w:val="auto"/>
          <w:highlight w:val="none"/>
        </w:rPr>
      </w:pPr>
      <w:r>
        <w:rPr>
          <w:color w:val="auto"/>
          <w:highlight w:val="none"/>
        </w:rPr>
        <w:t xml:space="preserve">1.3.1 </w:t>
      </w:r>
      <w:r>
        <w:rPr>
          <w:rFonts w:hint="eastAsia" w:cs="宋体"/>
          <w:color w:val="auto"/>
          <w:highlight w:val="none"/>
        </w:rPr>
        <w:t>本次招标范围：见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0FD4DDB">
      <w:pPr>
        <w:spacing w:line="360" w:lineRule="auto"/>
        <w:ind w:firstLine="420" w:firstLineChars="200"/>
        <w:rPr>
          <w:color w:val="auto"/>
          <w:highlight w:val="none"/>
        </w:rPr>
      </w:pPr>
      <w:r>
        <w:rPr>
          <w:color w:val="auto"/>
          <w:highlight w:val="none"/>
        </w:rPr>
        <w:t xml:space="preserve">1.3.2 </w:t>
      </w:r>
      <w:r>
        <w:rPr>
          <w:rFonts w:hint="eastAsia" w:cs="宋体"/>
          <w:color w:val="auto"/>
          <w:highlight w:val="none"/>
        </w:rPr>
        <w:t>本标段的要求工期：见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0EF7269B">
      <w:pPr>
        <w:spacing w:line="360" w:lineRule="auto"/>
        <w:ind w:firstLine="420" w:firstLineChars="200"/>
        <w:rPr>
          <w:color w:val="auto"/>
          <w:highlight w:val="none"/>
        </w:rPr>
      </w:pPr>
      <w:r>
        <w:rPr>
          <w:color w:val="auto"/>
          <w:highlight w:val="none"/>
        </w:rPr>
        <w:t xml:space="preserve">1.3.3 </w:t>
      </w:r>
      <w:r>
        <w:rPr>
          <w:rFonts w:hint="eastAsia" w:cs="宋体"/>
          <w:color w:val="auto"/>
          <w:highlight w:val="none"/>
        </w:rPr>
        <w:t>本标段的质量要求：见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35766AFC">
      <w:pPr>
        <w:pStyle w:val="4"/>
        <w:rPr>
          <w:color w:val="auto"/>
          <w:highlight w:val="none"/>
        </w:rPr>
      </w:pPr>
      <w:bookmarkStart w:id="157" w:name="_Toc1050665652"/>
      <w:bookmarkStart w:id="158" w:name="_Toc8492"/>
      <w:bookmarkStart w:id="159" w:name="_Toc389065149"/>
      <w:bookmarkStart w:id="160" w:name="_Toc407135082"/>
      <w:bookmarkStart w:id="161" w:name="_Toc78449626"/>
      <w:r>
        <w:rPr>
          <w:color w:val="auto"/>
          <w:highlight w:val="none"/>
        </w:rPr>
        <w:t xml:space="preserve">1.4 </w:t>
      </w:r>
      <w:r>
        <w:rPr>
          <w:rFonts w:hint="eastAsia" w:cs="黑体"/>
          <w:color w:val="auto"/>
          <w:highlight w:val="none"/>
        </w:rPr>
        <w:t>投标人资格要求</w:t>
      </w:r>
      <w:bookmarkEnd w:id="157"/>
      <w:bookmarkEnd w:id="158"/>
      <w:bookmarkEnd w:id="159"/>
      <w:bookmarkEnd w:id="160"/>
      <w:bookmarkEnd w:id="161"/>
    </w:p>
    <w:p w14:paraId="5428640C">
      <w:pPr>
        <w:spacing w:line="360" w:lineRule="auto"/>
        <w:ind w:firstLine="420" w:firstLineChars="200"/>
        <w:rPr>
          <w:color w:val="auto"/>
          <w:highlight w:val="none"/>
        </w:rPr>
      </w:pPr>
      <w:r>
        <w:rPr>
          <w:color w:val="auto"/>
          <w:highlight w:val="none"/>
        </w:rPr>
        <w:t xml:space="preserve">1.4.1 </w:t>
      </w:r>
      <w:r>
        <w:rPr>
          <w:rFonts w:hint="eastAsia" w:cs="宋体"/>
          <w:color w:val="auto"/>
          <w:highlight w:val="none"/>
        </w:rPr>
        <w:t>投标人应具备承担本项目施工的资质条件、能力、诚信等要求。</w:t>
      </w:r>
    </w:p>
    <w:p w14:paraId="4AF363A0">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）资质条件：见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4775F26">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）财务要求：见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17623D9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）业绩要求：见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33E6D21">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）诚信要求：见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431AE0D2">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）项目经理资格：见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547C53F3">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）专职安全生产管理人员要求：见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5C9178D7">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）其他要求：见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5424FA99">
      <w:pPr>
        <w:spacing w:line="360" w:lineRule="auto"/>
        <w:ind w:firstLine="420" w:firstLineChars="200"/>
        <w:rPr>
          <w:color w:val="auto"/>
          <w:highlight w:val="none"/>
        </w:rPr>
      </w:pPr>
      <w:r>
        <w:rPr>
          <w:color w:val="auto"/>
          <w:highlight w:val="none"/>
        </w:rPr>
        <w:t>1.4.2 “</w:t>
      </w:r>
      <w:r>
        <w:rPr>
          <w:rFonts w:hint="eastAsia" w:cs="宋体"/>
          <w:color w:val="auto"/>
          <w:highlight w:val="none"/>
        </w:rPr>
        <w:t>投标人须知前附表</w:t>
      </w:r>
      <w:r>
        <w:rPr>
          <w:color w:val="auto"/>
          <w:highlight w:val="none"/>
        </w:rPr>
        <w:t>”</w:t>
      </w:r>
      <w:r>
        <w:rPr>
          <w:rFonts w:hint="eastAsia" w:cs="宋体"/>
          <w:color w:val="auto"/>
          <w:highlight w:val="none"/>
        </w:rPr>
        <w:t>规定接受联合体投标的，除应符合本章第</w:t>
      </w:r>
      <w:r>
        <w:rPr>
          <w:color w:val="auto"/>
          <w:highlight w:val="none"/>
        </w:rPr>
        <w:t>1.4.1</w:t>
      </w:r>
      <w:r>
        <w:rPr>
          <w:rFonts w:hint="eastAsia" w:cs="宋体"/>
          <w:color w:val="auto"/>
          <w:highlight w:val="none"/>
        </w:rPr>
        <w:t>项和</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的要求外，还应遵守以下规定：</w:t>
      </w:r>
    </w:p>
    <w:p w14:paraId="0AF0DC2F">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）联合体各方应按招标文件提供的格式签订联合体协议书，明确联合体牵头人和各方权利义务</w:t>
      </w:r>
      <w:r>
        <w:rPr>
          <w:rFonts w:hint="eastAsia" w:cs="宋体"/>
          <w:color w:val="auto"/>
          <w:highlight w:val="none"/>
          <w:lang w:eastAsia="zh-CN"/>
        </w:rPr>
        <w:t>，</w:t>
      </w:r>
      <w:r>
        <w:rPr>
          <w:rFonts w:hint="eastAsia"/>
          <w:color w:val="auto"/>
          <w:highlight w:val="none"/>
        </w:rPr>
        <w:t>其中联合体牵头人代表联合体各方成员负责投标和合同实施阶段的主办、协调工作，但联合体其他成员在投标、签约与履行合同过程中，负有连带的和各自的法律责任</w:t>
      </w:r>
      <w:r>
        <w:rPr>
          <w:rFonts w:hint="eastAsia" w:cs="宋体"/>
          <w:color w:val="auto"/>
          <w:highlight w:val="none"/>
        </w:rPr>
        <w:t>；</w:t>
      </w:r>
    </w:p>
    <w:p w14:paraId="3D7B2B6E">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）联合体各方不得再以自己名义单独或参加其他联合体在同一标段中投标。</w:t>
      </w:r>
    </w:p>
    <w:p w14:paraId="7A1FFD81">
      <w:pPr>
        <w:spacing w:line="360" w:lineRule="auto"/>
        <w:ind w:firstLine="420" w:firstLineChars="200"/>
        <w:rPr>
          <w:color w:val="auto"/>
          <w:highlight w:val="none"/>
        </w:rPr>
      </w:pPr>
      <w:r>
        <w:rPr>
          <w:color w:val="auto"/>
          <w:highlight w:val="none"/>
        </w:rPr>
        <w:t xml:space="preserve">1.4.3 </w:t>
      </w:r>
      <w:r>
        <w:rPr>
          <w:rFonts w:hint="eastAsia" w:cs="宋体"/>
          <w:color w:val="auto"/>
          <w:highlight w:val="none"/>
        </w:rPr>
        <w:t>投标人不得存在下列情形之一：</w:t>
      </w:r>
    </w:p>
    <w:p w14:paraId="7927C5A3">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）与招标人存在利害关系可能影响招标公正性的法人、其他组织；</w:t>
      </w:r>
    </w:p>
    <w:p w14:paraId="629AF8D7">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）为本标段前期准备提供设计或咨询服务的，但设计施工总承包的除外；</w:t>
      </w:r>
    </w:p>
    <w:p w14:paraId="692D1A13">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）为本标段的监理人；</w:t>
      </w:r>
    </w:p>
    <w:p w14:paraId="149FAC7F">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）为本标段的代建人；</w:t>
      </w:r>
    </w:p>
    <w:p w14:paraId="28B98BCA">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）为本标段提供招标代理服务的；</w:t>
      </w:r>
    </w:p>
    <w:p w14:paraId="70810532">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）与本标段的监理人或代建人或招标代理机构同为一个法定代表人的；</w:t>
      </w:r>
    </w:p>
    <w:p w14:paraId="109FC990">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）与本标段的监理人或代建人或招标代理机构相互控股或参股的；</w:t>
      </w:r>
    </w:p>
    <w:p w14:paraId="0D9E7D5D">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）与本标段的监理人或代建人或招标代理机构相互任职或工作的；</w:t>
      </w:r>
    </w:p>
    <w:p w14:paraId="5E1C8842">
      <w:pPr>
        <w:spacing w:line="360" w:lineRule="auto"/>
        <w:ind w:firstLine="420" w:firstLineChars="200"/>
        <w:rPr>
          <w:color w:val="auto"/>
          <w:highlight w:val="none"/>
        </w:rPr>
      </w:pPr>
      <w:r>
        <w:rPr>
          <w:rFonts w:hint="eastAsia" w:cs="宋体"/>
          <w:color w:val="auto"/>
          <w:highlight w:val="none"/>
        </w:rPr>
        <w:t>（9）</w:t>
      </w:r>
      <w:r>
        <w:rPr>
          <w:rFonts w:hint="eastAsia"/>
          <w:color w:val="auto"/>
          <w:highlight w:val="none"/>
        </w:rPr>
        <w:t>吊销</w:t>
      </w:r>
      <w:r>
        <w:rPr>
          <w:color w:val="auto"/>
          <w:highlight w:val="none"/>
        </w:rPr>
        <w:t>或暂扣营业执照、安全生产</w:t>
      </w:r>
      <w:r>
        <w:rPr>
          <w:rFonts w:hint="eastAsia"/>
          <w:color w:val="auto"/>
          <w:highlight w:val="none"/>
        </w:rPr>
        <w:t>许可</w:t>
      </w:r>
      <w:r>
        <w:rPr>
          <w:color w:val="auto"/>
          <w:highlight w:val="none"/>
        </w:rPr>
        <w:t>证期间</w:t>
      </w:r>
      <w:r>
        <w:rPr>
          <w:rFonts w:hint="eastAsia"/>
          <w:color w:val="auto"/>
          <w:highlight w:val="none"/>
        </w:rPr>
        <w:t>；</w:t>
      </w:r>
    </w:p>
    <w:p w14:paraId="085CDCB3">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）在本行政区域被暂停或取消投标资格的；</w:t>
      </w:r>
    </w:p>
    <w:p w14:paraId="4EBDA655">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）财产被接管或基本账户被冻结的；</w:t>
      </w:r>
    </w:p>
    <w:p w14:paraId="026AE41C">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）有骗取中标或严重违约或工程质量安全问题，在本行政区域正处在停业整顿或暂停投标期间的；</w:t>
      </w:r>
    </w:p>
    <w:p w14:paraId="4F84B4EA">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13</w:t>
      </w:r>
      <w:r>
        <w:rPr>
          <w:rFonts w:hint="eastAsia" w:cs="宋体"/>
          <w:color w:val="auto"/>
          <w:highlight w:val="none"/>
        </w:rPr>
        <w:t>）被责令停业的。</w:t>
      </w:r>
    </w:p>
    <w:p w14:paraId="3318F9CE">
      <w:pPr>
        <w:spacing w:line="360" w:lineRule="auto"/>
        <w:ind w:firstLine="420" w:firstLineChars="200"/>
        <w:rPr>
          <w:rFonts w:hint="eastAsia" w:cs="宋体"/>
          <w:color w:val="auto"/>
          <w:highlight w:val="none"/>
        </w:rPr>
      </w:pPr>
      <w:r>
        <w:rPr>
          <w:rFonts w:hint="eastAsia" w:cs="宋体"/>
          <w:color w:val="auto"/>
          <w:highlight w:val="none"/>
        </w:rPr>
        <w:t>（14）投标人（如为联合体时，联合体中有一个或一个以上成员属于失信被执行人的，联合体视为失信被执行人）、拟派项目经理在“信用中国”网站（www.creditchina.gov.cn）中列入失信被执行人名单；（以评标阶段通过“信用中国”网站（www.creditchina.gov.cn）查询的结果为准）。</w:t>
      </w:r>
    </w:p>
    <w:p w14:paraId="3FA37DDC">
      <w:pPr>
        <w:spacing w:line="360" w:lineRule="auto"/>
        <w:ind w:firstLine="420" w:firstLineChars="200"/>
        <w:rPr>
          <w:rFonts w:hint="eastAsia" w:cs="宋体"/>
          <w:color w:val="auto"/>
          <w:highlight w:val="none"/>
        </w:rPr>
      </w:pPr>
      <w:r>
        <w:rPr>
          <w:rFonts w:hint="eastAsia" w:cs="宋体"/>
          <w:color w:val="auto"/>
          <w:highlight w:val="none"/>
        </w:rPr>
        <w:t>（15）投标人（如为联合体时，联合体中任一个成员）、拟派项目经理被列为企业或个人诚信不良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、失信联合惩戒的（在评标阶段通过全国建筑市场监管公共服务平台（http://jzsc.mohurd.gov.cn/home）查询）；</w:t>
      </w:r>
    </w:p>
    <w:p w14:paraId="09536564">
      <w:pPr>
        <w:spacing w:line="360" w:lineRule="auto"/>
        <w:ind w:firstLine="420" w:firstLineChars="200"/>
        <w:rPr>
          <w:rFonts w:hint="eastAsia" w:cs="宋体"/>
          <w:color w:val="auto"/>
          <w:highlight w:val="none"/>
        </w:rPr>
      </w:pPr>
      <w:r>
        <w:rPr>
          <w:rFonts w:hint="eastAsia" w:cs="宋体"/>
          <w:color w:val="auto"/>
          <w:highlight w:val="none"/>
        </w:rPr>
        <w:t>（16）在近三年内投标人或其法定代表人有行贿犯罪行为的（以评标阶段通过“中国裁判文书”网站（http://www.cour.gov.cn/wenshu.html）查询结果为准）。</w:t>
      </w:r>
    </w:p>
    <w:p w14:paraId="31A36D6C">
      <w:pPr>
        <w:spacing w:line="360" w:lineRule="auto"/>
        <w:ind w:firstLine="420" w:firstLineChars="200"/>
        <w:rPr>
          <w:rFonts w:hint="eastAsia" w:eastAsia="宋体" w:cs="宋体"/>
          <w:color w:val="auto"/>
          <w:highlight w:val="none"/>
          <w:lang w:val="en-US" w:eastAsia="zh-CN"/>
        </w:rPr>
      </w:pPr>
      <w:r>
        <w:rPr>
          <w:rFonts w:hint="eastAsia" w:cs="宋体"/>
          <w:color w:val="auto"/>
          <w:highlight w:val="none"/>
          <w:lang w:eastAsia="zh-CN"/>
        </w:rPr>
        <w:t>（</w:t>
      </w:r>
      <w:r>
        <w:rPr>
          <w:rFonts w:hint="eastAsia" w:cs="宋体"/>
          <w:color w:val="auto"/>
          <w:highlight w:val="none"/>
          <w:lang w:val="en-US" w:eastAsia="zh-CN"/>
        </w:rPr>
        <w:t>17）投标人因生产安全事故处于暂扣、吊销安全生产许可证状态的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w:t>
      </w:r>
      <w:r>
        <w:rPr>
          <w:rFonts w:hint="eastAsia" w:cs="宋体"/>
          <w:color w:val="auto"/>
          <w:highlight w:val="none"/>
          <w:lang w:eastAsia="zh-CN"/>
        </w:rPr>
        <w:t>。</w:t>
      </w:r>
    </w:p>
    <w:p w14:paraId="78F4438E">
      <w:pPr>
        <w:spacing w:line="360" w:lineRule="auto"/>
        <w:ind w:firstLine="420" w:firstLineChars="200"/>
        <w:rPr>
          <w:color w:val="auto"/>
          <w:highlight w:val="none"/>
        </w:rPr>
      </w:pPr>
      <w:r>
        <w:rPr>
          <w:color w:val="auto"/>
          <w:highlight w:val="none"/>
        </w:rPr>
        <w:t xml:space="preserve">1.4.4 </w:t>
      </w:r>
      <w:r>
        <w:rPr>
          <w:rFonts w:hint="eastAsia" w:cs="宋体"/>
          <w:color w:val="auto"/>
          <w:highlight w:val="none"/>
        </w:rPr>
        <w:t>单位负责人为同一人或者存在控股、管理关系的不同单位，不得参加同一标段投标或者未划分标段的同一招标项目投标，违反本规定的，相关投标均无效。</w:t>
      </w:r>
    </w:p>
    <w:p w14:paraId="67944D5E">
      <w:pPr>
        <w:pStyle w:val="4"/>
        <w:rPr>
          <w:color w:val="auto"/>
          <w:highlight w:val="none"/>
        </w:rPr>
      </w:pPr>
      <w:bookmarkStart w:id="162" w:name="_Toc389065150"/>
      <w:bookmarkStart w:id="163" w:name="_Toc1493339611"/>
      <w:bookmarkStart w:id="164" w:name="_Toc32402"/>
      <w:bookmarkStart w:id="165" w:name="_Toc407135083"/>
      <w:bookmarkStart w:id="166" w:name="_Toc78449627"/>
      <w:r>
        <w:rPr>
          <w:color w:val="auto"/>
          <w:highlight w:val="none"/>
        </w:rPr>
        <w:t xml:space="preserve">1.5 </w:t>
      </w:r>
      <w:r>
        <w:rPr>
          <w:rFonts w:hint="eastAsia" w:cs="黑体"/>
          <w:color w:val="auto"/>
          <w:highlight w:val="none"/>
        </w:rPr>
        <w:t>费用承担</w:t>
      </w:r>
      <w:bookmarkEnd w:id="162"/>
      <w:bookmarkEnd w:id="163"/>
      <w:bookmarkEnd w:id="164"/>
      <w:bookmarkEnd w:id="165"/>
      <w:bookmarkEnd w:id="166"/>
    </w:p>
    <w:p w14:paraId="7DC90E17">
      <w:pPr>
        <w:spacing w:line="360" w:lineRule="auto"/>
        <w:ind w:firstLine="420" w:firstLineChars="200"/>
        <w:rPr>
          <w:color w:val="auto"/>
          <w:highlight w:val="none"/>
        </w:rPr>
      </w:pPr>
      <w:r>
        <w:rPr>
          <w:rFonts w:hint="eastAsia" w:cs="宋体"/>
          <w:color w:val="auto"/>
          <w:highlight w:val="none"/>
        </w:rPr>
        <w:t>投标人准备和参加投标活动发生的费用自理。</w:t>
      </w:r>
    </w:p>
    <w:p w14:paraId="0E7780E4">
      <w:pPr>
        <w:pStyle w:val="4"/>
        <w:rPr>
          <w:color w:val="auto"/>
          <w:highlight w:val="none"/>
        </w:rPr>
      </w:pPr>
      <w:bookmarkStart w:id="167" w:name="_Toc78449628"/>
      <w:bookmarkStart w:id="168" w:name="_Toc389065151"/>
      <w:bookmarkStart w:id="169" w:name="_Toc1440522920"/>
      <w:bookmarkStart w:id="170" w:name="_Toc32409"/>
      <w:bookmarkStart w:id="171" w:name="_Toc407135084"/>
      <w:r>
        <w:rPr>
          <w:color w:val="auto"/>
          <w:highlight w:val="none"/>
        </w:rPr>
        <w:t xml:space="preserve">1.6 </w:t>
      </w:r>
      <w:r>
        <w:rPr>
          <w:rFonts w:hint="eastAsia" w:cs="黑体"/>
          <w:color w:val="auto"/>
          <w:highlight w:val="none"/>
        </w:rPr>
        <w:t>保密</w:t>
      </w:r>
      <w:bookmarkEnd w:id="167"/>
      <w:bookmarkEnd w:id="168"/>
      <w:bookmarkEnd w:id="169"/>
      <w:bookmarkEnd w:id="170"/>
      <w:bookmarkEnd w:id="171"/>
    </w:p>
    <w:p w14:paraId="1C354652">
      <w:pPr>
        <w:spacing w:line="360" w:lineRule="auto"/>
        <w:ind w:firstLine="420" w:firstLineChars="200"/>
        <w:rPr>
          <w:color w:val="auto"/>
          <w:highlight w:val="none"/>
        </w:rPr>
      </w:pPr>
      <w:r>
        <w:rPr>
          <w:rFonts w:hint="eastAsia" w:cs="宋体"/>
          <w:color w:val="auto"/>
          <w:highlight w:val="none"/>
        </w:rPr>
        <w:t>参与招标投标活动的各方应对招标文件和投标文件中的商业和技术等秘密保密，违者应对由此造成的后果承担法律责任。</w:t>
      </w:r>
    </w:p>
    <w:p w14:paraId="231C7B60">
      <w:pPr>
        <w:pStyle w:val="4"/>
        <w:rPr>
          <w:color w:val="auto"/>
          <w:highlight w:val="none"/>
        </w:rPr>
      </w:pPr>
      <w:bookmarkStart w:id="172" w:name="_Toc22988"/>
      <w:bookmarkStart w:id="173" w:name="_Toc1530072868"/>
      <w:bookmarkStart w:id="174" w:name="_Toc389065152"/>
      <w:bookmarkStart w:id="175" w:name="_Toc78449629"/>
      <w:bookmarkStart w:id="176" w:name="_Toc407135085"/>
      <w:r>
        <w:rPr>
          <w:color w:val="auto"/>
          <w:highlight w:val="none"/>
        </w:rPr>
        <w:t xml:space="preserve">1.7 </w:t>
      </w:r>
      <w:r>
        <w:rPr>
          <w:rFonts w:hint="eastAsia" w:cs="黑体"/>
          <w:color w:val="auto"/>
          <w:highlight w:val="none"/>
        </w:rPr>
        <w:t>语言文字</w:t>
      </w:r>
      <w:bookmarkEnd w:id="172"/>
      <w:bookmarkEnd w:id="173"/>
      <w:bookmarkEnd w:id="174"/>
      <w:bookmarkEnd w:id="175"/>
      <w:bookmarkEnd w:id="176"/>
    </w:p>
    <w:p w14:paraId="6696D134">
      <w:pPr>
        <w:spacing w:line="360" w:lineRule="auto"/>
        <w:ind w:firstLine="420" w:firstLineChars="200"/>
        <w:rPr>
          <w:color w:val="auto"/>
          <w:highlight w:val="none"/>
        </w:rPr>
      </w:pPr>
      <w:r>
        <w:rPr>
          <w:rFonts w:hint="eastAsia" w:cs="宋体"/>
          <w:color w:val="auto"/>
          <w:highlight w:val="none"/>
        </w:rPr>
        <w:t>除专用术语外，与招标投标有关的语言均使用中文。必要时专用术语应附有中文注释。</w:t>
      </w:r>
    </w:p>
    <w:p w14:paraId="23DE56D7">
      <w:pPr>
        <w:pStyle w:val="4"/>
        <w:rPr>
          <w:color w:val="auto"/>
          <w:highlight w:val="none"/>
        </w:rPr>
      </w:pPr>
      <w:bookmarkStart w:id="177" w:name="_Toc389065153"/>
      <w:bookmarkStart w:id="178" w:name="_Toc1955419092"/>
      <w:bookmarkStart w:id="179" w:name="_Toc2701"/>
      <w:bookmarkStart w:id="180" w:name="_Toc407135086"/>
      <w:bookmarkStart w:id="181" w:name="_Toc78449630"/>
      <w:r>
        <w:rPr>
          <w:color w:val="auto"/>
          <w:highlight w:val="none"/>
        </w:rPr>
        <w:t xml:space="preserve">1.8 </w:t>
      </w:r>
      <w:r>
        <w:rPr>
          <w:rFonts w:hint="eastAsia" w:cs="黑体"/>
          <w:color w:val="auto"/>
          <w:highlight w:val="none"/>
        </w:rPr>
        <w:t>计量单位</w:t>
      </w:r>
      <w:bookmarkEnd w:id="177"/>
      <w:bookmarkEnd w:id="178"/>
      <w:bookmarkEnd w:id="179"/>
      <w:bookmarkEnd w:id="180"/>
      <w:bookmarkEnd w:id="181"/>
    </w:p>
    <w:p w14:paraId="0371764C">
      <w:pPr>
        <w:spacing w:line="360" w:lineRule="auto"/>
        <w:ind w:firstLine="420" w:firstLineChars="200"/>
        <w:rPr>
          <w:color w:val="auto"/>
          <w:highlight w:val="none"/>
        </w:rPr>
      </w:pPr>
      <w:r>
        <w:rPr>
          <w:rFonts w:hint="eastAsia" w:cs="宋体"/>
          <w:color w:val="auto"/>
          <w:highlight w:val="none"/>
        </w:rPr>
        <w:t>所有计量均采用中华人民共和国法定计量单位。</w:t>
      </w:r>
    </w:p>
    <w:p w14:paraId="342CDA3D">
      <w:pPr>
        <w:pStyle w:val="4"/>
        <w:rPr>
          <w:color w:val="auto"/>
          <w:highlight w:val="none"/>
        </w:rPr>
      </w:pPr>
      <w:bookmarkStart w:id="182" w:name="_Toc407135087"/>
      <w:bookmarkStart w:id="183" w:name="_Toc389065154"/>
      <w:bookmarkStart w:id="184" w:name="_Toc29869"/>
      <w:bookmarkStart w:id="185" w:name="_Toc1807317191"/>
      <w:bookmarkStart w:id="186" w:name="_Toc78449631"/>
      <w:r>
        <w:rPr>
          <w:color w:val="auto"/>
          <w:highlight w:val="none"/>
        </w:rPr>
        <w:t xml:space="preserve">1.9 </w:t>
      </w:r>
      <w:r>
        <w:rPr>
          <w:rFonts w:hint="eastAsia" w:cs="黑体"/>
          <w:color w:val="auto"/>
          <w:highlight w:val="none"/>
        </w:rPr>
        <w:t>踏勘现场</w:t>
      </w:r>
      <w:bookmarkEnd w:id="182"/>
      <w:bookmarkEnd w:id="183"/>
      <w:bookmarkEnd w:id="184"/>
      <w:bookmarkEnd w:id="185"/>
      <w:bookmarkEnd w:id="186"/>
    </w:p>
    <w:p w14:paraId="077C1838">
      <w:pPr>
        <w:spacing w:line="360" w:lineRule="auto"/>
        <w:ind w:firstLine="420" w:firstLineChars="200"/>
        <w:rPr>
          <w:color w:val="auto"/>
          <w:highlight w:val="none"/>
        </w:rPr>
      </w:pPr>
      <w:r>
        <w:rPr>
          <w:color w:val="auto"/>
          <w:highlight w:val="none"/>
        </w:rPr>
        <w:t xml:space="preserve">1.9.1 </w:t>
      </w:r>
      <w:r>
        <w:rPr>
          <w:rFonts w:hint="eastAsia" w:cs="宋体"/>
          <w:color w:val="auto"/>
          <w:highlight w:val="none"/>
        </w:rPr>
        <w:t>投标人根据需要自行踏勘项目现场。</w:t>
      </w:r>
    </w:p>
    <w:p w14:paraId="42D3D45B">
      <w:pPr>
        <w:spacing w:line="360" w:lineRule="auto"/>
        <w:ind w:firstLine="420" w:firstLineChars="200"/>
        <w:rPr>
          <w:color w:val="auto"/>
          <w:highlight w:val="none"/>
        </w:rPr>
      </w:pPr>
      <w:r>
        <w:rPr>
          <w:color w:val="auto"/>
          <w:highlight w:val="none"/>
        </w:rPr>
        <w:t xml:space="preserve">1.9.2 </w:t>
      </w:r>
      <w:r>
        <w:rPr>
          <w:rFonts w:hint="eastAsia" w:cs="宋体"/>
          <w:color w:val="auto"/>
          <w:highlight w:val="none"/>
        </w:rPr>
        <w:t>投标人踏勘现场发生的费用自理。</w:t>
      </w:r>
    </w:p>
    <w:p w14:paraId="5460BB43">
      <w:pPr>
        <w:spacing w:line="360" w:lineRule="auto"/>
        <w:ind w:firstLine="420" w:firstLineChars="200"/>
        <w:rPr>
          <w:color w:val="auto"/>
          <w:highlight w:val="none"/>
        </w:rPr>
      </w:pPr>
      <w:r>
        <w:rPr>
          <w:color w:val="auto"/>
          <w:highlight w:val="none"/>
        </w:rPr>
        <w:t xml:space="preserve">1.9.3 </w:t>
      </w:r>
      <w:r>
        <w:rPr>
          <w:rFonts w:hint="eastAsia" w:cs="宋体"/>
          <w:color w:val="auto"/>
          <w:highlight w:val="none"/>
        </w:rPr>
        <w:t>投标人自行负责在踏勘现场中所发生的人员伤亡和财产损失。</w:t>
      </w:r>
    </w:p>
    <w:p w14:paraId="2389F60E">
      <w:pPr>
        <w:pStyle w:val="4"/>
        <w:rPr>
          <w:color w:val="auto"/>
          <w:highlight w:val="none"/>
        </w:rPr>
      </w:pPr>
      <w:bookmarkStart w:id="187" w:name="_Toc407135088"/>
      <w:bookmarkStart w:id="188" w:name="_Toc14039"/>
      <w:bookmarkStart w:id="189" w:name="_Toc78449632"/>
      <w:bookmarkStart w:id="190" w:name="_Toc389065155"/>
      <w:bookmarkStart w:id="191" w:name="_Toc731134723"/>
      <w:r>
        <w:rPr>
          <w:color w:val="auto"/>
          <w:highlight w:val="none"/>
        </w:rPr>
        <w:t xml:space="preserve">1.10 </w:t>
      </w:r>
      <w:r>
        <w:rPr>
          <w:rFonts w:hint="eastAsia" w:cs="黑体"/>
          <w:color w:val="auto"/>
          <w:highlight w:val="none"/>
        </w:rPr>
        <w:t>投标预备会</w:t>
      </w:r>
      <w:bookmarkEnd w:id="187"/>
      <w:bookmarkEnd w:id="188"/>
      <w:bookmarkEnd w:id="189"/>
      <w:bookmarkEnd w:id="190"/>
      <w:bookmarkEnd w:id="191"/>
    </w:p>
    <w:p w14:paraId="522A9F91">
      <w:pPr>
        <w:spacing w:line="360" w:lineRule="auto"/>
        <w:ind w:firstLine="420" w:firstLineChars="200"/>
        <w:rPr>
          <w:color w:val="auto"/>
          <w:highlight w:val="none"/>
        </w:rPr>
      </w:pPr>
      <w:r>
        <w:rPr>
          <w:rFonts w:hint="eastAsia" w:cs="宋体"/>
          <w:color w:val="auto"/>
          <w:highlight w:val="none"/>
        </w:rPr>
        <w:t>不召开。</w:t>
      </w:r>
    </w:p>
    <w:p w14:paraId="643375C2">
      <w:pPr>
        <w:pStyle w:val="4"/>
        <w:rPr>
          <w:color w:val="auto"/>
          <w:highlight w:val="none"/>
        </w:rPr>
      </w:pPr>
      <w:bookmarkStart w:id="192" w:name="_Toc78449633"/>
      <w:bookmarkStart w:id="193" w:name="_Toc407135089"/>
      <w:bookmarkStart w:id="194" w:name="_Toc19880"/>
      <w:bookmarkStart w:id="195" w:name="_Toc696932422"/>
      <w:bookmarkStart w:id="196" w:name="_Toc389065156"/>
      <w:r>
        <w:rPr>
          <w:color w:val="auto"/>
          <w:highlight w:val="none"/>
        </w:rPr>
        <w:t xml:space="preserve">1.11 </w:t>
      </w:r>
      <w:r>
        <w:rPr>
          <w:rFonts w:hint="eastAsia" w:cs="黑体"/>
          <w:color w:val="auto"/>
          <w:highlight w:val="none"/>
        </w:rPr>
        <w:t>分包</w:t>
      </w:r>
      <w:bookmarkEnd w:id="192"/>
      <w:bookmarkEnd w:id="193"/>
      <w:bookmarkEnd w:id="194"/>
      <w:bookmarkEnd w:id="195"/>
      <w:bookmarkEnd w:id="196"/>
    </w:p>
    <w:p w14:paraId="62345051">
      <w:pPr>
        <w:spacing w:line="360" w:lineRule="auto"/>
        <w:ind w:firstLine="420" w:firstLineChars="200"/>
        <w:rPr>
          <w:color w:val="auto"/>
          <w:highlight w:val="none"/>
        </w:rPr>
      </w:pPr>
      <w:r>
        <w:rPr>
          <w:rFonts w:hint="eastAsia" w:cs="宋体"/>
          <w:color w:val="auto"/>
          <w:highlight w:val="none"/>
        </w:rPr>
        <w:t>投标人拟在中标后将中标项目的部分非主体、非关键性工作进行分包的，应符合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规定的分包内容、分包金额和接受分包的第三人资质要求等限制性条件。</w:t>
      </w:r>
    </w:p>
    <w:p w14:paraId="0526AC74">
      <w:pPr>
        <w:pStyle w:val="4"/>
        <w:rPr>
          <w:rFonts w:hint="eastAsia" w:cs="黑体"/>
          <w:color w:val="auto"/>
          <w:highlight w:val="none"/>
        </w:rPr>
      </w:pPr>
      <w:bookmarkStart w:id="197" w:name="_Toc5240"/>
      <w:bookmarkStart w:id="198" w:name="_Toc2142424211"/>
      <w:bookmarkStart w:id="199" w:name="_Toc389065157"/>
      <w:bookmarkStart w:id="200" w:name="_Toc78449634"/>
      <w:bookmarkStart w:id="201" w:name="_Toc407135090"/>
      <w:r>
        <w:rPr>
          <w:color w:val="auto"/>
          <w:highlight w:val="none"/>
        </w:rPr>
        <w:t xml:space="preserve">1.12 </w:t>
      </w:r>
      <w:r>
        <w:rPr>
          <w:rFonts w:hint="eastAsia" w:cs="黑体"/>
          <w:color w:val="auto"/>
          <w:highlight w:val="none"/>
        </w:rPr>
        <w:t>偏离</w:t>
      </w:r>
      <w:bookmarkEnd w:id="197"/>
      <w:bookmarkEnd w:id="198"/>
      <w:bookmarkEnd w:id="199"/>
      <w:bookmarkEnd w:id="200"/>
      <w:bookmarkEnd w:id="201"/>
    </w:p>
    <w:p w14:paraId="62D3FCC7">
      <w:pPr>
        <w:spacing w:line="360" w:lineRule="auto"/>
        <w:ind w:firstLine="420" w:firstLineChars="200"/>
        <w:rPr>
          <w:rFonts w:hint="eastAsia" w:cs="宋体"/>
          <w:color w:val="auto"/>
          <w:highlight w:val="none"/>
        </w:rPr>
      </w:pPr>
      <w:r>
        <w:rPr>
          <w:rFonts w:hint="eastAsia" w:cs="宋体"/>
          <w:color w:val="auto"/>
          <w:highlight w:val="none"/>
        </w:rPr>
        <w:t>不允许。</w:t>
      </w:r>
      <w:bookmarkStart w:id="202" w:name="_Toc78449635"/>
      <w:bookmarkStart w:id="203" w:name="_Toc389065158"/>
      <w:bookmarkStart w:id="204" w:name="_Toc407135091"/>
      <w:bookmarkStart w:id="205" w:name="_Toc926364345"/>
    </w:p>
    <w:p w14:paraId="1110675A">
      <w:pPr>
        <w:pStyle w:val="3"/>
        <w:rPr>
          <w:color w:val="auto"/>
          <w:highlight w:val="none"/>
        </w:rPr>
      </w:pPr>
    </w:p>
    <w:p w14:paraId="715CBD75">
      <w:pPr>
        <w:pStyle w:val="3"/>
        <w:rPr>
          <w:color w:val="auto"/>
          <w:highlight w:val="none"/>
        </w:rPr>
      </w:pPr>
      <w:bookmarkStart w:id="206" w:name="_Toc29871"/>
      <w:r>
        <w:rPr>
          <w:color w:val="auto"/>
          <w:highlight w:val="none"/>
        </w:rPr>
        <w:t xml:space="preserve">2 </w:t>
      </w:r>
      <w:r>
        <w:rPr>
          <w:rFonts w:hint="eastAsia" w:cs="黑体"/>
          <w:color w:val="auto"/>
          <w:highlight w:val="none"/>
        </w:rPr>
        <w:t>招标文件</w:t>
      </w:r>
      <w:bookmarkEnd w:id="202"/>
      <w:bookmarkEnd w:id="203"/>
      <w:bookmarkEnd w:id="204"/>
      <w:bookmarkEnd w:id="205"/>
      <w:bookmarkEnd w:id="206"/>
    </w:p>
    <w:p w14:paraId="212E9F00">
      <w:pPr>
        <w:pStyle w:val="4"/>
        <w:rPr>
          <w:color w:val="auto"/>
          <w:highlight w:val="none"/>
        </w:rPr>
      </w:pPr>
      <w:bookmarkStart w:id="207" w:name="_Toc389065159"/>
      <w:bookmarkStart w:id="208" w:name="_Toc407135092"/>
      <w:bookmarkStart w:id="209" w:name="_Toc2081801961"/>
      <w:bookmarkStart w:id="210" w:name="_Toc78449636"/>
      <w:bookmarkStart w:id="211" w:name="_Toc29381"/>
      <w:r>
        <w:rPr>
          <w:color w:val="auto"/>
          <w:highlight w:val="none"/>
        </w:rPr>
        <w:t xml:space="preserve">2.1 </w:t>
      </w:r>
      <w:r>
        <w:rPr>
          <w:rFonts w:hint="eastAsia" w:cs="黑体"/>
          <w:color w:val="auto"/>
          <w:highlight w:val="none"/>
        </w:rPr>
        <w:t>招标文件的组成</w:t>
      </w:r>
      <w:bookmarkEnd w:id="207"/>
      <w:bookmarkEnd w:id="208"/>
      <w:bookmarkEnd w:id="209"/>
      <w:bookmarkEnd w:id="210"/>
      <w:bookmarkEnd w:id="211"/>
    </w:p>
    <w:p w14:paraId="2B42B5BE">
      <w:pPr>
        <w:spacing w:line="360" w:lineRule="auto"/>
        <w:ind w:firstLine="420" w:firstLineChars="200"/>
        <w:rPr>
          <w:color w:val="auto"/>
          <w:highlight w:val="none"/>
        </w:rPr>
      </w:pPr>
      <w:r>
        <w:rPr>
          <w:color w:val="auto"/>
          <w:highlight w:val="none"/>
        </w:rPr>
        <w:t xml:space="preserve">2.1.1 </w:t>
      </w:r>
      <w:r>
        <w:rPr>
          <w:rFonts w:hint="eastAsia" w:cs="宋体"/>
          <w:color w:val="auto"/>
          <w:highlight w:val="none"/>
        </w:rPr>
        <w:t>本招标文件包括：</w:t>
      </w:r>
    </w:p>
    <w:p w14:paraId="69715301">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）招标公告（或投标邀请书）；</w:t>
      </w:r>
    </w:p>
    <w:p w14:paraId="616F7ABB">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）投标人须知；</w:t>
      </w:r>
    </w:p>
    <w:p w14:paraId="1DB1A6BA">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）评标办法；</w:t>
      </w:r>
    </w:p>
    <w:p w14:paraId="6CE234E5">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）合同条款及格式；</w:t>
      </w:r>
    </w:p>
    <w:p w14:paraId="7BD5150E">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）工程量清单（电子版，后缀名“</w:t>
      </w:r>
      <w:r>
        <w:rPr>
          <w:color w:val="auto"/>
          <w:highlight w:val="none"/>
        </w:rPr>
        <w:t>.gxzb</w:t>
      </w:r>
      <w:r>
        <w:rPr>
          <w:rFonts w:hint="eastAsia" w:cs="宋体"/>
          <w:color w:val="auto"/>
          <w:highlight w:val="none"/>
        </w:rPr>
        <w:t>”）；</w:t>
      </w:r>
    </w:p>
    <w:p w14:paraId="118BC579">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w:t>
      </w:r>
      <w:r>
        <w:rPr>
          <w:rFonts w:hint="eastAsia" w:cs="宋体"/>
          <w:color w:val="auto"/>
          <w:highlight w:val="none"/>
          <w:lang w:eastAsia="zh-CN"/>
        </w:rPr>
        <w:t>最高投标限价</w:t>
      </w:r>
      <w:r>
        <w:rPr>
          <w:rFonts w:hint="eastAsia" w:cs="宋体"/>
          <w:color w:val="auto"/>
          <w:highlight w:val="none"/>
        </w:rPr>
        <w:t>；</w:t>
      </w:r>
    </w:p>
    <w:p w14:paraId="7379C125">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）图纸（电子图，</w:t>
      </w:r>
      <w:r>
        <w:rPr>
          <w:color w:val="auto"/>
          <w:highlight w:val="none"/>
        </w:rPr>
        <w:t>RAR</w:t>
      </w:r>
      <w:r>
        <w:rPr>
          <w:rFonts w:hint="eastAsia" w:cs="宋体"/>
          <w:color w:val="auto"/>
          <w:highlight w:val="none"/>
        </w:rPr>
        <w:t>、</w:t>
      </w:r>
      <w:r>
        <w:rPr>
          <w:color w:val="auto"/>
          <w:highlight w:val="none"/>
        </w:rPr>
        <w:t>ZIP</w:t>
      </w:r>
      <w:r>
        <w:rPr>
          <w:rFonts w:hint="eastAsia" w:cs="宋体"/>
          <w:color w:val="auto"/>
          <w:highlight w:val="none"/>
        </w:rPr>
        <w:t>压缩文件）；</w:t>
      </w:r>
    </w:p>
    <w:p w14:paraId="09447DFB">
      <w:pPr>
        <w:spacing w:line="360" w:lineRule="auto"/>
        <w:ind w:firstLine="420" w:firstLineChars="200"/>
        <w:rPr>
          <w:color w:val="auto"/>
          <w:highlight w:val="none"/>
        </w:rPr>
      </w:pPr>
      <w:r>
        <w:rPr>
          <w:rFonts w:hint="eastAsia" w:cs="宋体"/>
          <w:color w:val="auto"/>
          <w:highlight w:val="none"/>
        </w:rPr>
        <w:t>（8）</w:t>
      </w:r>
      <w:r>
        <w:rPr>
          <w:rFonts w:hint="eastAsia"/>
          <w:color w:val="auto"/>
          <w:highlight w:val="none"/>
        </w:rPr>
        <w:t>危险性较大的分部分项工程清单（如有）；</w:t>
      </w:r>
    </w:p>
    <w:p w14:paraId="2F892C59">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9</w:t>
      </w:r>
      <w:r>
        <w:rPr>
          <w:rFonts w:hint="eastAsia" w:cs="宋体"/>
          <w:color w:val="auto"/>
          <w:highlight w:val="none"/>
        </w:rPr>
        <w:t>）技术标准和要求；</w:t>
      </w:r>
    </w:p>
    <w:p w14:paraId="4A5F8E16">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10</w:t>
      </w:r>
      <w:r>
        <w:rPr>
          <w:rFonts w:hint="eastAsia" w:cs="宋体"/>
          <w:color w:val="auto"/>
          <w:highlight w:val="none"/>
        </w:rPr>
        <w:t>）投标文件格式；</w:t>
      </w:r>
    </w:p>
    <w:p w14:paraId="6BE68CA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olor w:val="auto"/>
          <w:highlight w:val="none"/>
        </w:rPr>
        <w:t>1</w:t>
      </w:r>
      <w:r>
        <w:rPr>
          <w:rFonts w:hint="eastAsia" w:cs="宋体"/>
          <w:color w:val="auto"/>
          <w:highlight w:val="none"/>
        </w:rPr>
        <w:t>）</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规定的其他材料。</w:t>
      </w:r>
    </w:p>
    <w:p w14:paraId="59F60A18">
      <w:pPr>
        <w:spacing w:line="360" w:lineRule="auto"/>
        <w:ind w:firstLine="420" w:firstLineChars="200"/>
        <w:rPr>
          <w:color w:val="auto"/>
          <w:highlight w:val="none"/>
        </w:rPr>
      </w:pPr>
      <w:r>
        <w:rPr>
          <w:color w:val="auto"/>
          <w:highlight w:val="none"/>
        </w:rPr>
        <w:t xml:space="preserve">2.1.2 </w:t>
      </w:r>
      <w:r>
        <w:rPr>
          <w:rFonts w:hint="eastAsia" w:cs="宋体"/>
          <w:color w:val="auto"/>
          <w:highlight w:val="none"/>
        </w:rPr>
        <w:t>根据本章第</w:t>
      </w:r>
      <w:r>
        <w:rPr>
          <w:color w:val="auto"/>
          <w:highlight w:val="none"/>
        </w:rPr>
        <w:t>2.2</w:t>
      </w:r>
      <w:r>
        <w:rPr>
          <w:rFonts w:hint="eastAsia" w:cs="宋体"/>
          <w:color w:val="auto"/>
          <w:highlight w:val="none"/>
        </w:rPr>
        <w:t>款和第</w:t>
      </w:r>
      <w:r>
        <w:rPr>
          <w:color w:val="auto"/>
          <w:highlight w:val="none"/>
        </w:rPr>
        <w:t>2.3</w:t>
      </w:r>
      <w:r>
        <w:rPr>
          <w:rFonts w:hint="eastAsia" w:cs="宋体"/>
          <w:color w:val="auto"/>
          <w:highlight w:val="none"/>
        </w:rPr>
        <w:t>款对招标文件所作的澄清、修改，构成招标文件的组成部分。</w:t>
      </w:r>
      <w:r>
        <w:rPr>
          <w:rFonts w:hint="eastAsia" w:hAnsi="宋体" w:cs="宋体"/>
          <w:color w:val="auto"/>
          <w:highlight w:val="none"/>
        </w:rPr>
        <w:t>当招标文件及其澄清、修改或补充文件</w:t>
      </w:r>
      <w:r>
        <w:rPr>
          <w:rFonts w:hint="eastAsia" w:hAnsi="宋体" w:cs="宋体"/>
          <w:color w:val="auto"/>
          <w:highlight w:val="none"/>
          <w:lang w:eastAsia="zh-CN"/>
        </w:rPr>
        <w:t>对</w:t>
      </w:r>
      <w:r>
        <w:rPr>
          <w:rFonts w:hint="eastAsia" w:hAnsi="宋体" w:cs="宋体"/>
          <w:color w:val="auto"/>
          <w:highlight w:val="none"/>
        </w:rPr>
        <w:t>同一内容表述不一致时，以最后发出的书面文件为准。</w:t>
      </w:r>
    </w:p>
    <w:p w14:paraId="038C67AF">
      <w:pPr>
        <w:pStyle w:val="4"/>
        <w:rPr>
          <w:color w:val="auto"/>
          <w:highlight w:val="none"/>
        </w:rPr>
      </w:pPr>
      <w:bookmarkStart w:id="212" w:name="_Toc632058455"/>
      <w:bookmarkStart w:id="213" w:name="_Toc389065160"/>
      <w:bookmarkStart w:id="214" w:name="_Toc407135093"/>
      <w:bookmarkStart w:id="215" w:name="_Toc9797"/>
      <w:bookmarkStart w:id="216" w:name="_Toc78449637"/>
      <w:r>
        <w:rPr>
          <w:color w:val="auto"/>
          <w:highlight w:val="none"/>
        </w:rPr>
        <w:t xml:space="preserve">2.2 </w:t>
      </w:r>
      <w:r>
        <w:rPr>
          <w:rFonts w:hint="eastAsia" w:cs="黑体"/>
          <w:color w:val="auto"/>
          <w:highlight w:val="none"/>
        </w:rPr>
        <w:t>招标文件的澄清</w:t>
      </w:r>
      <w:bookmarkEnd w:id="212"/>
      <w:bookmarkEnd w:id="213"/>
      <w:bookmarkEnd w:id="214"/>
      <w:bookmarkEnd w:id="215"/>
      <w:bookmarkEnd w:id="216"/>
    </w:p>
    <w:p w14:paraId="33996F7A">
      <w:pPr>
        <w:spacing w:line="360" w:lineRule="auto"/>
        <w:ind w:firstLine="420" w:firstLineChars="200"/>
        <w:rPr>
          <w:color w:val="auto"/>
          <w:highlight w:val="none"/>
        </w:rPr>
      </w:pPr>
      <w:r>
        <w:rPr>
          <w:color w:val="auto"/>
          <w:highlight w:val="none"/>
        </w:rPr>
        <w:t xml:space="preserve">2.2.1 </w:t>
      </w:r>
      <w:r>
        <w:rPr>
          <w:rFonts w:hint="eastAsia" w:hAnsi="宋体" w:cs="宋体"/>
          <w:color w:val="auto"/>
          <w:highlight w:val="none"/>
        </w:rPr>
        <w:t>投标人应仔细阅读和检查招标文件的全部内容，如有疑问或异议，应在投标人须知前附表规定的时间前通过全国公共资源交易平台（广西壮族自治区）</w:t>
      </w:r>
      <w:r>
        <w:rPr>
          <w:rFonts w:hint="eastAsia" w:cs="宋体"/>
          <w:color w:val="auto"/>
          <w:highlight w:val="none"/>
        </w:rPr>
        <w:t>进行网上或</w:t>
      </w:r>
      <w:r>
        <w:rPr>
          <w:rFonts w:cs="宋体"/>
          <w:color w:val="auto"/>
          <w:highlight w:val="none"/>
        </w:rPr>
        <w:t>线下</w:t>
      </w:r>
      <w:r>
        <w:rPr>
          <w:rFonts w:hint="eastAsia" w:cs="宋体"/>
          <w:color w:val="auto"/>
          <w:highlight w:val="none"/>
        </w:rPr>
        <w:t>投标询疑，</w:t>
      </w:r>
      <w:r>
        <w:rPr>
          <w:rFonts w:hint="eastAsia" w:hAnsi="宋体" w:cs="宋体"/>
          <w:color w:val="auto"/>
          <w:highlight w:val="none"/>
        </w:rPr>
        <w:t>要求招标人（招标代理）对招标文件予以澄清。</w:t>
      </w:r>
    </w:p>
    <w:p w14:paraId="475D2869">
      <w:pPr>
        <w:spacing w:line="360" w:lineRule="auto"/>
        <w:ind w:firstLine="420" w:firstLineChars="200"/>
        <w:rPr>
          <w:rFonts w:hAnsi="宋体"/>
          <w:color w:val="auto"/>
          <w:highlight w:val="none"/>
        </w:rPr>
      </w:pPr>
      <w:r>
        <w:rPr>
          <w:color w:val="auto"/>
          <w:highlight w:val="none"/>
        </w:rPr>
        <w:t xml:space="preserve">2.2.2 </w:t>
      </w:r>
      <w:r>
        <w:rPr>
          <w:rFonts w:hint="eastAsia" w:cs="宋体"/>
          <w:color w:val="auto"/>
          <w:highlight w:val="none"/>
        </w:rPr>
        <w:t>招标人对</w:t>
      </w:r>
      <w:r>
        <w:rPr>
          <w:rFonts w:hint="eastAsia" w:hAnsi="宋体" w:cs="宋体"/>
          <w:color w:val="auto"/>
          <w:highlight w:val="none"/>
        </w:rPr>
        <w:t>招标文件的澄清将在“投标人须知前附表”规定的投标截止时间</w:t>
      </w:r>
      <w:r>
        <w:rPr>
          <w:color w:val="auto"/>
          <w:highlight w:val="none"/>
        </w:rPr>
        <w:t>15</w:t>
      </w:r>
      <w:r>
        <w:rPr>
          <w:rFonts w:hint="eastAsia" w:hAnsi="宋体" w:cs="宋体"/>
          <w:color w:val="auto"/>
          <w:highlight w:val="none"/>
        </w:rPr>
        <w:t>日前</w:t>
      </w:r>
      <w:r>
        <w:rPr>
          <w:rFonts w:hint="eastAsia" w:cs="宋体"/>
          <w:color w:val="auto"/>
          <w:highlight w:val="none"/>
        </w:rPr>
        <w:t>（不涉及招标文件实质性内容修改的除外）</w:t>
      </w:r>
      <w:r>
        <w:rPr>
          <w:rFonts w:hint="eastAsia" w:ascii="仿宋_GB2312" w:hAnsi="宋体"/>
          <w:color w:val="auto"/>
          <w:highlight w:val="none"/>
        </w:rPr>
        <w:t>以“投标人须知前附表”规定的方式发布，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2AF2EB25">
      <w:pPr>
        <w:spacing w:line="360" w:lineRule="auto"/>
        <w:ind w:firstLine="420" w:firstLineChars="200"/>
        <w:rPr>
          <w:color w:val="auto"/>
          <w:highlight w:val="none"/>
        </w:rPr>
      </w:pPr>
      <w:r>
        <w:rPr>
          <w:rFonts w:hAnsi="宋体"/>
          <w:color w:val="auto"/>
          <w:highlight w:val="none"/>
        </w:rPr>
        <w:t>2.2.3</w:t>
      </w:r>
      <w:r>
        <w:rPr>
          <w:rFonts w:hint="eastAsia" w:hAnsi="宋体" w:cs="宋体"/>
          <w:color w:val="auto"/>
          <w:highlight w:val="none"/>
        </w:rPr>
        <w:t>投标人确认收到澄清的方式：</w:t>
      </w:r>
      <w:r>
        <w:rPr>
          <w:rFonts w:hint="eastAsia" w:cs="宋体"/>
          <w:color w:val="auto"/>
          <w:highlight w:val="none"/>
        </w:rPr>
        <w:t>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40A566B8">
      <w:pPr>
        <w:pStyle w:val="4"/>
        <w:rPr>
          <w:color w:val="auto"/>
          <w:highlight w:val="none"/>
        </w:rPr>
      </w:pPr>
      <w:bookmarkStart w:id="217" w:name="_Toc78449638"/>
      <w:bookmarkStart w:id="218" w:name="_Toc602721129"/>
      <w:bookmarkStart w:id="219" w:name="_Toc389065161"/>
      <w:bookmarkStart w:id="220" w:name="_Toc14386"/>
      <w:bookmarkStart w:id="221" w:name="_Toc407135094"/>
      <w:r>
        <w:rPr>
          <w:color w:val="auto"/>
          <w:highlight w:val="none"/>
        </w:rPr>
        <w:t xml:space="preserve">2.3 </w:t>
      </w:r>
      <w:r>
        <w:rPr>
          <w:rFonts w:hint="eastAsia" w:cs="黑体"/>
          <w:color w:val="auto"/>
          <w:highlight w:val="none"/>
        </w:rPr>
        <w:t>招标文件的修改</w:t>
      </w:r>
      <w:bookmarkEnd w:id="217"/>
      <w:bookmarkEnd w:id="218"/>
      <w:bookmarkEnd w:id="219"/>
      <w:bookmarkEnd w:id="220"/>
      <w:bookmarkEnd w:id="221"/>
    </w:p>
    <w:p w14:paraId="46352324">
      <w:pPr>
        <w:spacing w:line="360" w:lineRule="auto"/>
        <w:ind w:firstLine="420" w:firstLineChars="200"/>
        <w:rPr>
          <w:color w:val="auto"/>
          <w:highlight w:val="none"/>
        </w:rPr>
      </w:pPr>
      <w:r>
        <w:rPr>
          <w:color w:val="auto"/>
          <w:highlight w:val="none"/>
        </w:rPr>
        <w:t xml:space="preserve">2.3.1 </w:t>
      </w:r>
      <w:r>
        <w:rPr>
          <w:rFonts w:hint="eastAsia" w:hAnsi="宋体" w:cs="宋体"/>
          <w:color w:val="auto"/>
          <w:highlight w:val="none"/>
        </w:rPr>
        <w:t>在投标截止时间</w:t>
      </w:r>
      <w:r>
        <w:rPr>
          <w:color w:val="auto"/>
          <w:highlight w:val="none"/>
        </w:rPr>
        <w:t>15</w:t>
      </w:r>
      <w:r>
        <w:rPr>
          <w:rFonts w:hint="eastAsia" w:hAnsi="宋体" w:cs="宋体"/>
          <w:color w:val="auto"/>
          <w:highlight w:val="none"/>
        </w:rPr>
        <w:t>日前，招标人可以对招标文件进行修改，如修改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招标人应将修改后的招标文件重新上传并通过全国公共资源交易平台（广西壮族自治区）通知所有下载</w:t>
      </w:r>
      <w:r>
        <w:rPr>
          <w:rFonts w:hAnsi="宋体" w:cs="宋体"/>
          <w:color w:val="auto"/>
          <w:highlight w:val="none"/>
        </w:rPr>
        <w:t>了招标文件的</w:t>
      </w:r>
      <w:r>
        <w:rPr>
          <w:rFonts w:hint="eastAsia" w:hAnsi="宋体" w:cs="宋体"/>
          <w:color w:val="auto"/>
          <w:highlight w:val="none"/>
        </w:rPr>
        <w:t>投标人，投标人应按修改后的招标文件制作投标文件。如果修改招标文件的时间距投标截止时间不足</w:t>
      </w:r>
      <w:r>
        <w:rPr>
          <w:color w:val="auto"/>
          <w:highlight w:val="none"/>
        </w:rPr>
        <w:t>15</w:t>
      </w:r>
      <w:r>
        <w:rPr>
          <w:rFonts w:hint="eastAsia" w:hAnsi="宋体" w:cs="宋体"/>
          <w:color w:val="auto"/>
          <w:highlight w:val="none"/>
        </w:rPr>
        <w:t>日，相应延长投标截止时间。</w:t>
      </w:r>
    </w:p>
    <w:p w14:paraId="6FA546EC">
      <w:pPr>
        <w:spacing w:line="360" w:lineRule="auto"/>
        <w:ind w:firstLine="420" w:firstLineChars="200"/>
        <w:rPr>
          <w:color w:val="auto"/>
          <w:highlight w:val="none"/>
        </w:rPr>
      </w:pPr>
      <w:r>
        <w:rPr>
          <w:color w:val="auto"/>
          <w:highlight w:val="none"/>
        </w:rPr>
        <w:t>2.3.2 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p>
    <w:p w14:paraId="7F23960D">
      <w:pPr>
        <w:spacing w:line="360" w:lineRule="auto"/>
        <w:ind w:firstLine="420" w:firstLineChars="200"/>
        <w:rPr>
          <w:color w:val="auto"/>
          <w:highlight w:val="none"/>
        </w:rPr>
      </w:pPr>
      <w:r>
        <w:rPr>
          <w:color w:val="auto"/>
          <w:highlight w:val="none"/>
        </w:rPr>
        <w:t>招标人应根据系统发布的更正、</w:t>
      </w:r>
      <w:r>
        <w:rPr>
          <w:rFonts w:hint="eastAsia"/>
          <w:color w:val="auto"/>
          <w:highlight w:val="none"/>
        </w:rPr>
        <w:t>补遗</w:t>
      </w:r>
      <w:r>
        <w:rPr>
          <w:color w:val="auto"/>
          <w:highlight w:val="none"/>
        </w:rPr>
        <w:t>、澄清重新生成招标文件。除更正、</w:t>
      </w:r>
      <w:r>
        <w:rPr>
          <w:rFonts w:hint="eastAsia"/>
          <w:color w:val="auto"/>
          <w:highlight w:val="none"/>
        </w:rPr>
        <w:t>补遗</w:t>
      </w:r>
      <w:r>
        <w:rPr>
          <w:color w:val="auto"/>
          <w:highlight w:val="none"/>
        </w:rPr>
        <w:t xml:space="preserve">、澄清内容外，其他内容以原招标文件为准。 </w:t>
      </w:r>
    </w:p>
    <w:p w14:paraId="14A4D687">
      <w:pPr>
        <w:pStyle w:val="150"/>
        <w:snapToGrid w:val="0"/>
        <w:spacing w:line="360" w:lineRule="auto"/>
        <w:ind w:firstLine="420" w:firstLineChars="200"/>
        <w:rPr>
          <w:rFonts w:hAnsi="宋体"/>
          <w:color w:val="auto"/>
          <w:sz w:val="21"/>
          <w:szCs w:val="21"/>
          <w:highlight w:val="none"/>
        </w:rPr>
      </w:pPr>
      <w:r>
        <w:rPr>
          <w:color w:val="auto"/>
          <w:sz w:val="21"/>
          <w:szCs w:val="21"/>
          <w:highlight w:val="none"/>
        </w:rPr>
        <w:t xml:space="preserve">2.3.3 </w:t>
      </w:r>
      <w:r>
        <w:rPr>
          <w:rFonts w:hint="eastAsia" w:hAnsi="宋体" w:cs="宋体"/>
          <w:color w:val="auto"/>
          <w:sz w:val="21"/>
          <w:szCs w:val="21"/>
          <w:highlight w:val="none"/>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highlight w:val="none"/>
        </w:rPr>
        <w:t xml:space="preserve"> </w:t>
      </w:r>
    </w:p>
    <w:p w14:paraId="51BB8DDC">
      <w:pPr>
        <w:spacing w:line="360" w:lineRule="auto"/>
        <w:ind w:firstLine="420" w:firstLineChars="200"/>
        <w:rPr>
          <w:color w:val="auto"/>
          <w:highlight w:val="none"/>
        </w:rPr>
      </w:pPr>
      <w:r>
        <w:rPr>
          <w:rFonts w:hAnsi="宋体"/>
          <w:color w:val="auto"/>
          <w:highlight w:val="none"/>
        </w:rPr>
        <w:t xml:space="preserve">2.3.4 </w:t>
      </w:r>
      <w:r>
        <w:rPr>
          <w:rFonts w:hint="eastAsia" w:hAnsi="宋体" w:cs="宋体"/>
          <w:color w:val="auto"/>
          <w:highlight w:val="none"/>
        </w:rPr>
        <w:t>招标文件的修改或补充报招标管理机构备案后，在全国公共资源交易平台（广西壮族自治区）上进行发布。招标文件的修改内容作为招标文件的组成部分，具有约束作用。</w:t>
      </w:r>
      <w:r>
        <w:rPr>
          <w:color w:val="auto"/>
          <w:highlight w:val="none"/>
        </w:rPr>
        <w:t xml:space="preserve">  </w:t>
      </w:r>
    </w:p>
    <w:p w14:paraId="120DC985">
      <w:pPr>
        <w:pStyle w:val="3"/>
        <w:rPr>
          <w:color w:val="auto"/>
          <w:highlight w:val="none"/>
        </w:rPr>
      </w:pPr>
      <w:bookmarkStart w:id="222" w:name="_Toc78449639"/>
      <w:bookmarkStart w:id="223" w:name="_Toc407135095"/>
      <w:bookmarkStart w:id="224" w:name="_Toc1188942385"/>
      <w:bookmarkStart w:id="225" w:name="_Toc1314"/>
      <w:bookmarkStart w:id="226" w:name="_Toc389065162"/>
      <w:r>
        <w:rPr>
          <w:color w:val="auto"/>
          <w:highlight w:val="none"/>
        </w:rPr>
        <w:t xml:space="preserve">3 </w:t>
      </w:r>
      <w:r>
        <w:rPr>
          <w:rFonts w:hint="eastAsia" w:cs="黑体"/>
          <w:color w:val="auto"/>
          <w:highlight w:val="none"/>
        </w:rPr>
        <w:t>投标文件</w:t>
      </w:r>
      <w:bookmarkEnd w:id="222"/>
      <w:bookmarkEnd w:id="223"/>
      <w:bookmarkEnd w:id="224"/>
      <w:bookmarkEnd w:id="225"/>
      <w:bookmarkEnd w:id="226"/>
    </w:p>
    <w:p w14:paraId="5AC044B0">
      <w:pPr>
        <w:pStyle w:val="4"/>
        <w:rPr>
          <w:color w:val="auto"/>
          <w:highlight w:val="none"/>
        </w:rPr>
      </w:pPr>
      <w:bookmarkStart w:id="227" w:name="_Toc78449640"/>
      <w:bookmarkStart w:id="228" w:name="_Toc11444"/>
      <w:bookmarkStart w:id="229" w:name="_Toc1204884710"/>
      <w:bookmarkStart w:id="230" w:name="_Toc407135096"/>
      <w:bookmarkStart w:id="231" w:name="_Toc389065163"/>
      <w:r>
        <w:rPr>
          <w:color w:val="auto"/>
          <w:highlight w:val="none"/>
        </w:rPr>
        <w:t xml:space="preserve">3.1 </w:t>
      </w:r>
      <w:r>
        <w:rPr>
          <w:rFonts w:hint="eastAsia" w:cs="黑体"/>
          <w:color w:val="auto"/>
          <w:highlight w:val="none"/>
        </w:rPr>
        <w:t>投标文件的组成</w:t>
      </w:r>
      <w:bookmarkEnd w:id="227"/>
      <w:bookmarkEnd w:id="228"/>
      <w:bookmarkEnd w:id="229"/>
      <w:bookmarkEnd w:id="230"/>
      <w:bookmarkEnd w:id="231"/>
    </w:p>
    <w:p w14:paraId="2DF51FF5">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投标文件应包括下列内容：</w:t>
      </w:r>
    </w:p>
    <w:p w14:paraId="172B7A21">
      <w:pPr>
        <w:spacing w:line="360" w:lineRule="auto"/>
        <w:ind w:firstLine="420" w:firstLineChars="200"/>
        <w:rPr>
          <w:color w:val="auto"/>
          <w:highlight w:val="none"/>
        </w:rPr>
      </w:pPr>
      <w:r>
        <w:rPr>
          <w:rFonts w:hint="eastAsia" w:cs="宋体"/>
          <w:color w:val="auto"/>
          <w:highlight w:val="none"/>
        </w:rPr>
        <w:t>3.1.1.</w:t>
      </w:r>
      <w:r>
        <w:rPr>
          <w:color w:val="auto"/>
          <w:highlight w:val="none"/>
        </w:rPr>
        <w:t>1</w:t>
      </w:r>
      <w:r>
        <w:rPr>
          <w:rFonts w:hint="eastAsia" w:cs="宋体"/>
          <w:color w:val="auto"/>
          <w:highlight w:val="none"/>
        </w:rPr>
        <w:t>资格审查部分：具体材料见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05495B24">
      <w:pPr>
        <w:spacing w:line="360" w:lineRule="auto"/>
        <w:ind w:firstLine="420" w:firstLineChars="200"/>
        <w:rPr>
          <w:color w:val="auto"/>
          <w:highlight w:val="none"/>
        </w:rPr>
      </w:pPr>
      <w:r>
        <w:rPr>
          <w:rFonts w:hint="eastAsia" w:cs="宋体"/>
          <w:color w:val="auto"/>
          <w:highlight w:val="none"/>
        </w:rPr>
        <w:t>3.1.1.</w:t>
      </w:r>
      <w:r>
        <w:rPr>
          <w:color w:val="auto"/>
          <w:highlight w:val="none"/>
        </w:rPr>
        <w:t>2</w:t>
      </w:r>
      <w:r>
        <w:rPr>
          <w:rFonts w:hint="eastAsia" w:cs="宋体"/>
          <w:color w:val="auto"/>
          <w:highlight w:val="none"/>
        </w:rPr>
        <w:t>商务标部分：具体材料见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2E1B5B8B">
      <w:pPr>
        <w:spacing w:line="360" w:lineRule="auto"/>
        <w:ind w:firstLine="420" w:firstLineChars="200"/>
        <w:rPr>
          <w:rFonts w:cs="宋体"/>
          <w:color w:val="auto"/>
          <w:highlight w:val="none"/>
        </w:rPr>
      </w:pPr>
      <w:r>
        <w:rPr>
          <w:rFonts w:hint="eastAsia" w:cs="宋体"/>
          <w:color w:val="auto"/>
          <w:highlight w:val="none"/>
        </w:rPr>
        <w:t>3.1.1.</w:t>
      </w:r>
      <w:r>
        <w:rPr>
          <w:color w:val="auto"/>
          <w:highlight w:val="none"/>
        </w:rPr>
        <w:t>3</w:t>
      </w:r>
      <w:r>
        <w:rPr>
          <w:rFonts w:hint="eastAsia" w:cs="宋体"/>
          <w:color w:val="auto"/>
          <w:highlight w:val="none"/>
        </w:rPr>
        <w:t>技术标部分：具体材料见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olor w:val="auto"/>
          <w:highlight w:val="none"/>
        </w:rPr>
        <w:t>，其中</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3D0DDFCE">
      <w:pPr>
        <w:spacing w:line="360" w:lineRule="auto"/>
        <w:ind w:firstLine="420" w:firstLineChars="200"/>
        <w:rPr>
          <w:rFonts w:hint="eastAsia" w:eastAsia="宋体"/>
          <w:color w:val="auto"/>
          <w:highlight w:val="none"/>
          <w:lang w:eastAsia="zh-CN"/>
        </w:rPr>
      </w:pPr>
      <w:r>
        <w:rPr>
          <w:rFonts w:hint="eastAsia"/>
          <w:color w:val="auto"/>
          <w:highlight w:val="none"/>
        </w:rPr>
        <w:t>（1）概述</w:t>
      </w:r>
      <w:r>
        <w:rPr>
          <w:rFonts w:hint="eastAsia"/>
          <w:color w:val="auto"/>
          <w:highlight w:val="none"/>
          <w:lang w:eastAsia="zh-CN"/>
        </w:rPr>
        <w:t>；</w:t>
      </w:r>
    </w:p>
    <w:p w14:paraId="640EF9CF">
      <w:pPr>
        <w:spacing w:line="360" w:lineRule="auto"/>
        <w:ind w:firstLine="420" w:firstLineChars="200"/>
        <w:rPr>
          <w:rFonts w:hint="eastAsia"/>
          <w:color w:val="auto"/>
          <w:highlight w:val="none"/>
        </w:rPr>
      </w:pPr>
      <w:r>
        <w:rPr>
          <w:rFonts w:hint="eastAsia"/>
          <w:color w:val="auto"/>
          <w:highlight w:val="none"/>
        </w:rPr>
        <w:t>（2）主要施工方法；</w:t>
      </w:r>
    </w:p>
    <w:p w14:paraId="422BE0D8">
      <w:pPr>
        <w:spacing w:line="360" w:lineRule="auto"/>
        <w:ind w:firstLine="420" w:firstLineChars="200"/>
        <w:rPr>
          <w:rFonts w:hint="eastAsia" w:eastAsia="宋体"/>
          <w:color w:val="auto"/>
          <w:highlight w:val="none"/>
          <w:lang w:eastAsia="zh-CN"/>
        </w:rPr>
      </w:pPr>
      <w:r>
        <w:rPr>
          <w:rFonts w:hint="eastAsia"/>
          <w:color w:val="auto"/>
          <w:highlight w:val="none"/>
        </w:rPr>
        <w:t>（3）拟投入的主要物资计划</w:t>
      </w:r>
      <w:r>
        <w:rPr>
          <w:rFonts w:hint="eastAsia"/>
          <w:color w:val="auto"/>
          <w:highlight w:val="none"/>
          <w:lang w:eastAsia="zh-CN"/>
        </w:rPr>
        <w:t>；</w:t>
      </w:r>
    </w:p>
    <w:p w14:paraId="6CC34894">
      <w:pPr>
        <w:spacing w:line="360" w:lineRule="auto"/>
        <w:ind w:firstLine="420" w:firstLineChars="200"/>
        <w:rPr>
          <w:rFonts w:hint="eastAsia"/>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6FC1977A">
      <w:pPr>
        <w:spacing w:line="360" w:lineRule="auto"/>
        <w:ind w:firstLine="420" w:firstLineChars="200"/>
        <w:rPr>
          <w:rFonts w:hint="eastAsia"/>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493249AC">
      <w:pPr>
        <w:spacing w:line="360" w:lineRule="auto"/>
        <w:ind w:firstLine="420" w:firstLineChars="200"/>
        <w:rPr>
          <w:rFonts w:hint="eastAsia"/>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7879F3D5">
      <w:pPr>
        <w:spacing w:line="360" w:lineRule="auto"/>
        <w:ind w:firstLine="420" w:firstLineChars="200"/>
        <w:rPr>
          <w:rFonts w:hint="eastAsia"/>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4C86675F">
      <w:pPr>
        <w:spacing w:line="360" w:lineRule="auto"/>
        <w:ind w:firstLine="420" w:firstLineChars="200"/>
        <w:rPr>
          <w:rFonts w:hint="eastAsia"/>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6BE007A4">
      <w:pPr>
        <w:spacing w:line="360" w:lineRule="auto"/>
        <w:ind w:firstLine="420" w:firstLineChars="200"/>
        <w:rPr>
          <w:rFonts w:hint="eastAsia"/>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259433EC">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4FDAA2B0">
      <w:pPr>
        <w:spacing w:line="360" w:lineRule="auto"/>
        <w:ind w:firstLine="420" w:firstLineChars="200"/>
        <w:rPr>
          <w:rFonts w:hint="eastAsia"/>
          <w:color w:val="auto"/>
          <w:highlight w:val="none"/>
        </w:rPr>
      </w:pPr>
      <w:r>
        <w:rPr>
          <w:rFonts w:hint="eastAsia"/>
          <w:color w:val="auto"/>
          <w:highlight w:val="none"/>
        </w:rPr>
        <w:t>（1</w:t>
      </w:r>
      <w:r>
        <w:rPr>
          <w:color w:val="auto"/>
          <w:highlight w:val="none"/>
        </w:rPr>
        <w:t>1</w:t>
      </w:r>
      <w:r>
        <w:rPr>
          <w:rFonts w:hint="eastAsia"/>
          <w:color w:val="auto"/>
          <w:highlight w:val="none"/>
        </w:rPr>
        <w:t>）其他</w:t>
      </w:r>
      <w:r>
        <w:rPr>
          <w:rFonts w:hint="eastAsia"/>
          <w:color w:val="auto"/>
          <w:highlight w:val="none"/>
          <w:lang w:eastAsia="zh-CN"/>
        </w:rPr>
        <w:t>。</w:t>
      </w:r>
      <w:r>
        <w:rPr>
          <w:rFonts w:hint="eastAsia"/>
          <w:color w:val="auto"/>
          <w:highlight w:val="none"/>
        </w:rPr>
        <w:t>（</w:t>
      </w:r>
      <w:r>
        <w:rPr>
          <w:color w:val="auto"/>
          <w:highlight w:val="none"/>
        </w:rPr>
        <w:t>如有）</w:t>
      </w:r>
      <w:r>
        <w:rPr>
          <w:rFonts w:hint="eastAsia"/>
          <w:color w:val="auto"/>
          <w:highlight w:val="none"/>
        </w:rPr>
        <w:t>（与评标</w:t>
      </w:r>
      <w:r>
        <w:rPr>
          <w:color w:val="auto"/>
          <w:highlight w:val="none"/>
        </w:rPr>
        <w:t>办法</w:t>
      </w:r>
      <w:r>
        <w:rPr>
          <w:rFonts w:hint="eastAsia"/>
          <w:color w:val="auto"/>
          <w:highlight w:val="none"/>
        </w:rPr>
        <w:t>前</w:t>
      </w:r>
      <w:r>
        <w:rPr>
          <w:color w:val="auto"/>
          <w:highlight w:val="none"/>
        </w:rPr>
        <w:t>附表技术标评分标准一致</w:t>
      </w:r>
      <w:r>
        <w:rPr>
          <w:rFonts w:hint="eastAsia"/>
          <w:color w:val="auto"/>
          <w:highlight w:val="none"/>
        </w:rPr>
        <w:t>）</w:t>
      </w:r>
    </w:p>
    <w:p w14:paraId="542D3AB3">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招标文件</w:t>
      </w:r>
      <w:r>
        <w:rPr>
          <w:color w:val="auto"/>
          <w:highlight w:val="none"/>
        </w:rPr>
        <w:t>“</w:t>
      </w:r>
      <w:r>
        <w:rPr>
          <w:rFonts w:hint="eastAsia" w:cs="宋体"/>
          <w:color w:val="auto"/>
          <w:highlight w:val="none"/>
        </w:rPr>
        <w:t>第九章</w:t>
      </w:r>
      <w:r>
        <w:rPr>
          <w:color w:val="auto"/>
          <w:highlight w:val="none"/>
        </w:rPr>
        <w:t xml:space="preserve"> </w:t>
      </w:r>
      <w:r>
        <w:rPr>
          <w:rFonts w:hint="eastAsia" w:cs="宋体"/>
          <w:color w:val="auto"/>
          <w:highlight w:val="none"/>
        </w:rPr>
        <w:t>投标文件格式</w:t>
      </w:r>
      <w:r>
        <w:rPr>
          <w:color w:val="auto"/>
          <w:highlight w:val="none"/>
        </w:rPr>
        <w:t>”</w:t>
      </w:r>
      <w:r>
        <w:rPr>
          <w:rFonts w:hint="eastAsia" w:cs="宋体"/>
          <w:color w:val="auto"/>
          <w:highlight w:val="none"/>
        </w:rPr>
        <w:t>有规定格式要求的，投标人应按规定的格式填写并按要求提交相关的证明材料。</w:t>
      </w:r>
    </w:p>
    <w:p w14:paraId="599FC0F3">
      <w:pPr>
        <w:spacing w:line="360" w:lineRule="auto"/>
        <w:ind w:firstLine="420" w:firstLineChars="200"/>
        <w:rPr>
          <w:color w:val="auto"/>
          <w:highlight w:val="none"/>
        </w:rPr>
      </w:pPr>
      <w:r>
        <w:rPr>
          <w:color w:val="auto"/>
          <w:highlight w:val="none"/>
        </w:rPr>
        <w:t>3.1.3 “</w:t>
      </w:r>
      <w:r>
        <w:rPr>
          <w:rFonts w:hint="eastAsia" w:cs="宋体"/>
          <w:color w:val="auto"/>
          <w:highlight w:val="none"/>
        </w:rPr>
        <w:t>投标人须知前附表</w:t>
      </w:r>
      <w:r>
        <w:rPr>
          <w:color w:val="auto"/>
          <w:highlight w:val="none"/>
        </w:rPr>
        <w:t>”</w:t>
      </w:r>
      <w:r>
        <w:rPr>
          <w:rFonts w:hint="eastAsia" w:cs="宋体"/>
          <w:color w:val="auto"/>
          <w:highlight w:val="none"/>
        </w:rPr>
        <w:t>规定不接受联合体投标的，或投标人没有组成联合体的，投标文件不包括本章第</w:t>
      </w:r>
      <w:r>
        <w:rPr>
          <w:color w:val="auto"/>
          <w:highlight w:val="none"/>
        </w:rPr>
        <w:t>3.1.1</w:t>
      </w:r>
      <w:r>
        <w:rPr>
          <w:rFonts w:hint="eastAsia" w:cs="宋体"/>
          <w:color w:val="auto"/>
          <w:highlight w:val="none"/>
        </w:rPr>
        <w:t>.1中所指的联合体协议书。</w:t>
      </w:r>
    </w:p>
    <w:p w14:paraId="6948248A">
      <w:pPr>
        <w:spacing w:line="360" w:lineRule="auto"/>
        <w:ind w:firstLine="420" w:firstLineChars="200"/>
        <w:rPr>
          <w:color w:val="auto"/>
          <w:highlight w:val="none"/>
        </w:rPr>
      </w:pPr>
      <w:r>
        <w:rPr>
          <w:color w:val="auto"/>
          <w:highlight w:val="none"/>
        </w:rPr>
        <w:t xml:space="preserve">3.1.4 </w:t>
      </w:r>
      <w:r>
        <w:rPr>
          <w:rFonts w:hint="eastAsia" w:cs="宋体"/>
          <w:color w:val="auto"/>
          <w:highlight w:val="none"/>
        </w:rPr>
        <w:t>近年财务状况、完成的类似项目的年份要求：见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25D82E3F">
      <w:pPr>
        <w:pStyle w:val="4"/>
        <w:rPr>
          <w:color w:val="auto"/>
          <w:highlight w:val="none"/>
        </w:rPr>
      </w:pPr>
      <w:bookmarkStart w:id="232" w:name="_Toc78449641"/>
      <w:bookmarkStart w:id="233" w:name="_Toc389065164"/>
      <w:bookmarkStart w:id="234" w:name="_Toc23559"/>
      <w:bookmarkStart w:id="235" w:name="_Toc1381103467"/>
      <w:bookmarkStart w:id="236" w:name="_Toc407135097"/>
      <w:bookmarkStart w:id="237" w:name="_Toc403187174"/>
      <w:r>
        <w:rPr>
          <w:color w:val="auto"/>
          <w:highlight w:val="none"/>
        </w:rPr>
        <w:t xml:space="preserve">3.2 </w:t>
      </w:r>
      <w:r>
        <w:rPr>
          <w:rFonts w:hint="eastAsia" w:cs="黑体"/>
          <w:color w:val="auto"/>
          <w:highlight w:val="none"/>
        </w:rPr>
        <w:t>投标报价</w:t>
      </w:r>
      <w:bookmarkEnd w:id="232"/>
      <w:bookmarkEnd w:id="233"/>
      <w:bookmarkEnd w:id="234"/>
      <w:bookmarkEnd w:id="235"/>
      <w:bookmarkEnd w:id="236"/>
      <w:bookmarkEnd w:id="237"/>
    </w:p>
    <w:p w14:paraId="2BF1E530">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投标人应按第五章</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的要求填写相应表格。</w:t>
      </w:r>
    </w:p>
    <w:p w14:paraId="2BCFA102">
      <w:pPr>
        <w:spacing w:line="360" w:lineRule="auto"/>
        <w:ind w:firstLine="420" w:firstLineChars="200"/>
        <w:rPr>
          <w:color w:val="auto"/>
          <w:highlight w:val="none"/>
        </w:rPr>
      </w:pPr>
      <w:r>
        <w:rPr>
          <w:color w:val="auto"/>
          <w:highlight w:val="none"/>
        </w:rPr>
        <w:t xml:space="preserve">3.2.2 </w:t>
      </w:r>
      <w:r>
        <w:rPr>
          <w:rFonts w:hint="eastAsia" w:cs="宋体"/>
          <w:color w:val="auto"/>
          <w:highlight w:val="none"/>
        </w:rPr>
        <w:t>投标人在投标截止时间前修改投标函中的投标总报价，应同时修改第九章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中的相应报价。此修改须符合本章第</w:t>
      </w:r>
      <w:r>
        <w:rPr>
          <w:color w:val="auto"/>
          <w:highlight w:val="none"/>
        </w:rPr>
        <w:t>4.3</w:t>
      </w:r>
      <w:r>
        <w:rPr>
          <w:rFonts w:hint="eastAsia" w:cs="宋体"/>
          <w:color w:val="auto"/>
          <w:highlight w:val="none"/>
        </w:rPr>
        <w:t>款的有关要求。</w:t>
      </w:r>
    </w:p>
    <w:p w14:paraId="3FC4A5FE">
      <w:pPr>
        <w:pStyle w:val="4"/>
        <w:rPr>
          <w:color w:val="auto"/>
          <w:highlight w:val="none"/>
        </w:rPr>
      </w:pPr>
      <w:bookmarkStart w:id="238" w:name="_Toc78449642"/>
      <w:bookmarkStart w:id="239" w:name="_Toc407135098"/>
      <w:bookmarkStart w:id="240" w:name="_Toc10341"/>
      <w:bookmarkStart w:id="241" w:name="_Toc389065165"/>
      <w:bookmarkStart w:id="242" w:name="_Toc1621603167"/>
      <w:r>
        <w:rPr>
          <w:color w:val="auto"/>
          <w:highlight w:val="none"/>
        </w:rPr>
        <w:t xml:space="preserve">3.3 </w:t>
      </w:r>
      <w:r>
        <w:rPr>
          <w:rFonts w:hint="eastAsia" w:cs="黑体"/>
          <w:color w:val="auto"/>
          <w:highlight w:val="none"/>
        </w:rPr>
        <w:t>投标有效期</w:t>
      </w:r>
      <w:bookmarkEnd w:id="238"/>
      <w:bookmarkEnd w:id="239"/>
      <w:bookmarkEnd w:id="240"/>
      <w:bookmarkEnd w:id="241"/>
      <w:bookmarkEnd w:id="242"/>
    </w:p>
    <w:p w14:paraId="3AB07A43">
      <w:pPr>
        <w:spacing w:line="360" w:lineRule="auto"/>
        <w:ind w:firstLine="420" w:firstLineChars="200"/>
        <w:rPr>
          <w:color w:val="auto"/>
          <w:highlight w:val="none"/>
        </w:rPr>
      </w:pPr>
      <w:r>
        <w:rPr>
          <w:color w:val="auto"/>
          <w:highlight w:val="none"/>
        </w:rPr>
        <w:t xml:space="preserve">3.3.1 </w:t>
      </w:r>
      <w:r>
        <w:rPr>
          <w:rFonts w:hint="eastAsia" w:hAnsi="宋体" w:cs="宋体"/>
          <w:color w:val="auto"/>
          <w:highlight w:val="none"/>
        </w:rPr>
        <w:t>在投标人须知前附表规定的投标有效期内，投标人不得要求撤销或修改其投标文件。</w:t>
      </w:r>
    </w:p>
    <w:p w14:paraId="6DF3097E">
      <w:pPr>
        <w:spacing w:line="360" w:lineRule="auto"/>
        <w:ind w:firstLine="420" w:firstLineChars="200"/>
        <w:rPr>
          <w:color w:val="auto"/>
          <w:highlight w:val="none"/>
        </w:rPr>
      </w:pPr>
      <w:r>
        <w:rPr>
          <w:color w:val="auto"/>
          <w:highlight w:val="none"/>
        </w:rPr>
        <w:t xml:space="preserve">3.3.2 </w:t>
      </w:r>
      <w:r>
        <w:rPr>
          <w:rFonts w:hint="eastAsia" w:hAnsi="宋体" w:cs="宋体"/>
          <w:color w:val="auto"/>
          <w:highlight w:val="none"/>
        </w:rPr>
        <w:t>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10DC1568">
      <w:pPr>
        <w:pStyle w:val="4"/>
        <w:rPr>
          <w:color w:val="auto"/>
          <w:highlight w:val="none"/>
        </w:rPr>
      </w:pPr>
      <w:bookmarkStart w:id="243" w:name="_Toc78449643"/>
      <w:bookmarkStart w:id="244" w:name="_Toc407135099"/>
      <w:bookmarkStart w:id="245" w:name="_Toc389065166"/>
      <w:bookmarkStart w:id="246" w:name="_Toc857258476"/>
      <w:bookmarkStart w:id="247" w:name="_Toc3830"/>
      <w:r>
        <w:rPr>
          <w:color w:val="auto"/>
          <w:highlight w:val="none"/>
        </w:rPr>
        <w:t xml:space="preserve">3.4 </w:t>
      </w:r>
      <w:r>
        <w:rPr>
          <w:rFonts w:hint="eastAsia" w:cs="黑体"/>
          <w:color w:val="auto"/>
          <w:highlight w:val="none"/>
        </w:rPr>
        <w:t>投标保证金</w:t>
      </w:r>
      <w:bookmarkEnd w:id="243"/>
      <w:bookmarkEnd w:id="244"/>
      <w:bookmarkEnd w:id="245"/>
      <w:bookmarkEnd w:id="246"/>
      <w:bookmarkEnd w:id="247"/>
    </w:p>
    <w:p w14:paraId="6E32C78E">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投标人必须在投标截止时间前，按</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规定的金额、方式和第九章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规定的投标保证金格式提交投标保证金。投标保证金的提交情况以全国公共资源交易平台（广西壮族自治区）记录为准。联合体投标的，其投标保证金由联合体的任一方提交，并应符合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的规定。</w:t>
      </w:r>
    </w:p>
    <w:p w14:paraId="5BF74031">
      <w:pPr>
        <w:spacing w:line="360" w:lineRule="auto"/>
        <w:ind w:firstLine="420" w:firstLineChars="200"/>
        <w:rPr>
          <w:rFonts w:hint="eastAsia"/>
          <w:color w:val="auto"/>
          <w:highlight w:val="none"/>
        </w:rPr>
      </w:pPr>
      <w:r>
        <w:rPr>
          <w:color w:val="auto"/>
          <w:highlight w:val="none"/>
        </w:rPr>
        <w:t xml:space="preserve">3.4.2 </w:t>
      </w:r>
      <w:r>
        <w:rPr>
          <w:rFonts w:hint="eastAsia" w:cs="宋体"/>
          <w:color w:val="auto"/>
          <w:highlight w:val="none"/>
        </w:rPr>
        <w:t>投标人不按本章第</w:t>
      </w:r>
      <w:r>
        <w:rPr>
          <w:color w:val="auto"/>
          <w:highlight w:val="none"/>
        </w:rPr>
        <w:t>3.4.1</w:t>
      </w:r>
      <w:r>
        <w:rPr>
          <w:rFonts w:hint="eastAsia" w:cs="宋体"/>
          <w:color w:val="auto"/>
          <w:highlight w:val="none"/>
        </w:rPr>
        <w:t>项要求提交投标保证金的，其投标文件作否决投标处理。</w:t>
      </w:r>
    </w:p>
    <w:p w14:paraId="6A0FC0D1">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对未中标人交纳的投标保证金（保函原件）应当于中标通知书发出之日起</w:t>
      </w:r>
      <w:r>
        <w:rPr>
          <w:rFonts w:hint="eastAsia"/>
          <w:color w:val="auto"/>
          <w:highlight w:val="none"/>
        </w:rPr>
        <w:t>4</w:t>
      </w:r>
      <w:r>
        <w:rPr>
          <w:rFonts w:hint="eastAsia" w:cs="宋体"/>
          <w:color w:val="auto"/>
          <w:highlight w:val="none"/>
        </w:rPr>
        <w:t>日内自动退回；对中标人交纳的投标保证金（保函原件）应当于合同签订之日起</w:t>
      </w:r>
      <w:r>
        <w:rPr>
          <w:rFonts w:hint="eastAsia"/>
          <w:color w:val="auto"/>
          <w:highlight w:val="none"/>
        </w:rPr>
        <w:t>4</w:t>
      </w:r>
      <w:r>
        <w:rPr>
          <w:rFonts w:hint="eastAsia" w:cs="宋体"/>
          <w:color w:val="auto"/>
          <w:highlight w:val="none"/>
        </w:rPr>
        <w:t>日内自动退回。</w:t>
      </w:r>
    </w:p>
    <w:p w14:paraId="32AB4710">
      <w:pPr>
        <w:spacing w:line="360" w:lineRule="auto"/>
        <w:ind w:firstLine="420" w:firstLineChars="200"/>
        <w:rPr>
          <w:color w:val="auto"/>
          <w:highlight w:val="none"/>
        </w:rPr>
      </w:pPr>
      <w:r>
        <w:rPr>
          <w:color w:val="auto"/>
          <w:highlight w:val="none"/>
        </w:rPr>
        <w:t xml:space="preserve">3.4.4 </w:t>
      </w:r>
      <w:r>
        <w:rPr>
          <w:rFonts w:hint="eastAsia" w:cs="宋体"/>
          <w:color w:val="auto"/>
          <w:highlight w:val="none"/>
        </w:rPr>
        <w:t>有下列情形之一的，投标保证金将不予退还：</w:t>
      </w:r>
    </w:p>
    <w:p w14:paraId="5271055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）投标人在规定的投标有效期内撤销或修改其投标文件；</w:t>
      </w:r>
    </w:p>
    <w:p w14:paraId="6C13791C">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）中标人在收到中标通知书后，无正当理由拒签合同协议书或未按招标文件规定提交履约保证金。</w:t>
      </w:r>
    </w:p>
    <w:p w14:paraId="6DABA325">
      <w:pPr>
        <w:pStyle w:val="4"/>
        <w:rPr>
          <w:color w:val="auto"/>
          <w:highlight w:val="none"/>
        </w:rPr>
      </w:pPr>
      <w:bookmarkStart w:id="248" w:name="_Toc78449644"/>
      <w:bookmarkStart w:id="249" w:name="_Toc10290"/>
      <w:bookmarkStart w:id="250" w:name="_Toc407135100"/>
      <w:bookmarkStart w:id="251" w:name="_Toc389065167"/>
      <w:bookmarkStart w:id="252" w:name="_Toc1750906255"/>
      <w:r>
        <w:rPr>
          <w:color w:val="auto"/>
          <w:highlight w:val="none"/>
        </w:rPr>
        <w:t xml:space="preserve">3.5 </w:t>
      </w:r>
      <w:r>
        <w:rPr>
          <w:rFonts w:hint="eastAsia" w:cs="黑体"/>
          <w:color w:val="auto"/>
          <w:highlight w:val="none"/>
        </w:rPr>
        <w:t>备选投标方案</w:t>
      </w:r>
      <w:bookmarkEnd w:id="248"/>
      <w:bookmarkEnd w:id="249"/>
      <w:bookmarkEnd w:id="250"/>
      <w:bookmarkEnd w:id="251"/>
      <w:bookmarkEnd w:id="252"/>
    </w:p>
    <w:p w14:paraId="30A571DC">
      <w:pPr>
        <w:spacing w:line="360" w:lineRule="auto"/>
        <w:ind w:firstLine="420" w:firstLineChars="200"/>
        <w:rPr>
          <w:color w:val="auto"/>
          <w:highlight w:val="none"/>
        </w:rPr>
      </w:pPr>
      <w:r>
        <w:rPr>
          <w:rFonts w:hint="eastAsia" w:cs="宋体"/>
          <w:color w:val="auto"/>
          <w:highlight w:val="none"/>
        </w:rPr>
        <w:t>除“投标人须知前附表”另有规定外，投标人不得提交备选投标方案。允许投标人提交备选投标方案的，只有中标人所提交的备选投标方案方可予以考虑。评标委员会认为中标人的备选投标方案优于其按照招标文件要求编制的投标方案的，招标人可以接受该备选投标方案。</w:t>
      </w:r>
    </w:p>
    <w:p w14:paraId="213817B1">
      <w:pPr>
        <w:pStyle w:val="4"/>
        <w:rPr>
          <w:color w:val="auto"/>
          <w:highlight w:val="none"/>
        </w:rPr>
      </w:pPr>
      <w:bookmarkStart w:id="253" w:name="_Toc9700"/>
      <w:bookmarkStart w:id="254" w:name="_Toc407135101"/>
      <w:bookmarkStart w:id="255" w:name="_Toc389065168"/>
      <w:bookmarkStart w:id="256" w:name="_Toc78449645"/>
      <w:bookmarkStart w:id="257" w:name="_Toc1545592166"/>
      <w:r>
        <w:rPr>
          <w:color w:val="auto"/>
          <w:highlight w:val="none"/>
        </w:rPr>
        <w:t xml:space="preserve">3.6 </w:t>
      </w:r>
      <w:r>
        <w:rPr>
          <w:rFonts w:hint="eastAsia" w:cs="黑体"/>
          <w:color w:val="auto"/>
          <w:highlight w:val="none"/>
        </w:rPr>
        <w:t>投标文件的编制</w:t>
      </w:r>
      <w:bookmarkEnd w:id="253"/>
      <w:bookmarkEnd w:id="254"/>
      <w:bookmarkEnd w:id="255"/>
      <w:bookmarkEnd w:id="256"/>
      <w:bookmarkEnd w:id="257"/>
    </w:p>
    <w:p w14:paraId="04EBD1E2">
      <w:pPr>
        <w:spacing w:line="360" w:lineRule="auto"/>
        <w:ind w:firstLine="420" w:firstLineChars="200"/>
        <w:rPr>
          <w:color w:val="auto"/>
          <w:highlight w:val="none"/>
        </w:rPr>
      </w:pPr>
      <w:r>
        <w:rPr>
          <w:color w:val="auto"/>
          <w:highlight w:val="none"/>
        </w:rPr>
        <w:t xml:space="preserve">3.6.1 </w:t>
      </w:r>
      <w:r>
        <w:rPr>
          <w:rFonts w:hint="eastAsia" w:cs="宋体"/>
          <w:color w:val="auto"/>
          <w:highlight w:val="none"/>
        </w:rPr>
        <w:t>投标文件应按第九章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进行编写，如有必要，可以增加附页，作为投标文件的组成部分。其中，投标函附录在满足招标文件实质性要求的基础上，可以提出比招标文件要求更有利于招标人的承诺。</w:t>
      </w:r>
    </w:p>
    <w:p w14:paraId="1B193273">
      <w:pPr>
        <w:spacing w:line="360" w:lineRule="auto"/>
        <w:ind w:firstLine="420" w:firstLineChars="200"/>
        <w:rPr>
          <w:color w:val="auto"/>
          <w:highlight w:val="none"/>
        </w:rPr>
      </w:pPr>
      <w:r>
        <w:rPr>
          <w:color w:val="auto"/>
          <w:highlight w:val="none"/>
        </w:rPr>
        <w:t xml:space="preserve">3.6.2 </w:t>
      </w:r>
      <w:r>
        <w:rPr>
          <w:rFonts w:hint="eastAsia" w:cs="宋体"/>
          <w:color w:val="auto"/>
          <w:highlight w:val="none"/>
        </w:rPr>
        <w:t>投标文件应当对招标文件有关工期、投标有效期、质量要求、技术标准和要求、招标范围等实质性内容作出响应。</w:t>
      </w:r>
      <w:r>
        <w:rPr>
          <w:color w:val="auto"/>
          <w:highlight w:val="none"/>
        </w:rPr>
        <w:t xml:space="preserve"> </w:t>
      </w:r>
    </w:p>
    <w:p w14:paraId="3FB30183">
      <w:pPr>
        <w:spacing w:line="360" w:lineRule="auto"/>
        <w:ind w:firstLine="420" w:firstLineChars="200"/>
        <w:rPr>
          <w:color w:val="auto"/>
          <w:highlight w:val="none"/>
        </w:rPr>
      </w:pPr>
      <w:r>
        <w:rPr>
          <w:color w:val="auto"/>
          <w:highlight w:val="none"/>
        </w:rPr>
        <w:t>3.6.3</w:t>
      </w:r>
      <w:r>
        <w:rPr>
          <w:rFonts w:hint="eastAsia" w:hAnsi="宋体" w:cs="宋体"/>
          <w:color w:val="auto"/>
          <w:highlight w:val="none"/>
        </w:rPr>
        <w:t>投标文件应采用全国公共资源交易平台（广西壮族自治区）兼容的投标文件制作软件制作，</w:t>
      </w:r>
      <w:r>
        <w:rPr>
          <w:rFonts w:hint="eastAsia" w:cs="宋体"/>
          <w:color w:val="auto"/>
          <w:highlight w:val="none"/>
        </w:rPr>
        <w:t>电子投标文件由投标人在招标文件规定的投标文件相关位置加盖投标人法人单位电子印章。投标文件未加盖投标人法人单位电子印章的，均作否决投标处理。</w:t>
      </w:r>
    </w:p>
    <w:p w14:paraId="1253A9C7">
      <w:pPr>
        <w:spacing w:line="360" w:lineRule="auto"/>
        <w:ind w:firstLine="420" w:firstLineChars="200"/>
        <w:rPr>
          <w:color w:val="auto"/>
          <w:highlight w:val="none"/>
        </w:rPr>
      </w:pPr>
      <w:r>
        <w:rPr>
          <w:color w:val="auto"/>
          <w:highlight w:val="none"/>
        </w:rPr>
        <w:t xml:space="preserve">3.6.4 </w:t>
      </w:r>
      <w:r>
        <w:rPr>
          <w:rFonts w:hint="eastAsia"/>
          <w:color w:val="auto"/>
          <w:highlight w:val="none"/>
        </w:rPr>
        <w:t>电子</w:t>
      </w:r>
      <w:r>
        <w:rPr>
          <w:rFonts w:hint="eastAsia" w:cs="宋体"/>
          <w:color w:val="auto"/>
          <w:highlight w:val="none"/>
        </w:rPr>
        <w:t>投标文件一份，副本份数见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66DAEF15">
      <w:pPr>
        <w:pStyle w:val="3"/>
        <w:rPr>
          <w:color w:val="auto"/>
          <w:highlight w:val="none"/>
        </w:rPr>
      </w:pPr>
      <w:bookmarkStart w:id="258" w:name="_Toc407135102"/>
      <w:bookmarkStart w:id="259" w:name="_Toc78449646"/>
      <w:bookmarkStart w:id="260" w:name="_Toc389065169"/>
      <w:bookmarkStart w:id="261" w:name="_Toc2024750643"/>
      <w:bookmarkStart w:id="262" w:name="_Toc13"/>
      <w:r>
        <w:rPr>
          <w:color w:val="auto"/>
          <w:highlight w:val="none"/>
        </w:rPr>
        <w:t xml:space="preserve">4 </w:t>
      </w:r>
      <w:r>
        <w:rPr>
          <w:rFonts w:hint="eastAsia" w:cs="黑体"/>
          <w:color w:val="auto"/>
          <w:highlight w:val="none"/>
        </w:rPr>
        <w:t>投标</w:t>
      </w:r>
      <w:bookmarkEnd w:id="258"/>
      <w:bookmarkEnd w:id="259"/>
      <w:bookmarkEnd w:id="260"/>
      <w:bookmarkEnd w:id="261"/>
      <w:bookmarkEnd w:id="262"/>
    </w:p>
    <w:p w14:paraId="6C5F59C5">
      <w:pPr>
        <w:pStyle w:val="4"/>
        <w:rPr>
          <w:color w:val="auto"/>
          <w:highlight w:val="none"/>
        </w:rPr>
      </w:pPr>
      <w:bookmarkStart w:id="263" w:name="_Toc546265513"/>
      <w:bookmarkStart w:id="264" w:name="_Toc10625"/>
      <w:bookmarkStart w:id="265" w:name="_Toc78449647"/>
      <w:bookmarkStart w:id="266" w:name="_Toc407135103"/>
      <w:bookmarkStart w:id="267" w:name="_Toc389065170"/>
      <w:r>
        <w:rPr>
          <w:color w:val="auto"/>
          <w:highlight w:val="none"/>
        </w:rPr>
        <w:t>4.</w:t>
      </w:r>
      <w:r>
        <w:rPr>
          <w:rFonts w:hint="eastAsia"/>
          <w:color w:val="auto"/>
          <w:highlight w:val="none"/>
        </w:rPr>
        <w:t>1</w:t>
      </w:r>
      <w:r>
        <w:rPr>
          <w:rFonts w:hint="eastAsia" w:cs="黑体"/>
          <w:color w:val="auto"/>
          <w:highlight w:val="none"/>
        </w:rPr>
        <w:t>投标文件的加密和数字证书认证</w:t>
      </w:r>
      <w:bookmarkEnd w:id="263"/>
      <w:bookmarkEnd w:id="264"/>
      <w:bookmarkEnd w:id="265"/>
    </w:p>
    <w:p w14:paraId="0F5A6E27">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投标文件应通过投标文件制作软件进行制作，并通过数字证书认证和加密，最终生成一份加密格式（*.GXTF）的投标文件。</w:t>
      </w:r>
    </w:p>
    <w:p w14:paraId="14701E41">
      <w:pPr>
        <w:spacing w:line="360" w:lineRule="auto"/>
        <w:ind w:firstLine="420" w:firstLineChars="200"/>
        <w:rPr>
          <w:rFonts w:hint="eastAsia"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323AFA24">
      <w:pPr>
        <w:pStyle w:val="4"/>
        <w:rPr>
          <w:color w:val="auto"/>
          <w:highlight w:val="none"/>
        </w:rPr>
      </w:pPr>
      <w:bookmarkStart w:id="268" w:name="_Toc78449648"/>
      <w:bookmarkStart w:id="269" w:name="_Toc12364"/>
      <w:bookmarkStart w:id="270" w:name="_Toc2130577406"/>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未加密的电子投标文件U盘的密封和标记</w:t>
      </w:r>
      <w:bookmarkEnd w:id="266"/>
      <w:bookmarkEnd w:id="267"/>
      <w:bookmarkEnd w:id="268"/>
      <w:bookmarkEnd w:id="269"/>
      <w:bookmarkEnd w:id="270"/>
    </w:p>
    <w:p w14:paraId="1E288E55">
      <w:pPr>
        <w:spacing w:line="360" w:lineRule="auto"/>
        <w:ind w:firstLine="420" w:firstLineChars="200"/>
        <w:rPr>
          <w:rFonts w:hint="eastAsia"/>
          <w:color w:val="auto"/>
          <w:highlight w:val="none"/>
        </w:rPr>
      </w:pPr>
      <w:r>
        <w:rPr>
          <w:rFonts w:hint="eastAsia"/>
          <w:color w:val="auto"/>
          <w:highlight w:val="none"/>
        </w:rPr>
        <w:t>不需要</w:t>
      </w:r>
      <w:r>
        <w:rPr>
          <w:color w:val="auto"/>
          <w:highlight w:val="none"/>
        </w:rPr>
        <w:t>提供</w:t>
      </w:r>
      <w:r>
        <w:rPr>
          <w:rFonts w:hint="eastAsia"/>
          <w:color w:val="auto"/>
          <w:highlight w:val="none"/>
        </w:rPr>
        <w:t>。</w:t>
      </w:r>
    </w:p>
    <w:p w14:paraId="4BC61548">
      <w:pPr>
        <w:pStyle w:val="4"/>
        <w:rPr>
          <w:color w:val="auto"/>
          <w:highlight w:val="none"/>
        </w:rPr>
      </w:pPr>
      <w:bookmarkStart w:id="271" w:name="_Toc78449649"/>
      <w:bookmarkStart w:id="272" w:name="_Toc407135104"/>
      <w:bookmarkStart w:id="273" w:name="_Toc676710179"/>
      <w:bookmarkStart w:id="274" w:name="_Toc389065171"/>
      <w:bookmarkStart w:id="275" w:name="_Toc20904"/>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bookmarkEnd w:id="271"/>
      <w:bookmarkEnd w:id="272"/>
      <w:bookmarkEnd w:id="273"/>
      <w:bookmarkEnd w:id="274"/>
      <w:bookmarkEnd w:id="275"/>
    </w:p>
    <w:p w14:paraId="6AFF4F91">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w:t>
      </w:r>
    </w:p>
    <w:p w14:paraId="06601262">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递交投标文件地点：见投标人须知前附表，未在开标截止时间前通过网上招投标系统提交有效</w:t>
      </w:r>
      <w:r>
        <w:rPr>
          <w:rFonts w:hint="default" w:ascii="Times New Roman" w:hAnsi="Times New Roman" w:eastAsia="宋体" w:cs="Times New Roman"/>
          <w:color w:val="auto"/>
          <w:highlight w:val="none"/>
          <w:lang w:eastAsia="zh-CN"/>
        </w:rPr>
        <w:t>加密</w:t>
      </w:r>
      <w:r>
        <w:rPr>
          <w:rFonts w:hint="default" w:ascii="Times New Roman" w:hAnsi="Times New Roman" w:eastAsia="宋体" w:cs="Times New Roman"/>
          <w:color w:val="auto"/>
          <w:highlight w:val="none"/>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的，全国公共资源交易平台（广西壮族自治区）不予接收。</w:t>
      </w:r>
      <w:r>
        <w:rPr>
          <w:rFonts w:hint="eastAsia" w:hAnsi="宋体"/>
          <w:color w:val="auto"/>
          <w:szCs w:val="21"/>
          <w:highlight w:val="none"/>
        </w:rPr>
        <w:t>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int="default" w:ascii="Times New Roman" w:hAnsi="Times New Roman" w:eastAsia="宋体" w:cs="Times New Roman"/>
          <w:color w:val="auto"/>
          <w:highlight w:val="none"/>
        </w:rPr>
        <w:t>逾期上传的投标文件，为无效投标文件。</w:t>
      </w:r>
    </w:p>
    <w:p w14:paraId="6C36EDB8">
      <w:pPr>
        <w:spacing w:line="360" w:lineRule="auto"/>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 xml:space="preserve">.3 </w:t>
      </w:r>
      <w:r>
        <w:rPr>
          <w:rFonts w:hint="default" w:ascii="Times New Roman" w:hAnsi="Times New Roman" w:eastAsia="宋体" w:cs="Times New Roman"/>
          <w:color w:val="auto"/>
          <w:highlight w:val="none"/>
        </w:rPr>
        <w:t>是否退还投标文件：见投标人须知前附表。</w:t>
      </w:r>
    </w:p>
    <w:p w14:paraId="52DD8CC7">
      <w:pPr>
        <w:pStyle w:val="4"/>
        <w:rPr>
          <w:color w:val="auto"/>
          <w:highlight w:val="none"/>
        </w:rPr>
      </w:pPr>
      <w:bookmarkStart w:id="276" w:name="_Toc20170"/>
      <w:bookmarkStart w:id="277" w:name="_Toc407135105"/>
      <w:bookmarkStart w:id="278" w:name="_Toc389065172"/>
      <w:bookmarkStart w:id="279" w:name="_Toc78449650"/>
      <w:bookmarkStart w:id="280" w:name="_Toc1068232895"/>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bookmarkEnd w:id="276"/>
      <w:bookmarkEnd w:id="277"/>
      <w:bookmarkEnd w:id="278"/>
      <w:bookmarkEnd w:id="279"/>
      <w:bookmarkEnd w:id="280"/>
    </w:p>
    <w:p w14:paraId="445220BC">
      <w:pPr>
        <w:spacing w:line="360" w:lineRule="auto"/>
        <w:ind w:firstLine="420" w:firstLineChars="200"/>
        <w:rPr>
          <w:color w:val="auto"/>
          <w:highlight w:val="none"/>
        </w:rPr>
      </w:pPr>
      <w:r>
        <w:rPr>
          <w:color w:val="auto"/>
          <w:highlight w:val="none"/>
        </w:rPr>
        <w:t>4.</w:t>
      </w:r>
      <w:r>
        <w:rPr>
          <w:rFonts w:hint="eastAsia"/>
          <w:color w:val="auto"/>
          <w:highlight w:val="none"/>
        </w:rPr>
        <w:t>4</w:t>
      </w:r>
      <w:r>
        <w:rPr>
          <w:color w:val="auto"/>
          <w:highlight w:val="none"/>
        </w:rPr>
        <w:t xml:space="preserve">.1 </w:t>
      </w:r>
      <w:r>
        <w:rPr>
          <w:rFonts w:hint="eastAsia" w:hAnsi="宋体" w:cs="宋体"/>
          <w:color w:val="auto"/>
          <w:highlight w:val="none"/>
        </w:rPr>
        <w:t>在投标人须知</w:t>
      </w:r>
      <w:r>
        <w:rPr>
          <w:rFonts w:hint="eastAsia" w:ascii="仿宋_GB2312" w:hAnsi="宋体" w:cs="宋体"/>
          <w:color w:val="auto"/>
          <w:highlight w:val="none"/>
        </w:rPr>
        <w:t>前附表</w:t>
      </w:r>
      <w:r>
        <w:rPr>
          <w:rFonts w:hint="eastAsia" w:hAnsi="宋体" w:cs="宋体"/>
          <w:color w:val="auto"/>
          <w:highlight w:val="none"/>
        </w:rPr>
        <w:t>第</w:t>
      </w:r>
      <w:r>
        <w:rPr>
          <w:color w:val="auto"/>
          <w:highlight w:val="none"/>
        </w:rPr>
        <w:t>2.2.2</w:t>
      </w:r>
      <w:r>
        <w:rPr>
          <w:rFonts w:hint="eastAsia" w:hAnsi="宋体" w:cs="宋体"/>
          <w:color w:val="auto"/>
          <w:highlight w:val="none"/>
        </w:rPr>
        <w:t>项规定的投标截止时间前，投标人可以修改或撤回已提交的投标文件，最终投标文件以投标截止时间前上传至全国公共资源交易平台（广西壮族自治区）的最后一份投标文件为准。</w:t>
      </w:r>
    </w:p>
    <w:p w14:paraId="0DEB1640">
      <w:pPr>
        <w:spacing w:line="360" w:lineRule="auto"/>
        <w:ind w:firstLine="420" w:firstLineChars="200"/>
        <w:rPr>
          <w:rFonts w:hAnsi="宋体"/>
          <w:color w:val="auto"/>
          <w:highlight w:val="none"/>
        </w:rPr>
      </w:pPr>
      <w:r>
        <w:rPr>
          <w:color w:val="auto"/>
          <w:highlight w:val="none"/>
        </w:rPr>
        <w:t>4.</w:t>
      </w:r>
      <w:r>
        <w:rPr>
          <w:rFonts w:hint="eastAsia"/>
          <w:color w:val="auto"/>
          <w:highlight w:val="none"/>
        </w:rPr>
        <w:t>4</w:t>
      </w:r>
      <w:r>
        <w:rPr>
          <w:color w:val="auto"/>
          <w:highlight w:val="none"/>
        </w:rPr>
        <w:t xml:space="preserve">.2 </w:t>
      </w:r>
      <w:r>
        <w:rPr>
          <w:rFonts w:hint="eastAsia" w:hAnsi="宋体" w:cs="宋体"/>
          <w:color w:val="auto"/>
          <w:highlight w:val="none"/>
        </w:rPr>
        <w:t>修改的内容为投标文件的组成部分。</w:t>
      </w:r>
    </w:p>
    <w:p w14:paraId="39066B30">
      <w:pPr>
        <w:pStyle w:val="3"/>
        <w:rPr>
          <w:color w:val="auto"/>
          <w:highlight w:val="none"/>
        </w:rPr>
      </w:pPr>
      <w:bookmarkStart w:id="281" w:name="_Toc407135107"/>
      <w:bookmarkStart w:id="282" w:name="_Toc389065173"/>
      <w:bookmarkStart w:id="283" w:name="_Toc1752055502"/>
      <w:bookmarkStart w:id="284" w:name="_Toc78449651"/>
      <w:bookmarkStart w:id="285" w:name="_Toc27761"/>
      <w:r>
        <w:rPr>
          <w:color w:val="auto"/>
          <w:highlight w:val="none"/>
        </w:rPr>
        <w:t xml:space="preserve">5 </w:t>
      </w:r>
      <w:r>
        <w:rPr>
          <w:rFonts w:hint="eastAsia" w:cs="黑体"/>
          <w:color w:val="auto"/>
          <w:highlight w:val="none"/>
        </w:rPr>
        <w:t>开标</w:t>
      </w:r>
      <w:bookmarkEnd w:id="281"/>
      <w:bookmarkEnd w:id="282"/>
      <w:bookmarkEnd w:id="283"/>
      <w:bookmarkEnd w:id="284"/>
      <w:bookmarkEnd w:id="285"/>
    </w:p>
    <w:p w14:paraId="141E0EA2">
      <w:pPr>
        <w:pStyle w:val="4"/>
        <w:rPr>
          <w:color w:val="auto"/>
          <w:highlight w:val="none"/>
        </w:rPr>
      </w:pPr>
      <w:bookmarkStart w:id="286" w:name="_Toc407135108"/>
      <w:bookmarkStart w:id="287" w:name="_Toc389065174"/>
      <w:bookmarkStart w:id="288" w:name="_Toc27207"/>
      <w:bookmarkStart w:id="289" w:name="_Toc1855026112"/>
      <w:bookmarkStart w:id="290" w:name="_Toc78449652"/>
      <w:r>
        <w:rPr>
          <w:color w:val="auto"/>
          <w:highlight w:val="none"/>
        </w:rPr>
        <w:t xml:space="preserve">5.1 </w:t>
      </w:r>
      <w:r>
        <w:rPr>
          <w:rFonts w:hint="eastAsia" w:cs="黑体"/>
          <w:color w:val="auto"/>
          <w:highlight w:val="none"/>
        </w:rPr>
        <w:t>开标时间和地点</w:t>
      </w:r>
      <w:bookmarkEnd w:id="286"/>
      <w:bookmarkEnd w:id="287"/>
      <w:bookmarkEnd w:id="288"/>
      <w:bookmarkEnd w:id="289"/>
      <w:bookmarkEnd w:id="290"/>
    </w:p>
    <w:p w14:paraId="6BE30BEC">
      <w:pPr>
        <w:spacing w:line="360" w:lineRule="auto"/>
        <w:ind w:firstLine="420" w:firstLineChars="200"/>
        <w:rPr>
          <w:rFonts w:cs="宋体"/>
          <w:color w:val="auto"/>
          <w:highlight w:val="none"/>
        </w:rPr>
      </w:pPr>
      <w:r>
        <w:rPr>
          <w:rFonts w:hint="eastAsia" w:cs="宋体"/>
          <w:color w:val="auto"/>
          <w:highlight w:val="none"/>
        </w:rPr>
        <w:t>招标人在本章第2.2.2款规定的投标截止时间（开标时间）和“投标人须知前附表”规定的地点公开开标。参加现场开标的投标人代表必须是法定代表人或专职投标员，必须携带专职投标员本人身份证原件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或“桂交易移动CA”</w:t>
      </w:r>
      <w:r>
        <w:rPr>
          <w:rFonts w:hint="eastAsia" w:cs="宋体"/>
          <w:color w:val="auto"/>
          <w:highlight w:val="none"/>
        </w:rPr>
        <w:t>参加开</w:t>
      </w:r>
      <w:r>
        <w:rPr>
          <w:rFonts w:hint="default" w:ascii="宋体" w:hAnsi="宋体" w:eastAsia="宋体" w:cs="Times New Roman"/>
          <w:color w:val="auto"/>
          <w:highlight w:val="none"/>
        </w:rPr>
        <w:t>标，</w:t>
      </w:r>
      <w:r>
        <w:rPr>
          <w:rFonts w:hint="eastAsia" w:ascii="宋体" w:hAnsi="宋体" w:eastAsia="宋体" w:cs="Times New Roman"/>
          <w:color w:val="auto"/>
          <w:highlight w:val="none"/>
          <w:lang w:eastAsia="zh-CN"/>
        </w:rPr>
        <w:t>并在进入投标文件解密环节后60分钟内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default" w:ascii="Times New Roman" w:hAnsi="Times New Roman" w:cs="Times New Roman"/>
          <w:color w:val="auto"/>
          <w:highlight w:val="none"/>
        </w:rPr>
        <w:t>CA锁</w:t>
      </w:r>
      <w:r>
        <w:rPr>
          <w:rFonts w:hint="eastAsia" w:ascii="Times New Roman" w:hAnsi="Times New Roman" w:cs="Times New Roman"/>
          <w:color w:val="auto"/>
          <w:highlight w:val="none"/>
          <w:lang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广西壮族自治区网上开标子系统（http://202.103.240.162:8072/BidOpening</w:t>
      </w:r>
      <w:r>
        <w:rPr>
          <w:rFonts w:hint="eastAsia" w:ascii="宋体" w:hAnsi="宋体" w:cs="宋体"/>
          <w:color w:val="auto"/>
          <w:kern w:val="0"/>
          <w:highlight w:val="none"/>
          <w:lang w:eastAsia="zh-CN"/>
        </w:rPr>
        <w:t>）</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广西壮族自治区网上开标子系统（http://202.103.240.162:8072/BidOpening</w:t>
      </w:r>
      <w:r>
        <w:rPr>
          <w:rFonts w:hint="eastAsia" w:ascii="宋体" w:hAnsi="宋体" w:cs="宋体"/>
          <w:color w:val="auto"/>
          <w:kern w:val="0"/>
          <w:highlight w:val="none"/>
          <w:lang w:eastAsia="zh-CN"/>
        </w:rPr>
        <w:t>）</w:t>
      </w:r>
      <w:r>
        <w:rPr>
          <w:rFonts w:hint="default" w:ascii="宋体" w:hAnsi="宋体" w:eastAsia="宋体" w:cs="Times New Roman"/>
          <w:color w:val="auto"/>
          <w:highlight w:val="none"/>
          <w:lang w:val="en-US" w:eastAsia="zh-CN"/>
        </w:rPr>
        <w:t>完成专职投标员个人CA锁签到、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0A86F886">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1C328508">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14:paraId="2DABB1F5">
      <w:pPr>
        <w:pStyle w:val="4"/>
        <w:rPr>
          <w:color w:val="auto"/>
          <w:highlight w:val="none"/>
        </w:rPr>
      </w:pPr>
      <w:bookmarkStart w:id="291" w:name="_Toc407135109"/>
      <w:bookmarkStart w:id="292" w:name="_Toc27288"/>
      <w:bookmarkStart w:id="293" w:name="_Toc389065175"/>
      <w:bookmarkStart w:id="294" w:name="_Toc1088352565"/>
      <w:bookmarkStart w:id="295" w:name="_Toc78449653"/>
      <w:r>
        <w:rPr>
          <w:color w:val="auto"/>
          <w:highlight w:val="none"/>
        </w:rPr>
        <w:t xml:space="preserve">5.2 </w:t>
      </w:r>
      <w:r>
        <w:rPr>
          <w:rFonts w:hint="eastAsia" w:cs="黑体"/>
          <w:color w:val="auto"/>
          <w:highlight w:val="none"/>
        </w:rPr>
        <w:t>开标程序</w:t>
      </w:r>
      <w:bookmarkEnd w:id="291"/>
      <w:bookmarkEnd w:id="292"/>
      <w:bookmarkEnd w:id="293"/>
      <w:bookmarkEnd w:id="294"/>
      <w:bookmarkEnd w:id="295"/>
    </w:p>
    <w:p w14:paraId="7F8DCD4B">
      <w:pPr>
        <w:spacing w:line="360" w:lineRule="auto"/>
        <w:ind w:firstLine="420" w:firstLineChars="200"/>
        <w:rPr>
          <w:color w:val="auto"/>
          <w:highlight w:val="none"/>
        </w:rPr>
      </w:pPr>
      <w:bookmarkStart w:id="296" w:name="_Toc389065176"/>
      <w:r>
        <w:rPr>
          <w:rFonts w:hint="eastAsia" w:cs="宋体"/>
          <w:color w:val="auto"/>
          <w:highlight w:val="none"/>
        </w:rPr>
        <w:t>主持人按以下程序进行开标：</w:t>
      </w:r>
    </w:p>
    <w:p w14:paraId="1DFA5E2E">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宣布开标纪律；</w:t>
      </w:r>
    </w:p>
    <w:p w14:paraId="76658CEB">
      <w:pPr>
        <w:spacing w:line="360" w:lineRule="auto"/>
        <w:ind w:firstLine="420" w:firstLineChars="200"/>
        <w:rPr>
          <w:strike w:val="0"/>
          <w:color w:val="auto"/>
          <w:highlight w:val="none"/>
        </w:rPr>
      </w:pPr>
      <w:r>
        <w:rPr>
          <w:rFonts w:hint="eastAsia" w:cs="宋体"/>
          <w:strike w:val="0"/>
          <w:color w:val="auto"/>
          <w:highlight w:val="none"/>
        </w:rPr>
        <w:t>（</w:t>
      </w:r>
      <w:r>
        <w:rPr>
          <w:strike w:val="0"/>
          <w:color w:val="auto"/>
          <w:highlight w:val="none"/>
        </w:rPr>
        <w:t>2</w:t>
      </w:r>
      <w:r>
        <w:rPr>
          <w:rFonts w:hint="eastAsia" w:cs="宋体"/>
          <w:strike w:val="0"/>
          <w:color w:val="auto"/>
          <w:highlight w:val="none"/>
        </w:rPr>
        <w:t>）</w:t>
      </w:r>
      <w:r>
        <w:rPr>
          <w:rFonts w:hint="eastAsia" w:hAnsi="宋体" w:cs="宋体"/>
          <w:strike w:val="0"/>
          <w:color w:val="auto"/>
          <w:highlight w:val="none"/>
        </w:rPr>
        <w:t>宣布开标人、唱标人、记录人等有关人员名单；</w:t>
      </w:r>
    </w:p>
    <w:p w14:paraId="269DF7F5">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公布在投标截止时间前递交投标文件的投标人名称情况；</w:t>
      </w:r>
    </w:p>
    <w:p w14:paraId="52431986">
      <w:pPr>
        <w:spacing w:line="360" w:lineRule="auto"/>
        <w:ind w:firstLine="420" w:firstLineChars="200"/>
        <w:rPr>
          <w:rFonts w:hint="eastAsia" w:eastAsia="宋体"/>
          <w:color w:val="auto"/>
          <w:highlight w:val="none"/>
          <w:lang w:eastAsia="zh-CN"/>
        </w:rPr>
      </w:pPr>
      <w:r>
        <w:rPr>
          <w:rFonts w:hint="eastAsia" w:cs="宋体"/>
          <w:color w:val="auto"/>
          <w:highlight w:val="none"/>
        </w:rPr>
        <w:t>（</w:t>
      </w:r>
      <w:r>
        <w:rPr>
          <w:color w:val="auto"/>
          <w:highlight w:val="none"/>
        </w:rPr>
        <w:t>4</w:t>
      </w:r>
      <w:r>
        <w:rPr>
          <w:rFonts w:hint="eastAsia" w:cs="宋体"/>
          <w:color w:val="auto"/>
          <w:highlight w:val="none"/>
        </w:rPr>
        <w:t>）</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招标代理机构点击进入投标文件解密环节，解密时间为60分钟。在解密时间结束前投标人须通过广西壮族自治区网上开标子系统（http://202.103.240.162:8072/BidOpening</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lang w:eastAsia="zh-CN"/>
        </w:rPr>
        <w:t>）</w:t>
      </w:r>
      <w:r>
        <w:rPr>
          <w:rFonts w:hint="eastAsia" w:cs="宋体"/>
          <w:color w:val="auto"/>
          <w:highlight w:val="none"/>
        </w:rPr>
        <w:t>；</w:t>
      </w:r>
    </w:p>
    <w:p w14:paraId="69BF454A">
      <w:pPr>
        <w:spacing w:line="360" w:lineRule="auto"/>
        <w:ind w:firstLine="420" w:firstLineChars="200"/>
        <w:rPr>
          <w:rFonts w:hAnsi="宋体"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w:t>
      </w:r>
      <w:r>
        <w:rPr>
          <w:rFonts w:hint="eastAsia" w:hAnsi="宋体" w:cs="宋体"/>
          <w:color w:val="auto"/>
          <w:highlight w:val="none"/>
        </w:rPr>
        <w:t>公布解密情况（解密是否成功、投标人名称、</w:t>
      </w:r>
      <w:r>
        <w:rPr>
          <w:rFonts w:hint="eastAsia" w:hAnsi="宋体" w:cs="宋体"/>
          <w:color w:val="auto"/>
          <w:highlight w:val="none"/>
          <w:lang w:eastAsia="zh-CN"/>
        </w:rPr>
        <w:t>专职投标员、</w:t>
      </w:r>
      <w:r>
        <w:rPr>
          <w:rFonts w:hint="eastAsia" w:hAnsi="宋体" w:cs="宋体"/>
          <w:color w:val="auto"/>
          <w:highlight w:val="none"/>
        </w:rPr>
        <w:t>拟投入的项目经理和所有专职安全生产管理人员是否通过系统验证、投标家数等情况）；</w:t>
      </w:r>
    </w:p>
    <w:p w14:paraId="53BC164F">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w:t>
      </w:r>
      <w:r>
        <w:rPr>
          <w:rFonts w:hint="eastAsia" w:ascii="宋体" w:hAnsi="宋体" w:cs="宋体"/>
          <w:color w:val="auto"/>
          <w:highlight w:val="none"/>
          <w:lang w:eastAsia="zh-CN"/>
        </w:rPr>
        <w:t>（选用经评审的合理低价法时需要抽取）</w:t>
      </w:r>
      <w:r>
        <w:rPr>
          <w:rFonts w:hint="eastAsia" w:ascii="宋体" w:hAnsi="宋体" w:cs="宋体"/>
          <w:color w:val="auto"/>
          <w:highlight w:val="none"/>
        </w:rPr>
        <w:t>；</w:t>
      </w:r>
    </w:p>
    <w:p w14:paraId="1B2FF018">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7</w:t>
      </w:r>
      <w:r>
        <w:rPr>
          <w:rFonts w:hint="eastAsia" w:ascii="Times New Roman" w:hAnsi="Times New Roman" w:eastAsia="宋体" w:cs="宋体"/>
          <w:color w:val="auto"/>
          <w:highlight w:val="none"/>
        </w:rPr>
        <w:t>）公布投标人名称、标段名称、投标保证金的提交情况、投标报价、质量目标、工期及其他内容；</w:t>
      </w:r>
    </w:p>
    <w:p w14:paraId="6D1F0E6A">
      <w:pPr>
        <w:spacing w:line="360" w:lineRule="auto"/>
        <w:ind w:firstLine="420" w:firstLineChars="200"/>
        <w:rPr>
          <w:rFonts w:hAnsi="宋体" w:cs="宋体"/>
          <w:color w:val="auto"/>
          <w:highlight w:val="none"/>
        </w:rPr>
      </w:pPr>
      <w:r>
        <w:rPr>
          <w:rFonts w:hint="eastAsia" w:cs="宋体"/>
          <w:color w:val="auto"/>
          <w:highlight w:val="none"/>
        </w:rPr>
        <w:t>（</w:t>
      </w:r>
      <w:r>
        <w:rPr>
          <w:rFonts w:hint="eastAsia"/>
          <w:color w:val="auto"/>
          <w:highlight w:val="none"/>
          <w:lang w:val="en-US" w:eastAsia="zh-CN"/>
        </w:rPr>
        <w:t>8</w:t>
      </w:r>
      <w:r>
        <w:rPr>
          <w:rFonts w:hint="eastAsia" w:hAnsi="宋体" w:cs="宋体"/>
          <w:color w:val="auto"/>
          <w:highlight w:val="none"/>
        </w:rPr>
        <w:t>）公布</w:t>
      </w:r>
      <w:r>
        <w:rPr>
          <w:rFonts w:hint="eastAsia" w:hAnsi="宋体" w:cs="宋体"/>
          <w:color w:val="auto"/>
          <w:highlight w:val="none"/>
          <w:lang w:eastAsia="zh-CN"/>
        </w:rPr>
        <w:t>最高投标限价</w:t>
      </w:r>
      <w:r>
        <w:rPr>
          <w:rFonts w:hint="eastAsia" w:hAnsi="宋体" w:cs="宋体"/>
          <w:color w:val="auto"/>
          <w:highlight w:val="none"/>
        </w:rPr>
        <w:t>及相关内容</w:t>
      </w:r>
      <w:r>
        <w:rPr>
          <w:rFonts w:hint="eastAsia" w:ascii="宋体" w:hAnsi="宋体" w:cs="宋体"/>
          <w:color w:val="auto"/>
          <w:highlight w:val="none"/>
        </w:rPr>
        <w:t>。</w:t>
      </w:r>
    </w:p>
    <w:p w14:paraId="4EB22AF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5250E2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或“桂交易移动CA”在开标记录表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p>
    <w:p w14:paraId="5C5FD97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1</w:t>
      </w:r>
      <w:r>
        <w:rPr>
          <w:rFonts w:hint="eastAsia" w:ascii="宋体" w:hAnsi="宋体" w:cs="宋体"/>
          <w:color w:val="auto"/>
          <w:highlight w:val="none"/>
        </w:rPr>
        <w:t>）开标结束。</w:t>
      </w:r>
    </w:p>
    <w:p w14:paraId="3261E2E3">
      <w:pPr>
        <w:pStyle w:val="4"/>
        <w:rPr>
          <w:rFonts w:hAnsi="宋体"/>
          <w:color w:val="auto"/>
          <w:highlight w:val="none"/>
        </w:rPr>
      </w:pPr>
      <w:bookmarkStart w:id="297" w:name="_Toc16796"/>
      <w:bookmarkStart w:id="298" w:name="_Toc407135110"/>
      <w:bookmarkStart w:id="299" w:name="_Toc1283753565"/>
      <w:bookmarkStart w:id="300" w:name="_Toc78449654"/>
      <w:r>
        <w:rPr>
          <w:color w:val="auto"/>
          <w:highlight w:val="none"/>
        </w:rPr>
        <w:t>5.3</w:t>
      </w:r>
      <w:r>
        <w:rPr>
          <w:rFonts w:hint="eastAsia" w:hAnsi="宋体" w:cs="黑体"/>
          <w:color w:val="auto"/>
          <w:highlight w:val="none"/>
        </w:rPr>
        <w:t>电子开标的应急措施</w:t>
      </w:r>
      <w:bookmarkEnd w:id="297"/>
      <w:bookmarkEnd w:id="298"/>
      <w:bookmarkEnd w:id="299"/>
      <w:bookmarkEnd w:id="300"/>
    </w:p>
    <w:p w14:paraId="178B381B">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710192D3">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544F74F9">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5545CAB1">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0B6FEFB6">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41AB622E">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378CD9D5">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出现上述情况时，应对未开标的暂停开标。已在系统内开标的立即停止。对原有资料及信息作出保密处理，或等待系统恢复正常后再组织进行开标。</w:t>
      </w:r>
    </w:p>
    <w:p w14:paraId="3823135D">
      <w:pPr>
        <w:spacing w:line="360" w:lineRule="auto"/>
        <w:ind w:firstLine="525" w:firstLineChars="250"/>
        <w:rPr>
          <w:rFonts w:hAnsi="宋体"/>
          <w:color w:val="auto"/>
          <w:highlight w:val="none"/>
        </w:rPr>
      </w:pPr>
      <w:r>
        <w:rPr>
          <w:rFonts w:hAnsi="宋体"/>
          <w:color w:val="auto"/>
          <w:highlight w:val="none"/>
        </w:rPr>
        <w:t xml:space="preserve">5.3.2 </w:t>
      </w:r>
      <w:r>
        <w:rPr>
          <w:rFonts w:hint="eastAsia" w:hAnsi="宋体" w:cs="宋体"/>
          <w:color w:val="auto"/>
          <w:highlight w:val="none"/>
        </w:rPr>
        <w:t>投标人在</w:t>
      </w:r>
      <w:r>
        <w:rPr>
          <w:rFonts w:hint="eastAsia" w:hAnsi="宋体" w:cs="宋体"/>
          <w:color w:val="auto"/>
          <w:highlight w:val="none"/>
          <w:lang w:val="en-US" w:eastAsia="zh-CN"/>
        </w:rPr>
        <w:t>进入投标文件解密环节后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广西壮族自治区网上开标子系统（http://202.103.240.162:8072/BidOpening</w:t>
      </w:r>
      <w:r>
        <w:rPr>
          <w:rFonts w:hint="eastAsia" w:ascii="宋体" w:hAnsi="宋体" w:cs="宋体"/>
          <w:color w:val="auto"/>
          <w:kern w:val="0"/>
          <w:highlight w:val="none"/>
          <w:lang w:eastAsia="zh-CN"/>
        </w:rPr>
        <w:t>）</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hAnsi="宋体" w:cs="宋体"/>
          <w:color w:val="auto"/>
          <w:highlight w:val="none"/>
        </w:rPr>
        <w:t>在规定时间内</w:t>
      </w:r>
      <w:r>
        <w:rPr>
          <w:rFonts w:hint="eastAsia" w:ascii="Arial" w:hAnsi="Arial" w:cs="宋体"/>
          <w:color w:val="auto"/>
          <w:highlight w:val="none"/>
          <w:shd w:val="clear" w:color="auto" w:fill="FFFFFF"/>
        </w:rPr>
        <w:t>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49EE4B2B">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因网络问题或者“桂</w:t>
      </w:r>
      <w:r>
        <w:rPr>
          <w:rFonts w:hAnsi="宋体" w:cs="宋体"/>
          <w:color w:val="auto"/>
          <w:highlight w:val="none"/>
        </w:rPr>
        <w:t>建云”</w:t>
      </w:r>
      <w:r>
        <w:rPr>
          <w:rFonts w:hint="eastAsia" w:hAnsi="宋体" w:cs="宋体"/>
          <w:color w:val="auto"/>
          <w:highlight w:val="none"/>
        </w:rPr>
        <w:t>系统问题导致电子开标系统无法正常访问“桂建云”进行身份证验证时，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，可暂停开标，等待网络或者“桂建云”恢复访问时再进行身份证验证。</w:t>
      </w:r>
    </w:p>
    <w:p w14:paraId="66544668">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，不得进入评标。如果是因为网络原因或者</w:t>
      </w:r>
      <w:r>
        <w:rPr>
          <w:rFonts w:hint="eastAsia" w:ascii="宋体" w:hAnsi="宋体" w:cs="宋体"/>
          <w:color w:val="auto"/>
          <w:kern w:val="0"/>
          <w:highlight w:val="none"/>
        </w:rPr>
        <w:t>广西壮族自治区网上开标子系统（http://202.103.240.162:8072/BidOpening</w:t>
      </w:r>
      <w:r>
        <w:rPr>
          <w:rFonts w:hint="eastAsia" w:ascii="宋体" w:hAnsi="宋体" w:cs="宋体"/>
          <w:color w:val="auto"/>
          <w:kern w:val="0"/>
          <w:highlight w:val="none"/>
          <w:lang w:eastAsia="zh-CN"/>
        </w:rPr>
        <w:t>）</w:t>
      </w:r>
      <w:r>
        <w:rPr>
          <w:rFonts w:hint="eastAsia" w:cs="宋体"/>
          <w:color w:val="auto"/>
          <w:highlight w:val="none"/>
        </w:rPr>
        <w:t>、银行系统原因导致的，并且银行最终确认投标人已按时足额提交了保证金的，可以进入评标。</w:t>
      </w:r>
    </w:p>
    <w:p w14:paraId="51C21F8D">
      <w:pPr>
        <w:pStyle w:val="4"/>
        <w:rPr>
          <w:color w:val="auto"/>
          <w:highlight w:val="none"/>
        </w:rPr>
      </w:pPr>
      <w:bookmarkStart w:id="301" w:name="_Toc372116979"/>
      <w:bookmarkStart w:id="302" w:name="_Toc9304"/>
      <w:bookmarkStart w:id="303" w:name="_Toc407135111"/>
      <w:bookmarkStart w:id="304" w:name="_Toc78449655"/>
      <w:r>
        <w:rPr>
          <w:color w:val="auto"/>
          <w:highlight w:val="none"/>
        </w:rPr>
        <w:t xml:space="preserve">5.4 </w:t>
      </w:r>
      <w:r>
        <w:rPr>
          <w:rFonts w:hint="eastAsia" w:cs="黑体"/>
          <w:color w:val="auto"/>
          <w:highlight w:val="none"/>
        </w:rPr>
        <w:t>不予开标</w:t>
      </w:r>
      <w:bookmarkEnd w:id="296"/>
      <w:bookmarkEnd w:id="301"/>
      <w:bookmarkEnd w:id="302"/>
      <w:bookmarkEnd w:id="303"/>
      <w:bookmarkEnd w:id="304"/>
    </w:p>
    <w:p w14:paraId="365EA9A3">
      <w:pPr>
        <w:spacing w:line="360" w:lineRule="auto"/>
        <w:ind w:firstLine="420" w:firstLineChars="200"/>
        <w:rPr>
          <w:color w:val="auto"/>
          <w:highlight w:val="none"/>
        </w:rPr>
      </w:pPr>
      <w:r>
        <w:rPr>
          <w:rFonts w:hint="eastAsia" w:cs="宋体"/>
          <w:color w:val="auto"/>
          <w:highlight w:val="none"/>
        </w:rPr>
        <w:t>符合下列情况之一的投标，招标人拒绝受理其投标，不得进入评标：</w:t>
      </w:r>
    </w:p>
    <w:p w14:paraId="13128D80">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ascii="Times New Roman" w:hAnsi="Times New Roman" w:eastAsia="宋体" w:cs="宋体"/>
          <w:color w:val="auto"/>
          <w:highlight w:val="none"/>
        </w:rPr>
        <w:t>未能在投标截止时间前成功上传的；</w:t>
      </w:r>
    </w:p>
    <w:p w14:paraId="5D616FB9">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hAnsi="宋体" w:cs="宋体"/>
          <w:color w:val="auto"/>
          <w:highlight w:val="none"/>
          <w:lang w:val="en-US" w:eastAsia="zh-CN"/>
        </w:rPr>
        <w:t>进入投标文件解密环节后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0分钟内完成投标文件的解密</w:t>
      </w:r>
      <w:r>
        <w:rPr>
          <w:rFonts w:hint="eastAsia" w:cs="宋体"/>
          <w:color w:val="auto"/>
          <w:highlight w:val="none"/>
          <w:lang w:eastAsia="zh-CN"/>
        </w:rPr>
        <w:t>，</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广西壮族自治区网上开标子系统（http://202.103.240.162:8072/BidOpening</w:t>
      </w:r>
      <w:r>
        <w:rPr>
          <w:rFonts w:hint="eastAsia" w:cs="宋体"/>
          <w:color w:val="auto"/>
          <w:kern w:val="2"/>
          <w:highlight w:val="none"/>
          <w:lang w:eastAsia="zh-CN"/>
        </w:rPr>
        <w:t>）</w:t>
      </w:r>
      <w:r>
        <w:rPr>
          <w:rFonts w:hint="eastAsia" w:ascii="Times New Roman" w:hAnsi="Times New Roman" w:eastAsia="宋体" w:cs="宋体"/>
          <w:color w:val="auto"/>
          <w:highlight w:val="none"/>
        </w:rPr>
        <w:t>解密倒计时为准）；</w:t>
      </w:r>
    </w:p>
    <w:p w14:paraId="23B3A425">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hAnsi="宋体" w:cs="宋体"/>
          <w:color w:val="auto"/>
          <w:highlight w:val="none"/>
          <w:lang w:val="en-US" w:eastAsia="zh-CN"/>
        </w:rPr>
        <w:t>进入投标文件解密环节后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专职投标员、拟投入的</w:t>
      </w:r>
      <w:r>
        <w:rPr>
          <w:rFonts w:hint="eastAsia" w:ascii="Times New Roman" w:hAnsi="Times New Roman" w:eastAsia="宋体" w:cs="宋体"/>
          <w:color w:val="auto"/>
          <w:highlight w:val="none"/>
        </w:rPr>
        <w:t>施工项目经理、专职安全生产管理人员</w:t>
      </w:r>
      <w:r>
        <w:rPr>
          <w:rFonts w:hint="eastAsia" w:ascii="Times New Roman" w:hAnsi="Times New Roman" w:eastAsia="宋体" w:cs="宋体"/>
          <w:color w:val="auto"/>
          <w:highlight w:val="none"/>
          <w:lang w:eastAsia="zh-CN"/>
        </w:rPr>
        <w:t>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广西壮族自治区网上开标子系统（http://202.103.240.162:8072/BidOpening</w:t>
      </w:r>
      <w:r>
        <w:rPr>
          <w:rFonts w:hint="eastAsia" w:cs="宋体"/>
          <w:color w:val="auto"/>
          <w:kern w:val="2"/>
          <w:highlight w:val="none"/>
          <w:lang w:eastAsia="zh-CN"/>
        </w:rPr>
        <w:t>）</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76087AEA">
      <w:pPr>
        <w:spacing w:line="360" w:lineRule="auto"/>
        <w:ind w:firstLine="420" w:firstLineChars="200"/>
        <w:rPr>
          <w:rFonts w:hint="eastAsia" w:cs="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w:t>
      </w:r>
      <w:r>
        <w:rPr>
          <w:rFonts w:hint="eastAsia" w:cs="宋体"/>
          <w:color w:val="auto"/>
          <w:highlight w:val="none"/>
        </w:rPr>
        <w:t>参加开标的专职投标员与投标文件内专职投标员非同一人的。</w:t>
      </w:r>
    </w:p>
    <w:p w14:paraId="6AD3DAEF">
      <w:pPr>
        <w:pStyle w:val="4"/>
        <w:rPr>
          <w:b w:val="0"/>
          <w:bCs w:val="0"/>
          <w:color w:val="auto"/>
          <w:highlight w:val="none"/>
        </w:rPr>
      </w:pPr>
      <w:bookmarkStart w:id="305" w:name="_Toc1868513482"/>
      <w:bookmarkStart w:id="306" w:name="_Toc465114769"/>
      <w:bookmarkStart w:id="307" w:name="_Toc78449656"/>
      <w:bookmarkStart w:id="308" w:name="_Toc13758"/>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bookmarkEnd w:id="305"/>
      <w:bookmarkEnd w:id="306"/>
      <w:bookmarkEnd w:id="307"/>
      <w:bookmarkEnd w:id="308"/>
      <w:r>
        <w:rPr>
          <w:color w:val="auto"/>
          <w:highlight w:val="none"/>
        </w:rPr>
        <w:t xml:space="preserve">  </w:t>
      </w:r>
    </w:p>
    <w:p w14:paraId="746D5C71">
      <w:pPr>
        <w:spacing w:line="360" w:lineRule="auto"/>
        <w:ind w:lef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过程作出答复，并制作记录。</w:t>
      </w:r>
    </w:p>
    <w:p w14:paraId="08522E87">
      <w:pPr>
        <w:pStyle w:val="3"/>
        <w:rPr>
          <w:color w:val="auto"/>
          <w:highlight w:val="none"/>
        </w:rPr>
      </w:pPr>
      <w:bookmarkStart w:id="309" w:name="_Toc407135112"/>
      <w:bookmarkStart w:id="310" w:name="_Toc389065177"/>
      <w:bookmarkStart w:id="311" w:name="_Toc16878"/>
      <w:bookmarkStart w:id="312" w:name="_Toc186935569"/>
      <w:bookmarkStart w:id="313" w:name="_Toc78449657"/>
      <w:r>
        <w:rPr>
          <w:color w:val="auto"/>
          <w:highlight w:val="none"/>
        </w:rPr>
        <w:t xml:space="preserve">6 </w:t>
      </w:r>
      <w:r>
        <w:rPr>
          <w:rFonts w:hint="eastAsia" w:cs="黑体"/>
          <w:color w:val="auto"/>
          <w:highlight w:val="none"/>
        </w:rPr>
        <w:t>评标</w:t>
      </w:r>
      <w:bookmarkEnd w:id="309"/>
      <w:bookmarkEnd w:id="310"/>
      <w:bookmarkEnd w:id="311"/>
      <w:bookmarkEnd w:id="312"/>
      <w:bookmarkEnd w:id="313"/>
    </w:p>
    <w:p w14:paraId="0724BA33">
      <w:pPr>
        <w:pStyle w:val="4"/>
        <w:rPr>
          <w:color w:val="auto"/>
          <w:highlight w:val="none"/>
        </w:rPr>
      </w:pPr>
      <w:bookmarkStart w:id="314" w:name="_Toc78449658"/>
      <w:bookmarkStart w:id="315" w:name="_Toc1865456590"/>
      <w:bookmarkStart w:id="316" w:name="_Toc21669"/>
      <w:bookmarkStart w:id="317" w:name="_Toc407135113"/>
      <w:bookmarkStart w:id="318" w:name="_Toc389065178"/>
      <w:r>
        <w:rPr>
          <w:color w:val="auto"/>
          <w:highlight w:val="none"/>
        </w:rPr>
        <w:t xml:space="preserve">6.1 </w:t>
      </w:r>
      <w:r>
        <w:rPr>
          <w:rFonts w:hint="eastAsia" w:cs="黑体"/>
          <w:color w:val="auto"/>
          <w:highlight w:val="none"/>
        </w:rPr>
        <w:t>评标委员会</w:t>
      </w:r>
      <w:bookmarkEnd w:id="314"/>
      <w:bookmarkEnd w:id="315"/>
      <w:bookmarkEnd w:id="316"/>
      <w:bookmarkEnd w:id="317"/>
      <w:bookmarkEnd w:id="318"/>
    </w:p>
    <w:p w14:paraId="17E5CC0A">
      <w:pPr>
        <w:spacing w:line="360" w:lineRule="auto"/>
        <w:ind w:firstLine="420" w:firstLineChars="200"/>
        <w:rPr>
          <w:color w:val="auto"/>
          <w:highlight w:val="none"/>
        </w:rPr>
      </w:pPr>
      <w:r>
        <w:rPr>
          <w:color w:val="auto"/>
          <w:highlight w:val="none"/>
        </w:rPr>
        <w:t xml:space="preserve">6.1.1 </w:t>
      </w:r>
      <w:r>
        <w:rPr>
          <w:rFonts w:hint="eastAsia" w:cs="宋体"/>
          <w:color w:val="auto"/>
          <w:highlight w:val="none"/>
        </w:rPr>
        <w:t>评标由招标人依法组建的评标委员会负责。评标委员会由招标人或其委托的招标代理机构熟悉相关业务的代表，以及有关技术、经济等方面的专家组成。技术、经济等方面专家的确定方式见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。截标前，招标人应就评委会组成情况通过全国公共资源交易平台（广西壮族自治区）向招标监督部门提交申请。</w:t>
      </w:r>
    </w:p>
    <w:p w14:paraId="0B2C8E23">
      <w:pPr>
        <w:spacing w:line="360" w:lineRule="auto"/>
        <w:ind w:firstLine="420" w:firstLineChars="200"/>
        <w:rPr>
          <w:color w:val="auto"/>
          <w:highlight w:val="none"/>
        </w:rPr>
      </w:pPr>
      <w:r>
        <w:rPr>
          <w:color w:val="auto"/>
          <w:highlight w:val="none"/>
        </w:rPr>
        <w:t xml:space="preserve">6.1.2 </w:t>
      </w:r>
      <w:r>
        <w:rPr>
          <w:rFonts w:hint="eastAsia" w:cs="宋体"/>
          <w:color w:val="auto"/>
          <w:highlight w:val="none"/>
        </w:rPr>
        <w:t>评标委员会成员有下列情形之一的，应当回避：</w:t>
      </w:r>
      <w:bookmarkStart w:id="319" w:name="_Toc389065179"/>
    </w:p>
    <w:p w14:paraId="54620B69">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w:t>
      </w:r>
      <w:r>
        <w:rPr>
          <w:rFonts w:hint="eastAsia" w:ascii="宋体" w:hAnsi="宋体" w:cs="宋体"/>
          <w:color w:val="auto"/>
          <w:highlight w:val="none"/>
          <w:shd w:val="clear" w:color="auto" w:fill="FFFFFF"/>
        </w:rPr>
        <w:t>投标人或者投标人主要负责人的近亲属</w:t>
      </w:r>
      <w:r>
        <w:rPr>
          <w:rFonts w:hint="eastAsia" w:hAnsi="宋体" w:cs="宋体"/>
          <w:color w:val="auto"/>
          <w:highlight w:val="none"/>
        </w:rPr>
        <w:t>；</w:t>
      </w:r>
    </w:p>
    <w:p w14:paraId="73D0CB61">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）本</w:t>
      </w:r>
      <w:r>
        <w:rPr>
          <w:rFonts w:hint="eastAsia" w:ascii="宋体" w:hAnsi="宋体" w:cs="宋体"/>
          <w:color w:val="auto"/>
          <w:highlight w:val="none"/>
          <w:shd w:val="clear" w:color="auto" w:fill="FFFFFF"/>
        </w:rPr>
        <w:t>招标项目主管部门或者本招标项目招标投标行政监督部门的工作人员</w:t>
      </w:r>
      <w:r>
        <w:rPr>
          <w:rFonts w:hint="eastAsia" w:hAnsi="宋体" w:cs="宋体"/>
          <w:color w:val="auto"/>
          <w:highlight w:val="none"/>
        </w:rPr>
        <w:t>；</w:t>
      </w:r>
    </w:p>
    <w:p w14:paraId="58712ED3">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w:t>
      </w:r>
      <w:r>
        <w:rPr>
          <w:rFonts w:hint="eastAsia" w:ascii="宋体" w:hAnsi="宋体" w:cs="宋体"/>
          <w:color w:val="auto"/>
          <w:highlight w:val="none"/>
          <w:shd w:val="clear" w:color="auto" w:fill="FFFFFF"/>
        </w:rPr>
        <w:t>与投标人有经济利益关系，可能影响对投标公正评审的人员</w:t>
      </w:r>
      <w:r>
        <w:rPr>
          <w:rFonts w:hint="eastAsia" w:hAnsi="宋体" w:cs="宋体"/>
          <w:color w:val="auto"/>
          <w:highlight w:val="none"/>
        </w:rPr>
        <w:t>；</w:t>
      </w:r>
    </w:p>
    <w:p w14:paraId="225EB0B7">
      <w:pPr>
        <w:spacing w:line="360" w:lineRule="auto"/>
        <w:ind w:firstLine="420" w:firstLineChars="200"/>
        <w:rPr>
          <w:rFonts w:hint="eastAsia"/>
          <w:color w:val="auto"/>
          <w:highlight w:val="none"/>
        </w:rPr>
      </w:pPr>
      <w:r>
        <w:rPr>
          <w:rFonts w:hint="eastAsia"/>
          <w:color w:val="auto"/>
          <w:highlight w:val="none"/>
        </w:rPr>
        <w:t>（4）为该工程提供勘察、设计、监理咨询的主要人员、参与前期项目评审的人员；</w:t>
      </w:r>
    </w:p>
    <w:p w14:paraId="2F2A6466">
      <w:pPr>
        <w:spacing w:line="360" w:lineRule="auto"/>
        <w:ind w:firstLine="420" w:firstLineChars="200"/>
        <w:rPr>
          <w:rFonts w:hint="eastAsia"/>
          <w:color w:val="auto"/>
          <w:highlight w:val="none"/>
        </w:rPr>
      </w:pPr>
      <w:r>
        <w:rPr>
          <w:rFonts w:hint="eastAsia"/>
          <w:color w:val="auto"/>
          <w:highlight w:val="none"/>
        </w:rPr>
        <w:t>（5）为该工程招标代理</w:t>
      </w:r>
      <w:r>
        <w:rPr>
          <w:rFonts w:hint="eastAsia"/>
          <w:color w:val="auto"/>
          <w:highlight w:val="none"/>
          <w:lang w:eastAsia="zh-CN"/>
        </w:rPr>
        <w:t>（指抽取的评委）</w:t>
      </w:r>
      <w:r>
        <w:rPr>
          <w:rFonts w:hint="eastAsia"/>
          <w:color w:val="auto"/>
          <w:highlight w:val="none"/>
        </w:rPr>
        <w:t>、造价咨询机构、全过程工程咨询机构的人员；</w:t>
      </w:r>
    </w:p>
    <w:p w14:paraId="26A83D0F">
      <w:pPr>
        <w:spacing w:line="360" w:lineRule="auto"/>
        <w:ind w:firstLine="420" w:firstLineChars="200"/>
        <w:rPr>
          <w:rFonts w:hint="eastAsia"/>
          <w:color w:val="auto"/>
          <w:highlight w:val="none"/>
        </w:rPr>
      </w:pPr>
      <w:r>
        <w:rPr>
          <w:rFonts w:hint="eastAsia"/>
          <w:color w:val="auto"/>
          <w:highlight w:val="none"/>
        </w:rPr>
        <w:t>（6）2年内曾在投标单位中任职或担任顾问的人员；</w:t>
      </w:r>
    </w:p>
    <w:p w14:paraId="223D136A">
      <w:pPr>
        <w:spacing w:line="360" w:lineRule="auto"/>
        <w:ind w:firstLine="420" w:firstLineChars="200"/>
        <w:rPr>
          <w:rFonts w:hint="eastAsia"/>
          <w:color w:val="auto"/>
          <w:highlight w:val="none"/>
        </w:rPr>
      </w:pPr>
      <w:r>
        <w:rPr>
          <w:rFonts w:hint="eastAsia"/>
          <w:color w:val="auto"/>
          <w:highlight w:val="none"/>
        </w:rPr>
        <w:t>（7）在投标单位退休不满3年（含3年）的人员；</w:t>
      </w:r>
    </w:p>
    <w:p w14:paraId="77DA3E38">
      <w:pPr>
        <w:spacing w:line="360" w:lineRule="auto"/>
        <w:ind w:firstLine="420" w:firstLineChars="200"/>
        <w:rPr>
          <w:rFonts w:hint="eastAsia"/>
          <w:color w:val="auto"/>
          <w:highlight w:val="none"/>
        </w:rPr>
      </w:pPr>
      <w:r>
        <w:rPr>
          <w:rFonts w:hint="eastAsia"/>
          <w:color w:val="auto"/>
          <w:highlight w:val="none"/>
        </w:rPr>
        <w:t>（8）现任职单位与投标单位的法定代表人为同一人的人员；</w:t>
      </w:r>
    </w:p>
    <w:p w14:paraId="6F4AE546">
      <w:pPr>
        <w:spacing w:line="360" w:lineRule="auto"/>
        <w:ind w:firstLine="420" w:firstLineChars="200"/>
        <w:rPr>
          <w:rFonts w:hint="eastAsia"/>
          <w:color w:val="auto"/>
          <w:highlight w:val="none"/>
        </w:rPr>
      </w:pPr>
      <w:r>
        <w:rPr>
          <w:rFonts w:hint="eastAsia"/>
          <w:color w:val="auto"/>
          <w:highlight w:val="none"/>
        </w:rPr>
        <w:t>（9）现任职单位与投标单位是上（下）级管理或控股（被控股）关系的人员；</w:t>
      </w:r>
    </w:p>
    <w:p w14:paraId="4AC20A5E">
      <w:pPr>
        <w:spacing w:line="360" w:lineRule="auto"/>
        <w:ind w:firstLine="420" w:firstLineChars="200"/>
        <w:rPr>
          <w:color w:val="auto"/>
          <w:highlight w:val="none"/>
        </w:rPr>
      </w:pPr>
      <w:r>
        <w:rPr>
          <w:rFonts w:hint="eastAsia"/>
          <w:color w:val="auto"/>
          <w:highlight w:val="none"/>
        </w:rPr>
        <w:t>（10）与投标人有其他利害关系的人员。</w:t>
      </w:r>
    </w:p>
    <w:p w14:paraId="5950A395">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09BCE811">
      <w:pPr>
        <w:spacing w:line="360" w:lineRule="auto"/>
        <w:ind w:firstLine="420" w:firstLineChars="200"/>
        <w:rPr>
          <w:rFonts w:hint="eastAsia" w:hAnsi="宋体" w:cs="宋体"/>
          <w:color w:val="auto"/>
          <w:highlight w:val="none"/>
        </w:rPr>
      </w:pPr>
      <w:r>
        <w:rPr>
          <w:rFonts w:hint="eastAsia" w:hAnsi="宋体" w:cs="宋体"/>
          <w:color w:val="auto"/>
          <w:highlight w:val="none"/>
        </w:rPr>
        <w:t>（1）曾在招标投标活动中从事违法行为而受过行政处罚或者刑事处罚的人员；</w:t>
      </w:r>
    </w:p>
    <w:p w14:paraId="1E10AB2E">
      <w:pPr>
        <w:spacing w:line="360" w:lineRule="auto"/>
        <w:ind w:firstLine="420" w:firstLineChars="200"/>
        <w:rPr>
          <w:rFonts w:hint="eastAsia" w:hAnsi="宋体" w:cs="宋体"/>
          <w:color w:val="auto"/>
          <w:highlight w:val="none"/>
        </w:rPr>
      </w:pPr>
      <w:r>
        <w:rPr>
          <w:rFonts w:hint="eastAsia" w:hAnsi="宋体" w:cs="宋体"/>
          <w:color w:val="auto"/>
          <w:highlight w:val="none"/>
        </w:rPr>
        <w:t>（2）曾被开除公职或被取消评标专家资格的；</w:t>
      </w:r>
    </w:p>
    <w:p w14:paraId="53427466">
      <w:pPr>
        <w:spacing w:line="360" w:lineRule="auto"/>
        <w:ind w:firstLine="420" w:firstLineChars="200"/>
        <w:rPr>
          <w:rFonts w:hint="eastAsia" w:hAnsi="宋体" w:cs="宋体"/>
          <w:color w:val="auto"/>
          <w:highlight w:val="none"/>
        </w:rPr>
      </w:pPr>
      <w:r>
        <w:rPr>
          <w:rFonts w:hint="eastAsia" w:hAnsi="宋体" w:cs="宋体"/>
          <w:color w:val="auto"/>
          <w:highlight w:val="none"/>
        </w:rPr>
        <w:t>（3）曾因犯罪受过刑事处罚的；</w:t>
      </w:r>
    </w:p>
    <w:p w14:paraId="35C000E7">
      <w:pPr>
        <w:spacing w:line="360" w:lineRule="auto"/>
        <w:ind w:firstLine="420" w:firstLineChars="200"/>
        <w:rPr>
          <w:rFonts w:hint="eastAsia" w:hAnsi="宋体" w:cs="宋体"/>
          <w:color w:val="auto"/>
          <w:highlight w:val="none"/>
        </w:rPr>
      </w:pPr>
      <w:r>
        <w:rPr>
          <w:rFonts w:hint="eastAsia" w:hAnsi="宋体" w:cs="宋体"/>
          <w:color w:val="auto"/>
          <w:highlight w:val="none"/>
        </w:rPr>
        <w:t>（4）评标时期在全国建筑市场监管公共服务平台（http://jzsc.mohurd.gov.cn/home）被列为个人</w:t>
      </w:r>
      <w:r>
        <w:rPr>
          <w:rFonts w:hint="eastAsia"/>
          <w:color w:val="auto"/>
          <w:szCs w:val="21"/>
          <w:highlight w:val="none"/>
        </w:rPr>
        <w:t>诚信不良</w:t>
      </w:r>
      <w:r>
        <w:rPr>
          <w:rFonts w:hint="eastAsia"/>
          <w:color w:val="auto"/>
          <w:szCs w:val="21"/>
          <w:highlight w:val="none"/>
          <w:lang w:eastAsia="zh-CN"/>
        </w:rPr>
        <w:t>、</w:t>
      </w:r>
      <w:r>
        <w:rPr>
          <w:rFonts w:hint="eastAsia" w:hAnsi="宋体" w:cs="宋体"/>
          <w:color w:val="auto"/>
          <w:highlight w:val="none"/>
        </w:rPr>
        <w:t>黑名单</w:t>
      </w:r>
      <w:r>
        <w:rPr>
          <w:rFonts w:hint="eastAsia"/>
          <w:color w:val="auto"/>
          <w:szCs w:val="21"/>
          <w:highlight w:val="none"/>
        </w:rPr>
        <w:t>、</w:t>
      </w:r>
      <w:r>
        <w:rPr>
          <w:rFonts w:hint="eastAsia"/>
          <w:color w:val="auto"/>
          <w:szCs w:val="21"/>
          <w:highlight w:val="none"/>
        </w:rPr>
        <w:t>失信联合惩戒</w:t>
      </w:r>
      <w:r>
        <w:rPr>
          <w:rFonts w:hint="eastAsia" w:hAnsi="宋体" w:cs="宋体"/>
          <w:color w:val="auto"/>
          <w:highlight w:val="none"/>
        </w:rPr>
        <w:t>的人员；</w:t>
      </w:r>
    </w:p>
    <w:p w14:paraId="29D61AD2">
      <w:pPr>
        <w:spacing w:line="360" w:lineRule="auto"/>
        <w:ind w:firstLine="420" w:firstLineChars="200"/>
        <w:rPr>
          <w:rFonts w:hint="eastAsia" w:ascii="宋体" w:hAnsi="宋体" w:cs="宋体"/>
          <w:color w:val="auto"/>
          <w:highlight w:val="none"/>
          <w:shd w:val="clear" w:color="auto" w:fill="FFFFFF"/>
        </w:rPr>
      </w:pPr>
      <w:r>
        <w:rPr>
          <w:rFonts w:hint="eastAsia" w:hAnsi="宋体" w:cs="宋体"/>
          <w:color w:val="auto"/>
          <w:highlight w:val="none"/>
        </w:rPr>
        <w:t>（5）评标时期在“信用中国”网站（www.creditchina.gov.cn）中被列为失信被执行人的人员。</w:t>
      </w:r>
    </w:p>
    <w:p w14:paraId="3D747919">
      <w:pPr>
        <w:pStyle w:val="4"/>
        <w:rPr>
          <w:color w:val="auto"/>
          <w:highlight w:val="none"/>
        </w:rPr>
      </w:pPr>
      <w:bookmarkStart w:id="320" w:name="_Toc19804"/>
      <w:bookmarkStart w:id="321" w:name="_Toc78449659"/>
      <w:bookmarkStart w:id="322" w:name="_Toc407135114"/>
      <w:bookmarkStart w:id="323" w:name="_Toc1161552754"/>
      <w:r>
        <w:rPr>
          <w:color w:val="auto"/>
          <w:highlight w:val="none"/>
        </w:rPr>
        <w:t xml:space="preserve">6.2 </w:t>
      </w:r>
      <w:r>
        <w:rPr>
          <w:rFonts w:hint="eastAsia" w:cs="黑体"/>
          <w:color w:val="auto"/>
          <w:highlight w:val="none"/>
        </w:rPr>
        <w:t>评标原则</w:t>
      </w:r>
      <w:bookmarkEnd w:id="319"/>
      <w:bookmarkEnd w:id="320"/>
      <w:bookmarkEnd w:id="321"/>
      <w:bookmarkEnd w:id="322"/>
      <w:bookmarkEnd w:id="323"/>
    </w:p>
    <w:p w14:paraId="63A54D0A">
      <w:pPr>
        <w:spacing w:line="360" w:lineRule="auto"/>
        <w:ind w:firstLine="420" w:firstLineChars="200"/>
        <w:rPr>
          <w:color w:val="auto"/>
          <w:highlight w:val="none"/>
        </w:rPr>
      </w:pPr>
      <w:r>
        <w:rPr>
          <w:color w:val="auto"/>
          <w:highlight w:val="none"/>
        </w:rPr>
        <w:t xml:space="preserve">6.2.1 </w:t>
      </w:r>
      <w:r>
        <w:rPr>
          <w:rFonts w:hint="eastAsia" w:cs="宋体"/>
          <w:color w:val="auto"/>
          <w:highlight w:val="none"/>
        </w:rPr>
        <w:t>评标活动遵循公平、公正、科学和择优的原则。</w:t>
      </w:r>
    </w:p>
    <w:p w14:paraId="3C95D7AC">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470CCA1F">
      <w:pPr>
        <w:spacing w:line="360" w:lineRule="auto"/>
        <w:ind w:firstLine="420" w:firstLineChars="200"/>
        <w:rPr>
          <w:color w:val="auto"/>
          <w:highlight w:val="none"/>
        </w:rPr>
      </w:pPr>
      <w:r>
        <w:rPr>
          <w:rFonts w:hint="eastAsia" w:hAnsi="宋体" w:cs="宋体"/>
          <w:color w:val="auto"/>
          <w:highlight w:val="none"/>
        </w:rPr>
        <w:t>开标结束后，因电子招标投标系统故障无法评标时，经招标监督部门同意后，招标人可以选择暂停评标活动，等待故障排除后继续评标。等待故障排除过程，必须对原有资料及信息作出妥善保密处理。</w:t>
      </w:r>
    </w:p>
    <w:p w14:paraId="2F32AFCB">
      <w:pPr>
        <w:pStyle w:val="4"/>
        <w:rPr>
          <w:color w:val="auto"/>
          <w:highlight w:val="none"/>
        </w:rPr>
      </w:pPr>
      <w:bookmarkStart w:id="324" w:name="_Toc389065180"/>
      <w:bookmarkStart w:id="325" w:name="_Toc78449660"/>
      <w:bookmarkStart w:id="326" w:name="_Toc1717008437"/>
      <w:bookmarkStart w:id="327" w:name="_Toc3213"/>
      <w:bookmarkStart w:id="328" w:name="_Toc407135115"/>
      <w:r>
        <w:rPr>
          <w:color w:val="auto"/>
          <w:highlight w:val="none"/>
        </w:rPr>
        <w:t xml:space="preserve">6.3 </w:t>
      </w:r>
      <w:r>
        <w:rPr>
          <w:rFonts w:hint="eastAsia" w:cs="黑体"/>
          <w:color w:val="auto"/>
          <w:highlight w:val="none"/>
        </w:rPr>
        <w:t>评标</w:t>
      </w:r>
      <w:bookmarkEnd w:id="324"/>
      <w:r>
        <w:rPr>
          <w:rFonts w:hint="eastAsia" w:cs="黑体"/>
          <w:color w:val="auto"/>
          <w:highlight w:val="none"/>
        </w:rPr>
        <w:t>方式</w:t>
      </w:r>
      <w:bookmarkEnd w:id="325"/>
      <w:bookmarkEnd w:id="326"/>
      <w:bookmarkEnd w:id="327"/>
      <w:bookmarkEnd w:id="328"/>
    </w:p>
    <w:p w14:paraId="4464AE90">
      <w:pPr>
        <w:spacing w:line="360" w:lineRule="auto"/>
        <w:ind w:firstLine="420" w:firstLineChars="200"/>
        <w:rPr>
          <w:color w:val="auto"/>
          <w:highlight w:val="none"/>
        </w:rPr>
      </w:pPr>
      <w:r>
        <w:rPr>
          <w:rFonts w:hint="eastAsia" w:cs="宋体"/>
          <w:color w:val="auto"/>
          <w:highlight w:val="none"/>
        </w:rPr>
        <w:t>评标委员会按照第三章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规定的方法、评审因素、标准和程序对投标文件进行评审。第三章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没有规定的方法、评审因素和标准，不作为评标依据。具体评标方式见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0909E427">
      <w:pPr>
        <w:pStyle w:val="4"/>
        <w:rPr>
          <w:color w:val="auto"/>
          <w:highlight w:val="none"/>
        </w:rPr>
      </w:pPr>
      <w:bookmarkStart w:id="329" w:name="_Toc78449661"/>
      <w:bookmarkStart w:id="330" w:name="_Toc1673392034"/>
      <w:bookmarkStart w:id="331" w:name="_Toc407135116"/>
      <w:bookmarkStart w:id="332" w:name="_Toc24363"/>
      <w:bookmarkStart w:id="333" w:name="_Toc389065181"/>
      <w:r>
        <w:rPr>
          <w:color w:val="auto"/>
          <w:highlight w:val="none"/>
        </w:rPr>
        <w:t xml:space="preserve">6.4 </w:t>
      </w:r>
      <w:r>
        <w:rPr>
          <w:rFonts w:hint="eastAsia" w:cs="黑体"/>
          <w:color w:val="auto"/>
          <w:highlight w:val="none"/>
        </w:rPr>
        <w:t>移交评标资料</w:t>
      </w:r>
      <w:bookmarkEnd w:id="329"/>
      <w:bookmarkEnd w:id="330"/>
      <w:bookmarkEnd w:id="331"/>
      <w:bookmarkEnd w:id="332"/>
      <w:bookmarkEnd w:id="333"/>
    </w:p>
    <w:p w14:paraId="4DC32082">
      <w:pPr>
        <w:spacing w:line="360" w:lineRule="auto"/>
        <w:ind w:firstLine="420" w:firstLineChars="200"/>
        <w:rPr>
          <w:color w:val="auto"/>
          <w:highlight w:val="none"/>
        </w:rPr>
      </w:pPr>
      <w:r>
        <w:rPr>
          <w:rFonts w:hint="eastAsia" w:cs="宋体"/>
          <w:color w:val="auto"/>
          <w:highlight w:val="none"/>
        </w:rPr>
        <w:t>评标委员会完成评标后，立即通过全国公共资源交易平台（广西壮族自治区）提交评标报告和中标候选人名单，并同时向招标人移交所有评标所涉资料。</w:t>
      </w:r>
    </w:p>
    <w:p w14:paraId="1B91FFBB">
      <w:pPr>
        <w:pStyle w:val="4"/>
        <w:rPr>
          <w:color w:val="auto"/>
          <w:highlight w:val="none"/>
        </w:rPr>
      </w:pPr>
      <w:bookmarkStart w:id="334" w:name="_Toc78449662"/>
      <w:bookmarkStart w:id="335" w:name="_Toc21041"/>
      <w:bookmarkStart w:id="336" w:name="_Toc389065182"/>
      <w:bookmarkStart w:id="337" w:name="_Toc821386297"/>
      <w:bookmarkStart w:id="338" w:name="_Toc407135117"/>
      <w:r>
        <w:rPr>
          <w:color w:val="auto"/>
          <w:highlight w:val="none"/>
        </w:rPr>
        <w:t xml:space="preserve">6.5 </w:t>
      </w:r>
      <w:r>
        <w:rPr>
          <w:rFonts w:hint="eastAsia" w:cs="黑体"/>
          <w:color w:val="auto"/>
          <w:highlight w:val="none"/>
        </w:rPr>
        <w:t>评标资料封存和启封</w:t>
      </w:r>
      <w:bookmarkEnd w:id="334"/>
      <w:bookmarkEnd w:id="335"/>
      <w:bookmarkEnd w:id="336"/>
      <w:bookmarkEnd w:id="337"/>
      <w:bookmarkEnd w:id="338"/>
    </w:p>
    <w:p w14:paraId="1A25BB9B">
      <w:pPr>
        <w:spacing w:line="360" w:lineRule="auto"/>
        <w:ind w:firstLine="420" w:firstLineChars="200"/>
        <w:rPr>
          <w:color w:val="auto"/>
          <w:highlight w:val="none"/>
        </w:rPr>
      </w:pPr>
      <w:r>
        <w:rPr>
          <w:color w:val="auto"/>
          <w:highlight w:val="none"/>
        </w:rPr>
        <w:t xml:space="preserve">6.5.1 </w:t>
      </w:r>
      <w:r>
        <w:rPr>
          <w:rFonts w:hint="eastAsia" w:cs="宋体"/>
          <w:color w:val="auto"/>
          <w:highlight w:val="none"/>
        </w:rPr>
        <w:t>评标结束至中标通知书发放时，招标人按“投标人须知前附表”规定的封存方式封存评标资料。</w:t>
      </w:r>
    </w:p>
    <w:p w14:paraId="5464165B">
      <w:pPr>
        <w:spacing w:line="360" w:lineRule="auto"/>
        <w:ind w:firstLine="420" w:firstLineChars="200"/>
        <w:rPr>
          <w:color w:val="auto"/>
          <w:highlight w:val="none"/>
        </w:rPr>
      </w:pPr>
      <w:r>
        <w:rPr>
          <w:color w:val="auto"/>
          <w:highlight w:val="none"/>
        </w:rPr>
        <w:t xml:space="preserve">6.5.2 </w:t>
      </w:r>
      <w:r>
        <w:rPr>
          <w:rFonts w:hint="eastAsia" w:cs="宋体"/>
          <w:color w:val="auto"/>
          <w:highlight w:val="none"/>
        </w:rPr>
        <w:t>如在封存期间处理招标投标利害当事人提出异议或者投诉时需要启封评标资料的，应按当地招投标监督管理部门规定的程序启封。</w:t>
      </w:r>
    </w:p>
    <w:p w14:paraId="11B792C8">
      <w:pPr>
        <w:spacing w:line="360" w:lineRule="auto"/>
        <w:ind w:firstLine="420" w:firstLineChars="200"/>
        <w:rPr>
          <w:color w:val="auto"/>
          <w:highlight w:val="none"/>
        </w:rPr>
      </w:pPr>
      <w:r>
        <w:rPr>
          <w:color w:val="auto"/>
          <w:highlight w:val="none"/>
        </w:rPr>
        <w:t xml:space="preserve">6.5.3 </w:t>
      </w:r>
      <w:r>
        <w:rPr>
          <w:rFonts w:hint="eastAsia" w:cs="宋体"/>
          <w:color w:val="auto"/>
          <w:highlight w:val="none"/>
        </w:rPr>
        <w:t>评标资料封存和启封应符合当地招投标监督管理部门的规定。</w:t>
      </w:r>
      <w:bookmarkStart w:id="339" w:name="_Toc389065183"/>
    </w:p>
    <w:p w14:paraId="399CE291">
      <w:pPr>
        <w:pStyle w:val="4"/>
        <w:rPr>
          <w:color w:val="auto"/>
          <w:highlight w:val="none"/>
        </w:rPr>
      </w:pPr>
      <w:bookmarkStart w:id="340" w:name="_Toc78449663"/>
      <w:bookmarkStart w:id="341" w:name="_Toc300659512"/>
      <w:bookmarkStart w:id="342" w:name="_Toc407135118"/>
      <w:bookmarkStart w:id="343" w:name="_Toc9777"/>
      <w:r>
        <w:rPr>
          <w:color w:val="auto"/>
          <w:highlight w:val="none"/>
        </w:rPr>
        <w:t xml:space="preserve">6.6 </w:t>
      </w:r>
      <w:r>
        <w:rPr>
          <w:rFonts w:hint="eastAsia" w:cs="黑体"/>
          <w:color w:val="auto"/>
          <w:highlight w:val="none"/>
        </w:rPr>
        <w:t>中标候选人公示</w:t>
      </w:r>
      <w:bookmarkEnd w:id="339"/>
      <w:bookmarkEnd w:id="340"/>
      <w:bookmarkEnd w:id="341"/>
      <w:bookmarkEnd w:id="342"/>
      <w:bookmarkEnd w:id="343"/>
    </w:p>
    <w:p w14:paraId="52D56ABA">
      <w:pPr>
        <w:spacing w:line="360" w:lineRule="auto"/>
        <w:ind w:firstLine="420" w:firstLineChars="200"/>
        <w:rPr>
          <w:color w:val="auto"/>
          <w:highlight w:val="none"/>
        </w:rPr>
      </w:pPr>
      <w:r>
        <w:rPr>
          <w:color w:val="auto"/>
          <w:highlight w:val="none"/>
        </w:rPr>
        <w:t>6.6.1</w:t>
      </w:r>
      <w:r>
        <w:rPr>
          <w:rFonts w:hint="eastAsia"/>
          <w:color w:val="auto"/>
          <w:highlight w:val="none"/>
        </w:rPr>
        <w:t>招标人在收到评标报告之日起3日内在投标人须知前附表规定的发布媒介发布评标结果公示，公示期不少于3个工作日。</w:t>
      </w:r>
    </w:p>
    <w:p w14:paraId="45CC643D">
      <w:pPr>
        <w:spacing w:line="360" w:lineRule="auto"/>
        <w:ind w:firstLine="420" w:firstLineChars="200"/>
        <w:rPr>
          <w:rFonts w:hint="eastAsia"/>
          <w:color w:val="auto"/>
          <w:highlight w:val="none"/>
        </w:rPr>
      </w:pPr>
      <w:r>
        <w:rPr>
          <w:rFonts w:hint="eastAsia"/>
          <w:color w:val="auto"/>
          <w:highlight w:val="none"/>
        </w:rPr>
        <w:t>6.6.2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1FF17C00">
      <w:pPr>
        <w:spacing w:line="360" w:lineRule="auto"/>
        <w:ind w:firstLine="420" w:firstLineChars="200"/>
        <w:rPr>
          <w:color w:val="auto"/>
          <w:highlight w:val="none"/>
        </w:rPr>
      </w:pPr>
      <w:r>
        <w:rPr>
          <w:color w:val="auto"/>
          <w:highlight w:val="none"/>
        </w:rPr>
        <w:t>6.6.</w:t>
      </w:r>
      <w:r>
        <w:rPr>
          <w:rFonts w:hint="eastAsia"/>
          <w:color w:val="auto"/>
          <w:highlight w:val="none"/>
          <w:lang w:val="en-US" w:eastAsia="zh-CN"/>
        </w:rPr>
        <w:t>3</w:t>
      </w:r>
      <w:r>
        <w:rPr>
          <w:color w:val="auto"/>
          <w:highlight w:val="none"/>
        </w:rPr>
        <w:t xml:space="preserve"> </w:t>
      </w:r>
      <w:r>
        <w:rPr>
          <w:rFonts w:hint="eastAsia" w:cs="宋体"/>
          <w:color w:val="auto"/>
          <w:highlight w:val="none"/>
        </w:rPr>
        <w:t>投标人或者其他利害关系人对评标结果有异议的，应当在中标候选人公示期间通过全国公共资源交易平台（广西壮族自治区）或提交纸质书面材料提出。招标人自收到异议之日起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117B345F">
      <w:pPr>
        <w:spacing w:line="360" w:lineRule="auto"/>
        <w:ind w:firstLine="420" w:firstLineChars="200"/>
        <w:rPr>
          <w:color w:val="auto"/>
          <w:highlight w:val="none"/>
        </w:rPr>
      </w:pPr>
      <w:r>
        <w:rPr>
          <w:color w:val="auto"/>
          <w:highlight w:val="none"/>
        </w:rPr>
        <w:t>6.6.</w:t>
      </w:r>
      <w:r>
        <w:rPr>
          <w:rFonts w:hint="eastAsia"/>
          <w:color w:val="auto"/>
          <w:highlight w:val="none"/>
          <w:lang w:val="en-US" w:eastAsia="zh-CN"/>
        </w:rPr>
        <w:t>4</w:t>
      </w:r>
      <w:r>
        <w:rPr>
          <w:color w:val="auto"/>
          <w:highlight w:val="none"/>
        </w:rPr>
        <w:t xml:space="preserve"> </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p>
    <w:p w14:paraId="1FB5ED63">
      <w:pPr>
        <w:pStyle w:val="4"/>
        <w:rPr>
          <w:color w:val="auto"/>
          <w:highlight w:val="none"/>
        </w:rPr>
      </w:pPr>
      <w:bookmarkStart w:id="344" w:name="_Toc465114777"/>
      <w:bookmarkStart w:id="345" w:name="_Toc78449664"/>
      <w:bookmarkStart w:id="346" w:name="_Toc222840808"/>
      <w:bookmarkStart w:id="347" w:name="_Toc6638"/>
      <w:r>
        <w:rPr>
          <w:color w:val="auto"/>
          <w:highlight w:val="none"/>
        </w:rPr>
        <w:t>6.7</w:t>
      </w:r>
      <w:r>
        <w:rPr>
          <w:rFonts w:hint="eastAsia" w:cs="黑体"/>
          <w:color w:val="auto"/>
          <w:highlight w:val="none"/>
        </w:rPr>
        <w:t>履约能力审查</w:t>
      </w:r>
      <w:bookmarkEnd w:id="344"/>
      <w:bookmarkEnd w:id="345"/>
      <w:bookmarkEnd w:id="346"/>
      <w:bookmarkEnd w:id="347"/>
    </w:p>
    <w:p w14:paraId="7DBF2CC2">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及时书面告知招标人。</w:t>
      </w:r>
    </w:p>
    <w:p w14:paraId="2551EE88">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p>
    <w:p w14:paraId="358CABF0">
      <w:pPr>
        <w:pStyle w:val="3"/>
        <w:rPr>
          <w:color w:val="auto"/>
          <w:highlight w:val="none"/>
        </w:rPr>
      </w:pPr>
      <w:bookmarkStart w:id="348" w:name="_Toc19118"/>
      <w:bookmarkStart w:id="349" w:name="_Toc816326860"/>
      <w:bookmarkStart w:id="350" w:name="_Toc78449665"/>
      <w:bookmarkStart w:id="351" w:name="_Toc389065184"/>
      <w:bookmarkStart w:id="352" w:name="_Toc407135119"/>
      <w:r>
        <w:rPr>
          <w:color w:val="auto"/>
          <w:highlight w:val="none"/>
        </w:rPr>
        <w:t xml:space="preserve">7 </w:t>
      </w:r>
      <w:r>
        <w:rPr>
          <w:rFonts w:hint="eastAsia" w:cs="黑体"/>
          <w:color w:val="auto"/>
          <w:highlight w:val="none"/>
        </w:rPr>
        <w:t>合同授予</w:t>
      </w:r>
      <w:bookmarkEnd w:id="348"/>
      <w:bookmarkEnd w:id="349"/>
      <w:bookmarkEnd w:id="350"/>
      <w:bookmarkEnd w:id="351"/>
      <w:bookmarkEnd w:id="352"/>
    </w:p>
    <w:p w14:paraId="5993D6E1">
      <w:pPr>
        <w:pStyle w:val="4"/>
        <w:rPr>
          <w:color w:val="auto"/>
          <w:highlight w:val="none"/>
        </w:rPr>
      </w:pPr>
      <w:bookmarkStart w:id="353" w:name="_Toc78449666"/>
      <w:bookmarkStart w:id="354" w:name="_Toc389065185"/>
      <w:bookmarkStart w:id="355" w:name="_Toc1227023857"/>
      <w:bookmarkStart w:id="356" w:name="_Toc17139"/>
      <w:bookmarkStart w:id="357" w:name="_Toc407135120"/>
      <w:r>
        <w:rPr>
          <w:color w:val="auto"/>
          <w:highlight w:val="none"/>
        </w:rPr>
        <w:t xml:space="preserve">7.1 </w:t>
      </w:r>
      <w:r>
        <w:rPr>
          <w:rFonts w:hint="eastAsia" w:cs="黑体"/>
          <w:color w:val="auto"/>
          <w:highlight w:val="none"/>
        </w:rPr>
        <w:t>定标方式</w:t>
      </w:r>
      <w:bookmarkEnd w:id="353"/>
      <w:bookmarkEnd w:id="354"/>
      <w:bookmarkEnd w:id="355"/>
      <w:bookmarkEnd w:id="356"/>
      <w:bookmarkEnd w:id="357"/>
    </w:p>
    <w:p w14:paraId="11202A0D">
      <w:pPr>
        <w:spacing w:line="360" w:lineRule="auto"/>
        <w:ind w:firstLine="420" w:firstLineChars="200"/>
        <w:rPr>
          <w:color w:val="auto"/>
          <w:highlight w:val="none"/>
        </w:rPr>
      </w:pPr>
      <w:r>
        <w:rPr>
          <w:rFonts w:hint="eastAsia" w:cs="宋体"/>
          <w:color w:val="auto"/>
          <w:highlight w:val="none"/>
        </w:rPr>
        <w:t>除</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规定评标委员会直接确定中标人外，招标人依据评标委员会推荐的中标候选人确定中标人，评标委员会推荐中标候选人的人数见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14:paraId="72C74C41">
      <w:pPr>
        <w:pStyle w:val="4"/>
        <w:rPr>
          <w:rFonts w:hint="eastAsia" w:eastAsia="黑体"/>
          <w:color w:val="auto"/>
          <w:highlight w:val="none"/>
          <w:lang w:eastAsia="zh-CN"/>
        </w:rPr>
      </w:pPr>
      <w:bookmarkStart w:id="358" w:name="_Toc389065186"/>
      <w:bookmarkStart w:id="359" w:name="_Toc157159122"/>
      <w:bookmarkStart w:id="360" w:name="_Toc407135121"/>
      <w:bookmarkStart w:id="361" w:name="_Toc78449667"/>
      <w:bookmarkStart w:id="362" w:name="_Toc28484"/>
      <w:r>
        <w:rPr>
          <w:color w:val="auto"/>
          <w:highlight w:val="none"/>
        </w:rPr>
        <w:t xml:space="preserve">7.2 </w:t>
      </w:r>
      <w:r>
        <w:rPr>
          <w:rFonts w:hint="eastAsia" w:cs="黑体"/>
          <w:color w:val="auto"/>
          <w:highlight w:val="none"/>
        </w:rPr>
        <w:t>中标通知</w:t>
      </w:r>
      <w:bookmarkEnd w:id="358"/>
      <w:r>
        <w:rPr>
          <w:rFonts w:hint="eastAsia" w:cs="黑体"/>
          <w:color w:val="auto"/>
          <w:highlight w:val="none"/>
        </w:rPr>
        <w:t>及</w:t>
      </w:r>
      <w:bookmarkEnd w:id="359"/>
      <w:bookmarkEnd w:id="360"/>
      <w:bookmarkEnd w:id="361"/>
      <w:r>
        <w:rPr>
          <w:rFonts w:hint="eastAsia" w:cs="黑体"/>
          <w:color w:val="auto"/>
          <w:highlight w:val="none"/>
          <w:lang w:eastAsia="zh-CN"/>
        </w:rPr>
        <w:t>中标结果公告</w:t>
      </w:r>
      <w:bookmarkEnd w:id="362"/>
    </w:p>
    <w:p w14:paraId="49C2AD36">
      <w:pPr>
        <w:spacing w:line="360" w:lineRule="auto"/>
        <w:ind w:firstLine="420" w:firstLineChars="200"/>
        <w:rPr>
          <w:color w:val="auto"/>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，将中标结果在广西壮族自治区公共资源交易平台系统网站中通知未中标的投标人。</w:t>
      </w:r>
      <w:r>
        <w:rPr>
          <w:rFonts w:hint="eastAsia" w:ascii="仿宋_GB2312" w:hAnsi="宋体" w:cs="宋体"/>
          <w:color w:val="auto"/>
          <w:highlight w:val="none"/>
        </w:rPr>
        <w:t>依法必须招标项目的</w:t>
      </w:r>
      <w:r>
        <w:rPr>
          <w:rFonts w:hint="eastAsia" w:ascii="仿宋_GB2312" w:hAnsi="宋体" w:cs="宋体"/>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p>
    <w:p w14:paraId="56D4CC25">
      <w:pPr>
        <w:pStyle w:val="4"/>
        <w:rPr>
          <w:color w:val="auto"/>
          <w:highlight w:val="none"/>
        </w:rPr>
      </w:pPr>
      <w:bookmarkStart w:id="363" w:name="_Toc389065187"/>
      <w:bookmarkStart w:id="364" w:name="_Toc19682"/>
      <w:bookmarkStart w:id="365" w:name="_Toc1448385315"/>
      <w:bookmarkStart w:id="366" w:name="_Toc78449668"/>
      <w:bookmarkStart w:id="367" w:name="_Toc407135122"/>
      <w:r>
        <w:rPr>
          <w:color w:val="auto"/>
          <w:highlight w:val="none"/>
        </w:rPr>
        <w:t xml:space="preserve">7.3 </w:t>
      </w:r>
      <w:r>
        <w:rPr>
          <w:rFonts w:hint="eastAsia" w:cs="黑体"/>
          <w:color w:val="auto"/>
          <w:highlight w:val="none"/>
        </w:rPr>
        <w:t>履约</w:t>
      </w:r>
      <w:bookmarkEnd w:id="363"/>
      <w:r>
        <w:rPr>
          <w:rFonts w:hint="eastAsia" w:cs="黑体"/>
          <w:color w:val="auto"/>
          <w:highlight w:val="none"/>
        </w:rPr>
        <w:t>保证金</w:t>
      </w:r>
      <w:bookmarkEnd w:id="364"/>
      <w:bookmarkEnd w:id="365"/>
      <w:bookmarkEnd w:id="366"/>
      <w:bookmarkEnd w:id="367"/>
    </w:p>
    <w:p w14:paraId="0D7AAC9E">
      <w:pPr>
        <w:spacing w:line="360" w:lineRule="auto"/>
        <w:ind w:firstLine="420" w:firstLineChars="200"/>
        <w:rPr>
          <w:color w:val="auto"/>
          <w:highlight w:val="none"/>
        </w:rPr>
      </w:pPr>
      <w:r>
        <w:rPr>
          <w:color w:val="auto"/>
          <w:highlight w:val="none"/>
        </w:rPr>
        <w:t xml:space="preserve">7.3.1 </w:t>
      </w:r>
      <w:r>
        <w:rPr>
          <w:rFonts w:hint="eastAsia" w:cs="宋体"/>
          <w:color w:val="auto"/>
          <w:highlight w:val="none"/>
        </w:rPr>
        <w:t>在签订合同前，中标人应按</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合同条款及格式</w:t>
      </w:r>
      <w:r>
        <w:rPr>
          <w:color w:val="auto"/>
          <w:highlight w:val="none"/>
        </w:rPr>
        <w:t>”</w:t>
      </w:r>
      <w:r>
        <w:rPr>
          <w:rFonts w:hint="eastAsia" w:cs="宋体"/>
          <w:color w:val="auto"/>
          <w:highlight w:val="none"/>
        </w:rPr>
        <w:t>规定的履约担保格式向招标人提交履约保证金。联合体中标的，其履约保证金由牵头人递交，并应符合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w:t>
      </w:r>
      <w:r>
        <w:rPr>
          <w:color w:val="auto"/>
          <w:highlight w:val="none"/>
        </w:rPr>
        <w:t>”</w:t>
      </w:r>
      <w:r>
        <w:rPr>
          <w:rFonts w:hint="eastAsia" w:cs="宋体"/>
          <w:color w:val="auto"/>
          <w:highlight w:val="none"/>
        </w:rPr>
        <w:t>规定的履约担保要求。</w:t>
      </w:r>
    </w:p>
    <w:p w14:paraId="539588A4">
      <w:pPr>
        <w:spacing w:line="360" w:lineRule="auto"/>
        <w:ind w:firstLine="420" w:firstLineChars="200"/>
        <w:rPr>
          <w:rFonts w:hint="eastAsia" w:cs="宋体"/>
          <w:color w:val="auto"/>
          <w:highlight w:val="none"/>
        </w:rPr>
      </w:pPr>
      <w:r>
        <w:rPr>
          <w:color w:val="auto"/>
          <w:highlight w:val="none"/>
        </w:rPr>
        <w:t xml:space="preserve">7.3.2 </w:t>
      </w:r>
      <w:r>
        <w:rPr>
          <w:rFonts w:hint="eastAsia" w:cs="宋体"/>
          <w:color w:val="auto"/>
          <w:highlight w:val="none"/>
        </w:rPr>
        <w:t>中标人不能按本章第</w:t>
      </w:r>
      <w:r>
        <w:rPr>
          <w:color w:val="auto"/>
          <w:highlight w:val="none"/>
        </w:rPr>
        <w:t>7.3.1</w:t>
      </w:r>
      <w:r>
        <w:rPr>
          <w:rFonts w:hint="eastAsia" w:cs="宋体"/>
          <w:color w:val="auto"/>
          <w:highlight w:val="none"/>
        </w:rPr>
        <w:t>项要求提交履约保证金的，视为放弃中标，招标人有权没收其投标保证金，给招标人造成的损失超过投标保证金数额的，中标人还应当对超过部分予以赔偿。</w:t>
      </w:r>
    </w:p>
    <w:p w14:paraId="72A8568A">
      <w:pPr>
        <w:spacing w:line="360" w:lineRule="auto"/>
        <w:ind w:firstLine="420" w:firstLineChars="200"/>
        <w:rPr>
          <w:rFonts w:hint="eastAsia" w:cs="宋体"/>
          <w:color w:val="auto"/>
          <w:highlight w:val="none"/>
        </w:rPr>
      </w:pPr>
    </w:p>
    <w:p w14:paraId="37DC13C4">
      <w:pPr>
        <w:pStyle w:val="4"/>
        <w:rPr>
          <w:color w:val="auto"/>
          <w:highlight w:val="none"/>
        </w:rPr>
      </w:pPr>
      <w:bookmarkStart w:id="368" w:name="_Toc26246"/>
      <w:bookmarkStart w:id="369" w:name="_Toc1829744987"/>
      <w:bookmarkStart w:id="370" w:name="_Toc389065188"/>
      <w:bookmarkStart w:id="371" w:name="_Toc78449669"/>
      <w:bookmarkStart w:id="372" w:name="_Toc407135123"/>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bookmarkEnd w:id="368"/>
      <w:bookmarkEnd w:id="369"/>
      <w:bookmarkEnd w:id="370"/>
      <w:bookmarkEnd w:id="371"/>
      <w:bookmarkEnd w:id="372"/>
    </w:p>
    <w:p w14:paraId="22544262">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.1 </w:t>
      </w:r>
      <w:r>
        <w:rPr>
          <w:rFonts w:hint="eastAsia" w:cs="宋体"/>
          <w:color w:val="auto"/>
          <w:highlight w:val="none"/>
        </w:rPr>
        <w:t>招标人和中标人应当在投标有效期内以及中标通知书发出之日起</w:t>
      </w:r>
      <w:r>
        <w:rPr>
          <w:color w:val="auto"/>
          <w:highlight w:val="none"/>
        </w:rPr>
        <w:t>30</w:t>
      </w:r>
      <w:r>
        <w:rPr>
          <w:rFonts w:hint="eastAsia" w:cs="宋体"/>
          <w:color w:val="auto"/>
          <w:highlight w:val="none"/>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1D72C11B">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.2 </w:t>
      </w:r>
      <w:r>
        <w:rPr>
          <w:rFonts w:hint="eastAsia" w:cs="宋体"/>
          <w:color w:val="auto"/>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eastAsia" w:cs="宋体"/>
          <w:color w:val="auto"/>
          <w:highlight w:val="none"/>
          <w:lang w:eastAsia="zh-CN"/>
        </w:rPr>
        <w:t>、不按照招标文件要求提交履约保证金</w:t>
      </w:r>
      <w:r>
        <w:rPr>
          <w:rFonts w:hint="eastAsia" w:cs="宋体"/>
          <w:color w:val="auto"/>
          <w:highlight w:val="none"/>
        </w:rPr>
        <w:t>，或者被查实存在影响中标结果的违法行为等情形，不符合中标条件的，招标人可以按照评标委员会提出的中标候选人名单排序（或者评标结果排序）依次确定其他中标候选人为中标人</w:t>
      </w:r>
      <w:r>
        <w:rPr>
          <w:rFonts w:hint="eastAsia" w:cs="宋体"/>
          <w:color w:val="auto"/>
          <w:highlight w:val="none"/>
          <w:lang w:eastAsia="zh-CN"/>
        </w:rPr>
        <w:t>，</w:t>
      </w:r>
      <w:r>
        <w:rPr>
          <w:rFonts w:hint="eastAsia" w:cs="宋体"/>
          <w:color w:val="auto"/>
          <w:highlight w:val="none"/>
        </w:rPr>
        <w:t>或者招标人可以重新招标。</w:t>
      </w:r>
    </w:p>
    <w:p w14:paraId="6658C7FC">
      <w:pPr>
        <w:spacing w:line="360" w:lineRule="auto"/>
        <w:ind w:firstLine="420" w:firstLineChars="200"/>
        <w:rPr>
          <w:rFonts w:hint="eastAsia" w:cs="宋体"/>
          <w:color w:val="auto"/>
          <w:highlight w:val="none"/>
        </w:rPr>
      </w:pPr>
      <w:r>
        <w:rPr>
          <w:color w:val="auto"/>
          <w:highlight w:val="none"/>
        </w:rPr>
        <w:t>7.</w:t>
      </w:r>
      <w:r>
        <w:rPr>
          <w:rFonts w:hint="default"/>
          <w:color w:val="auto"/>
          <w:highlight w:val="none"/>
          <w:lang w:val="en-US"/>
        </w:rPr>
        <w:t>4</w:t>
      </w:r>
      <w:r>
        <w:rPr>
          <w:color w:val="auto"/>
          <w:highlight w:val="none"/>
        </w:rPr>
        <w:t xml:space="preserve">.3 </w:t>
      </w:r>
      <w:r>
        <w:rPr>
          <w:rFonts w:hint="eastAsia" w:cs="宋体"/>
          <w:color w:val="auto"/>
          <w:highlight w:val="none"/>
        </w:rPr>
        <w:t>发出中标通知书后，招标人无正当理由拒签合同的，由有关行政监督部门给予警告，</w:t>
      </w:r>
      <w:r>
        <w:rPr>
          <w:rFonts w:hint="eastAsia" w:cs="宋体"/>
          <w:color w:val="auto"/>
          <w:highlight w:val="none"/>
          <w:lang w:val="en-US" w:eastAsia="zh-CN"/>
        </w:rPr>
        <w:t>并</w:t>
      </w:r>
      <w:r>
        <w:rPr>
          <w:rFonts w:hint="eastAsia" w:cs="宋体"/>
          <w:color w:val="auto"/>
          <w:highlight w:val="none"/>
        </w:rPr>
        <w:t>责令改正。同时招标人向中标人退还投标保证金；给中标人造成损失的，还应当赔偿损失。</w:t>
      </w:r>
    </w:p>
    <w:p w14:paraId="3AB0EEA2">
      <w:pPr>
        <w:spacing w:line="360" w:lineRule="auto"/>
        <w:ind w:firstLine="420" w:firstLineChars="200"/>
        <w:rPr>
          <w:rFonts w:hint="eastAsia" w:cs="宋体"/>
          <w:color w:val="auto"/>
          <w:highlight w:val="none"/>
        </w:rPr>
      </w:pPr>
      <w:bookmarkStart w:id="373" w:name="_Toc78449670"/>
      <w:bookmarkStart w:id="374" w:name="_Toc407135124"/>
      <w:bookmarkStart w:id="375" w:name="_Toc1346101507"/>
      <w:bookmarkStart w:id="376" w:name="_Toc389065189"/>
      <w:r>
        <w:rPr>
          <w:rFonts w:hint="eastAsia" w:cs="宋体"/>
          <w:color w:val="auto"/>
          <w:highlight w:val="none"/>
        </w:rPr>
        <w:t>7.4.4签约合同价的确定原则如下：</w:t>
      </w:r>
    </w:p>
    <w:p w14:paraId="432B073E">
      <w:pPr>
        <w:spacing w:line="360" w:lineRule="auto"/>
        <w:ind w:firstLine="420" w:firstLineChars="200"/>
        <w:rPr>
          <w:rFonts w:hint="eastAsia" w:cs="宋体"/>
          <w:color w:val="auto"/>
          <w:highlight w:val="none"/>
        </w:rPr>
      </w:pPr>
      <w:r>
        <w:rPr>
          <w:rFonts w:hint="eastAsia" w:cs="宋体"/>
          <w:color w:val="auto"/>
          <w:highlight w:val="none"/>
        </w:rPr>
        <w:t>（1）按照评标办法规定对投标报价进行修正后，若修正后的最终投标报价小于开标时的投标函大写金额报价，则签订合同时以修正后的最终投标报价为准；</w:t>
      </w:r>
    </w:p>
    <w:p w14:paraId="7BE11475">
      <w:pPr>
        <w:spacing w:line="360" w:lineRule="auto"/>
        <w:ind w:firstLine="420" w:firstLineChars="200"/>
        <w:rPr>
          <w:rFonts w:hint="eastAsia" w:cs="宋体"/>
          <w:color w:val="auto"/>
          <w:highlight w:val="none"/>
        </w:rPr>
      </w:pPr>
      <w:r>
        <w:rPr>
          <w:rFonts w:hint="eastAsia" w:cs="宋体"/>
          <w:color w:val="auto"/>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19DBD258">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D4DFF05">
      <w:pPr>
        <w:pStyle w:val="3"/>
        <w:rPr>
          <w:color w:val="auto"/>
          <w:highlight w:val="none"/>
        </w:rPr>
      </w:pPr>
      <w:bookmarkStart w:id="377" w:name="_Toc13201"/>
      <w:r>
        <w:rPr>
          <w:color w:val="auto"/>
          <w:highlight w:val="none"/>
        </w:rPr>
        <w:t xml:space="preserve">8 </w:t>
      </w:r>
      <w:r>
        <w:rPr>
          <w:rFonts w:hint="eastAsia" w:cs="黑体"/>
          <w:color w:val="auto"/>
          <w:highlight w:val="none"/>
        </w:rPr>
        <w:t>重新招标和不再招标</w:t>
      </w:r>
      <w:bookmarkEnd w:id="373"/>
      <w:bookmarkEnd w:id="374"/>
      <w:bookmarkEnd w:id="375"/>
      <w:bookmarkEnd w:id="376"/>
      <w:bookmarkEnd w:id="377"/>
    </w:p>
    <w:p w14:paraId="7B8DF6B4">
      <w:pPr>
        <w:pStyle w:val="4"/>
        <w:rPr>
          <w:color w:val="auto"/>
          <w:highlight w:val="none"/>
        </w:rPr>
      </w:pPr>
      <w:bookmarkStart w:id="378" w:name="_Toc78449671"/>
      <w:bookmarkStart w:id="379" w:name="_Toc505786378"/>
      <w:bookmarkStart w:id="380" w:name="_Toc389065190"/>
      <w:bookmarkStart w:id="381" w:name="_Toc10809"/>
      <w:bookmarkStart w:id="382" w:name="_Toc407135125"/>
      <w:r>
        <w:rPr>
          <w:color w:val="auto"/>
          <w:highlight w:val="none"/>
        </w:rPr>
        <w:t xml:space="preserve">8.1 </w:t>
      </w:r>
      <w:r>
        <w:rPr>
          <w:rFonts w:hint="eastAsia" w:cs="黑体"/>
          <w:color w:val="auto"/>
          <w:highlight w:val="none"/>
        </w:rPr>
        <w:t>重新招标</w:t>
      </w:r>
      <w:bookmarkEnd w:id="378"/>
      <w:bookmarkEnd w:id="379"/>
      <w:bookmarkEnd w:id="380"/>
      <w:bookmarkEnd w:id="381"/>
      <w:bookmarkEnd w:id="382"/>
    </w:p>
    <w:p w14:paraId="00671163">
      <w:pPr>
        <w:spacing w:line="360" w:lineRule="auto"/>
        <w:ind w:firstLine="420" w:firstLineChars="200"/>
        <w:rPr>
          <w:color w:val="auto"/>
          <w:highlight w:val="none"/>
        </w:rPr>
      </w:pPr>
      <w:r>
        <w:rPr>
          <w:rFonts w:hint="eastAsia" w:cs="宋体"/>
          <w:color w:val="auto"/>
          <w:highlight w:val="none"/>
        </w:rPr>
        <w:t>有下列情形之一的，招标人将重新招标：</w:t>
      </w:r>
    </w:p>
    <w:p w14:paraId="1DEA2688">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）投标截止时，投标人少于</w:t>
      </w:r>
      <w:r>
        <w:rPr>
          <w:color w:val="auto"/>
          <w:highlight w:val="none"/>
        </w:rPr>
        <w:t>3</w:t>
      </w:r>
      <w:r>
        <w:rPr>
          <w:rFonts w:hint="eastAsia" w:cs="宋体"/>
          <w:color w:val="auto"/>
          <w:highlight w:val="none"/>
        </w:rPr>
        <w:t>个的；</w:t>
      </w:r>
    </w:p>
    <w:p w14:paraId="64E209E2">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p>
    <w:p w14:paraId="095761EE">
      <w:pPr>
        <w:spacing w:line="360" w:lineRule="auto"/>
        <w:ind w:firstLine="420" w:firstLineChars="200"/>
        <w:rPr>
          <w:rFonts w:hint="eastAsia"/>
          <w:color w:val="auto"/>
          <w:highlight w:val="none"/>
        </w:rPr>
      </w:pPr>
      <w:r>
        <w:rPr>
          <w:rFonts w:hint="eastAsia"/>
          <w:color w:val="auto"/>
          <w:highlight w:val="none"/>
        </w:rPr>
        <w:t>（3）所有投标报价均大于等于</w:t>
      </w:r>
      <w:r>
        <w:rPr>
          <w:rFonts w:hint="eastAsia"/>
          <w:color w:val="auto"/>
          <w:highlight w:val="none"/>
          <w:lang w:eastAsia="zh-CN"/>
        </w:rPr>
        <w:t>最高投标限价</w:t>
      </w:r>
      <w:r>
        <w:rPr>
          <w:color w:val="auto"/>
          <w:highlight w:val="none"/>
        </w:rPr>
        <w:t>x</w:t>
      </w:r>
      <w:r>
        <w:rPr>
          <w:rFonts w:hint="eastAsia"/>
          <w:color w:val="auto"/>
          <w:highlight w:val="none"/>
        </w:rPr>
        <w:t>（1-D%）的；</w:t>
      </w:r>
    </w:p>
    <w:p w14:paraId="77D33ECA">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lang w:val="en-US" w:eastAsia="zh-CN"/>
        </w:rPr>
        <w:t>4</w:t>
      </w:r>
      <w:r>
        <w:rPr>
          <w:rFonts w:hint="eastAsia" w:cs="宋体"/>
          <w:color w:val="auto"/>
          <w:highlight w:val="none"/>
        </w:rPr>
        <w:t>）其他有关法规和文件规定的应当重新招标的情形。</w:t>
      </w:r>
    </w:p>
    <w:p w14:paraId="19B03D50">
      <w:pPr>
        <w:pStyle w:val="4"/>
        <w:rPr>
          <w:color w:val="auto"/>
          <w:highlight w:val="none"/>
        </w:rPr>
      </w:pPr>
      <w:bookmarkStart w:id="383" w:name="_Toc27091"/>
      <w:bookmarkStart w:id="384" w:name="_Toc407135126"/>
      <w:bookmarkStart w:id="385" w:name="_Toc78449672"/>
      <w:bookmarkStart w:id="386" w:name="_Toc389065191"/>
      <w:bookmarkStart w:id="387" w:name="_Toc85448513"/>
      <w:r>
        <w:rPr>
          <w:color w:val="auto"/>
          <w:highlight w:val="none"/>
        </w:rPr>
        <w:t xml:space="preserve">8.2 </w:t>
      </w:r>
      <w:r>
        <w:rPr>
          <w:rFonts w:hint="eastAsia" w:cs="黑体"/>
          <w:color w:val="auto"/>
          <w:highlight w:val="none"/>
        </w:rPr>
        <w:t>不再招标</w:t>
      </w:r>
      <w:bookmarkEnd w:id="383"/>
      <w:bookmarkEnd w:id="384"/>
      <w:bookmarkEnd w:id="385"/>
      <w:bookmarkEnd w:id="386"/>
      <w:bookmarkEnd w:id="387"/>
    </w:p>
    <w:p w14:paraId="3AB65529">
      <w:pPr>
        <w:spacing w:line="360" w:lineRule="auto"/>
        <w:ind w:firstLine="420" w:firstLineChars="200"/>
        <w:rPr>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bookmarkStart w:id="388" w:name="_Toc389065192"/>
    </w:p>
    <w:p w14:paraId="45C19CE1">
      <w:pPr>
        <w:pStyle w:val="3"/>
        <w:rPr>
          <w:color w:val="auto"/>
          <w:highlight w:val="none"/>
        </w:rPr>
      </w:pPr>
      <w:bookmarkStart w:id="389" w:name="_Toc407135127"/>
      <w:bookmarkStart w:id="390" w:name="_Toc78449673"/>
      <w:bookmarkStart w:id="391" w:name="_Toc820221026"/>
      <w:bookmarkStart w:id="392" w:name="_Toc18821"/>
      <w:r>
        <w:rPr>
          <w:color w:val="auto"/>
          <w:highlight w:val="none"/>
        </w:rPr>
        <w:t xml:space="preserve">9 </w:t>
      </w:r>
      <w:r>
        <w:rPr>
          <w:rFonts w:hint="eastAsia" w:cs="黑体"/>
          <w:color w:val="auto"/>
          <w:highlight w:val="none"/>
        </w:rPr>
        <w:t>纪律和监督</w:t>
      </w:r>
      <w:bookmarkEnd w:id="388"/>
      <w:bookmarkEnd w:id="389"/>
      <w:bookmarkEnd w:id="390"/>
      <w:bookmarkEnd w:id="391"/>
      <w:bookmarkEnd w:id="392"/>
    </w:p>
    <w:p w14:paraId="150FD364">
      <w:pPr>
        <w:pStyle w:val="4"/>
        <w:rPr>
          <w:color w:val="auto"/>
          <w:highlight w:val="none"/>
        </w:rPr>
      </w:pPr>
      <w:bookmarkStart w:id="393" w:name="_Toc78449674"/>
      <w:bookmarkStart w:id="394" w:name="_Toc407135128"/>
      <w:bookmarkStart w:id="395" w:name="_Toc389065193"/>
      <w:bookmarkStart w:id="396" w:name="_Toc29540"/>
      <w:bookmarkStart w:id="397" w:name="_Toc1363044854"/>
      <w:r>
        <w:rPr>
          <w:color w:val="auto"/>
          <w:highlight w:val="none"/>
        </w:rPr>
        <w:t xml:space="preserve">9.1 </w:t>
      </w:r>
      <w:r>
        <w:rPr>
          <w:rFonts w:hint="eastAsia" w:cs="黑体"/>
          <w:color w:val="auto"/>
          <w:highlight w:val="none"/>
        </w:rPr>
        <w:t>对招标人或招标代理机构的纪律要求</w:t>
      </w:r>
      <w:bookmarkEnd w:id="393"/>
      <w:bookmarkEnd w:id="394"/>
      <w:bookmarkEnd w:id="395"/>
      <w:bookmarkEnd w:id="396"/>
      <w:bookmarkEnd w:id="397"/>
    </w:p>
    <w:p w14:paraId="2DD62A58">
      <w:pPr>
        <w:spacing w:line="360" w:lineRule="auto"/>
        <w:ind w:firstLine="420" w:firstLineChars="200"/>
        <w:rPr>
          <w:color w:val="auto"/>
          <w:highlight w:val="none"/>
        </w:rPr>
      </w:pPr>
      <w:r>
        <w:rPr>
          <w:rFonts w:hint="eastAsia" w:cs="宋体"/>
          <w:color w:val="auto"/>
          <w:highlight w:val="none"/>
        </w:rPr>
        <w:t>招标人不得</w:t>
      </w:r>
      <w:r>
        <w:rPr>
          <w:rFonts w:hint="eastAsia" w:cs="宋体"/>
          <w:color w:val="auto"/>
          <w:highlight w:val="none"/>
          <w:lang w:eastAsia="zh-CN"/>
        </w:rPr>
        <w:t>泄露</w:t>
      </w:r>
      <w:r>
        <w:rPr>
          <w:rFonts w:hint="eastAsia" w:cs="宋体"/>
          <w:color w:val="auto"/>
          <w:highlight w:val="none"/>
        </w:rPr>
        <w:t>招标投标活动中应当保密的情况和资料，不得与投标人串通损害国家利益、社会公共利益或者他人合法权益。有下列情形之一的，属于招标人或招标代理机构与投标人串通投标：</w:t>
      </w:r>
    </w:p>
    <w:p w14:paraId="634B941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）招标人在开标前开启投标文件并将有关信息泄露给其他投标人；</w:t>
      </w:r>
    </w:p>
    <w:p w14:paraId="18CAF1B5">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）招标人直接或者间接向投标人泄露标底、评标委员会成员等信息；</w:t>
      </w:r>
    </w:p>
    <w:p w14:paraId="2310D459">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）招标人明示或者暗示投标人压低或者抬高投标报价；</w:t>
      </w:r>
    </w:p>
    <w:p w14:paraId="691C4C26">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）招标人授意投标人撤换、修改投标文件；</w:t>
      </w:r>
    </w:p>
    <w:p w14:paraId="294B9495">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）招标人明示或者暗示投标人为特定投标人中标提供方便；</w:t>
      </w:r>
    </w:p>
    <w:p w14:paraId="355460E0">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）招标人与投标人为谋求特定投标人中标而采取的其他串通行为。</w:t>
      </w:r>
    </w:p>
    <w:p w14:paraId="2D4170BA">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69872879">
      <w:pPr>
        <w:spacing w:line="360" w:lineRule="auto"/>
        <w:ind w:firstLine="420" w:firstLineChars="200"/>
        <w:rPr>
          <w:color w:val="auto"/>
          <w:kern w:val="0"/>
          <w:highlight w:val="none"/>
        </w:rPr>
      </w:pPr>
      <w:r>
        <w:rPr>
          <w:rFonts w:hint="eastAsia"/>
          <w:color w:val="auto"/>
          <w:kern w:val="0"/>
          <w:highlight w:val="none"/>
        </w:rPr>
        <w:t>（8）招标人（招标代理机构）编制的招标公告、招标文件专门为某个特定投标人设置明显倾向性条款；</w:t>
      </w:r>
    </w:p>
    <w:p w14:paraId="54259FA0">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585D8F75">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2404058E">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45A70487">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5071B292">
      <w:pPr>
        <w:spacing w:line="360" w:lineRule="auto"/>
        <w:ind w:firstLine="420" w:firstLineChars="200"/>
        <w:rPr>
          <w:rFonts w:hint="eastAsia"/>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30C80553">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6A5A65C4">
      <w:pPr>
        <w:spacing w:line="360" w:lineRule="auto"/>
        <w:ind w:firstLine="420" w:firstLineChars="200"/>
        <w:rPr>
          <w:rFonts w:hint="eastAsia"/>
          <w:color w:val="auto"/>
          <w:kern w:val="0"/>
          <w:highlight w:val="none"/>
        </w:rPr>
      </w:pPr>
      <w:r>
        <w:rPr>
          <w:rFonts w:hint="eastAsia"/>
          <w:color w:val="auto"/>
          <w:kern w:val="0"/>
          <w:highlight w:val="none"/>
        </w:rPr>
        <w:t>（15）依法应当公开招标的建设工程，未确定中标人前，投标人已开展该工程招标范围内工作。</w:t>
      </w:r>
    </w:p>
    <w:p w14:paraId="4539AEE0">
      <w:pPr>
        <w:pStyle w:val="4"/>
        <w:rPr>
          <w:color w:val="auto"/>
          <w:highlight w:val="none"/>
        </w:rPr>
      </w:pPr>
      <w:bookmarkStart w:id="398" w:name="_Toc407135129"/>
      <w:bookmarkStart w:id="399" w:name="_Toc78449675"/>
      <w:bookmarkStart w:id="400" w:name="_Toc28056"/>
      <w:bookmarkStart w:id="401" w:name="_Toc1836354768"/>
      <w:r>
        <w:rPr>
          <w:color w:val="auto"/>
          <w:highlight w:val="none"/>
        </w:rPr>
        <w:t xml:space="preserve">9.2 </w:t>
      </w:r>
      <w:r>
        <w:rPr>
          <w:rFonts w:hint="eastAsia" w:cs="黑体"/>
          <w:color w:val="auto"/>
          <w:highlight w:val="none"/>
        </w:rPr>
        <w:t>对投标人的纪律要求</w:t>
      </w:r>
      <w:bookmarkEnd w:id="398"/>
      <w:bookmarkEnd w:id="399"/>
      <w:bookmarkEnd w:id="400"/>
      <w:bookmarkEnd w:id="401"/>
    </w:p>
    <w:p w14:paraId="15024442">
      <w:pPr>
        <w:spacing w:line="360" w:lineRule="auto"/>
        <w:ind w:firstLine="420" w:firstLineChars="200"/>
        <w:rPr>
          <w:color w:val="auto"/>
          <w:highlight w:val="none"/>
        </w:rPr>
      </w:pPr>
      <w:r>
        <w:rPr>
          <w:color w:val="auto"/>
          <w:highlight w:val="none"/>
        </w:rPr>
        <w:t>9.2.1</w:t>
      </w:r>
      <w:r>
        <w:rPr>
          <w:rFonts w:hint="eastAsia"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7A8A7FF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）投标人之间协商投标报价等投标文件的实质性内容；</w:t>
      </w:r>
    </w:p>
    <w:p w14:paraId="7AE57A5E">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）投标人之间约定中标人；</w:t>
      </w:r>
    </w:p>
    <w:p w14:paraId="33C48D20">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）投标人之间约定部分投标人放弃投标或者中标；</w:t>
      </w:r>
    </w:p>
    <w:p w14:paraId="1D362984">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）属于同一集团、协会、商会等组织成员的投标人按照该组织要求协同投标；</w:t>
      </w:r>
    </w:p>
    <w:p w14:paraId="638F7CDF">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）投标人之间为谋取中标或者排斥特定投标人而采取的其他联合行动；</w:t>
      </w:r>
    </w:p>
    <w:p w14:paraId="4C09BD3D">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）不同投标人的投标文件由同一单位或者个人编制；</w:t>
      </w:r>
    </w:p>
    <w:p w14:paraId="60102F72">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55AD6F5D">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）不同投标人的投标文件载明的项目管理成员为同一人；</w:t>
      </w:r>
    </w:p>
    <w:p w14:paraId="5B5ADF2F">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121375B0">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）在资格审查或开标时不同投标人的投标资料（包括电子资料）相互混装；</w:t>
      </w:r>
    </w:p>
    <w:p w14:paraId="58571AE0">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319C6718">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2CB3C205">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0D337DF5">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7F6F1E7A">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（15）不同投标人的法定代表人、委托代理人、项目负责人、项目总监等人员有在同一个单位缴纳社会保险；</w:t>
      </w:r>
    </w:p>
    <w:p w14:paraId="6E70D206">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2D4E8D67">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6527D2A2">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6BEEFACA">
      <w:pPr>
        <w:spacing w:line="360" w:lineRule="auto"/>
        <w:ind w:firstLine="420" w:firstLineChars="200"/>
        <w:rPr>
          <w:rFonts w:hint="eastAsia" w:cs="宋体"/>
          <w:color w:val="auto"/>
          <w:highlight w:val="none"/>
        </w:rPr>
      </w:pPr>
      <w:r>
        <w:rPr>
          <w:rFonts w:hint="eastAsia" w:cs="宋体"/>
          <w:color w:val="auto"/>
          <w:highlight w:val="none"/>
        </w:rPr>
        <w:t>（1）使用虚假的业绩、荣誉、建设工程合同、财务状况、信用状况、属于监狱企业的证明文件等；</w:t>
      </w:r>
    </w:p>
    <w:p w14:paraId="1AD2425B">
      <w:pPr>
        <w:spacing w:line="360" w:lineRule="auto"/>
        <w:ind w:firstLine="420" w:firstLineChars="200"/>
        <w:rPr>
          <w:rFonts w:cs="宋体"/>
          <w:color w:val="auto"/>
          <w:highlight w:val="none"/>
        </w:rPr>
      </w:pPr>
      <w:r>
        <w:rPr>
          <w:rFonts w:hint="eastAsia" w:cs="宋体"/>
          <w:color w:val="auto"/>
          <w:highlight w:val="none"/>
        </w:rPr>
        <w:t>（2）提供虚假的项目负责人或者主要技术人员简历、劳动关系证明、社保证明等；</w:t>
      </w:r>
    </w:p>
    <w:p w14:paraId="62AFE2D1">
      <w:pPr>
        <w:spacing w:line="360" w:lineRule="auto"/>
        <w:ind w:firstLine="420" w:firstLineChars="200"/>
        <w:rPr>
          <w:rFonts w:hint="eastAsia" w:cs="宋体"/>
          <w:color w:val="auto"/>
          <w:highlight w:val="none"/>
        </w:rPr>
      </w:pPr>
      <w:r>
        <w:rPr>
          <w:rFonts w:hint="eastAsia" w:cs="宋体"/>
          <w:color w:val="auto"/>
          <w:highlight w:val="none"/>
        </w:rPr>
        <w:t>（3）投标人按照《政府采购促进中小企业发展管理办法》（财库〔2020〕46号）规定提供的《中小企业声明函》内容不实的；</w:t>
      </w:r>
    </w:p>
    <w:p w14:paraId="3A598B57">
      <w:pPr>
        <w:spacing w:line="360" w:lineRule="auto"/>
        <w:ind w:firstLine="420" w:firstLineChars="200"/>
        <w:rPr>
          <w:rFonts w:hint="eastAsia" w:cs="宋体"/>
          <w:color w:val="auto"/>
          <w:highlight w:val="none"/>
        </w:rPr>
      </w:pPr>
      <w:r>
        <w:rPr>
          <w:rFonts w:hint="eastAsia" w:cs="宋体"/>
          <w:color w:val="auto"/>
          <w:highlight w:val="none"/>
        </w:rPr>
        <w:t>（4）投标人提供的《残疾人福利性单位声明函》内容不实的；</w:t>
      </w:r>
    </w:p>
    <w:p w14:paraId="202C1E95">
      <w:pPr>
        <w:spacing w:line="360" w:lineRule="auto"/>
        <w:ind w:firstLine="420" w:firstLineChars="200"/>
        <w:rPr>
          <w:rFonts w:cs="宋体"/>
          <w:color w:val="auto"/>
          <w:highlight w:val="none"/>
        </w:rPr>
      </w:pP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）其他弄虚作假的行为。</w:t>
      </w:r>
    </w:p>
    <w:p w14:paraId="2283D21F">
      <w:pPr>
        <w:spacing w:line="360" w:lineRule="auto"/>
        <w:ind w:firstLine="420" w:firstLineChars="200"/>
        <w:rPr>
          <w:rFonts w:hint="eastAsia" w:cs="宋体"/>
          <w:color w:val="auto"/>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337C3DBD">
      <w:pPr>
        <w:pStyle w:val="4"/>
        <w:rPr>
          <w:color w:val="auto"/>
          <w:highlight w:val="none"/>
        </w:rPr>
      </w:pPr>
      <w:bookmarkStart w:id="402" w:name="_Toc389065194"/>
      <w:bookmarkStart w:id="403" w:name="_Toc407135130"/>
      <w:bookmarkStart w:id="404" w:name="_Toc78449676"/>
      <w:bookmarkStart w:id="405" w:name="_Toc218329544"/>
      <w:bookmarkStart w:id="406" w:name="_Toc24439"/>
      <w:r>
        <w:rPr>
          <w:color w:val="auto"/>
          <w:highlight w:val="none"/>
        </w:rPr>
        <w:t xml:space="preserve">9.3 </w:t>
      </w:r>
      <w:r>
        <w:rPr>
          <w:rFonts w:hint="eastAsia" w:cs="黑体"/>
          <w:color w:val="auto"/>
          <w:highlight w:val="none"/>
        </w:rPr>
        <w:t>对评标委员会成员的纪律要求</w:t>
      </w:r>
      <w:bookmarkEnd w:id="402"/>
      <w:bookmarkEnd w:id="403"/>
      <w:bookmarkEnd w:id="404"/>
      <w:bookmarkEnd w:id="405"/>
      <w:bookmarkEnd w:id="406"/>
    </w:p>
    <w:p w14:paraId="52C621B7">
      <w:pPr>
        <w:spacing w:line="360" w:lineRule="auto"/>
        <w:ind w:firstLine="420" w:firstLineChars="200"/>
        <w:rPr>
          <w:color w:val="auto"/>
          <w:highlight w:val="none"/>
        </w:rPr>
      </w:pPr>
      <w:r>
        <w:rPr>
          <w:rFonts w:hint="eastAsia" w:cs="宋体"/>
          <w:color w:val="auto"/>
          <w:highlight w:val="none"/>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eastAsia" w:cs="宋体"/>
          <w:color w:val="auto"/>
          <w:highlight w:val="none"/>
          <w:lang w:eastAsia="zh-CN"/>
        </w:rPr>
        <w:t>不</w:t>
      </w:r>
      <w:r>
        <w:rPr>
          <w:rFonts w:hint="eastAsia" w:cs="宋体"/>
          <w:color w:val="auto"/>
          <w:highlight w:val="none"/>
        </w:rPr>
        <w:t>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对投标文件的评审和比较、中标候选人的推荐情况以及评标有关的其他情况，不得有其他不客观、不公正履行职务的行为。</w:t>
      </w:r>
      <w:r>
        <w:rPr>
          <w:rFonts w:hint="eastAsia" w:ascii="宋体" w:hAnsi="宋体" w:cs="Good Times"/>
          <w:color w:val="auto"/>
          <w:kern w:val="0"/>
          <w:highlight w:val="none"/>
        </w:rPr>
        <w:t>评标委员会成员</w:t>
      </w:r>
      <w:r>
        <w:rPr>
          <w:color w:val="auto"/>
          <w:highlight w:val="none"/>
        </w:rPr>
        <w:t>应当客观、公正地履行职责，遵守职业道德，</w:t>
      </w:r>
      <w:r>
        <w:rPr>
          <w:rFonts w:hint="eastAsia"/>
          <w:color w:val="auto"/>
          <w:highlight w:val="none"/>
        </w:rPr>
        <w:t>对所提出的评审意见承担个人责任</w:t>
      </w:r>
      <w:r>
        <w:rPr>
          <w:color w:val="auto"/>
          <w:highlight w:val="none"/>
        </w:rPr>
        <w:t>，</w:t>
      </w:r>
      <w:r>
        <w:rPr>
          <w:rFonts w:hint="eastAsia" w:ascii="宋体" w:hAnsi="宋体" w:cs="Good Times"/>
          <w:color w:val="auto"/>
          <w:kern w:val="0"/>
          <w:highlight w:val="none"/>
        </w:rPr>
        <w:t>不得擅离职守，</w:t>
      </w:r>
      <w:r>
        <w:rPr>
          <w:rFonts w:hint="eastAsia" w:cs="宋体"/>
          <w:color w:val="auto"/>
          <w:highlight w:val="none"/>
        </w:rPr>
        <w:t>影响评标程序正常进行，不得使用第三章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没有规定的评审因素和标准进行评标。</w:t>
      </w:r>
    </w:p>
    <w:p w14:paraId="71EC4B05">
      <w:pPr>
        <w:pStyle w:val="4"/>
        <w:rPr>
          <w:color w:val="auto"/>
          <w:highlight w:val="none"/>
        </w:rPr>
      </w:pPr>
      <w:bookmarkStart w:id="407" w:name="_Toc1240311849"/>
      <w:bookmarkStart w:id="408" w:name="_Toc407135131"/>
      <w:bookmarkStart w:id="409" w:name="_Toc20629"/>
      <w:bookmarkStart w:id="410" w:name="_Toc389065195"/>
      <w:bookmarkStart w:id="411" w:name="_Toc78449677"/>
      <w:r>
        <w:rPr>
          <w:color w:val="auto"/>
          <w:highlight w:val="none"/>
        </w:rPr>
        <w:t xml:space="preserve">9.4 </w:t>
      </w:r>
      <w:r>
        <w:rPr>
          <w:rFonts w:hint="eastAsia" w:cs="黑体"/>
          <w:color w:val="auto"/>
          <w:highlight w:val="none"/>
        </w:rPr>
        <w:t>对与评标活动有关的工作人员的纪律要求</w:t>
      </w:r>
      <w:bookmarkEnd w:id="407"/>
      <w:bookmarkEnd w:id="408"/>
      <w:bookmarkEnd w:id="409"/>
      <w:bookmarkEnd w:id="410"/>
      <w:bookmarkEnd w:id="411"/>
    </w:p>
    <w:p w14:paraId="753E9814">
      <w:pPr>
        <w:spacing w:line="360" w:lineRule="auto"/>
        <w:ind w:firstLine="420" w:firstLineChars="200"/>
        <w:rPr>
          <w:color w:val="auto"/>
          <w:highlight w:val="none"/>
        </w:rPr>
      </w:pPr>
      <w:r>
        <w:rPr>
          <w:rFonts w:hint="eastAsia" w:cs="宋体"/>
          <w:color w:val="auto"/>
          <w:highlight w:val="none"/>
        </w:rPr>
        <w:t>与评标活动有关的工作人员不得收受他人的财物或者其他好处，不得向他人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对投标文件的评审和比较、中标候选人的推荐情况以及评标有关的其他情况。在评标活动中，与评标活动有关的工作人员不得擅离职守，影响评标程序正常进行。</w:t>
      </w:r>
      <w:bookmarkStart w:id="412" w:name="_Toc389065196"/>
      <w:r>
        <w:rPr>
          <w:rFonts w:hint="eastAsia" w:cs="宋体"/>
          <w:color w:val="auto"/>
          <w:highlight w:val="none"/>
        </w:rPr>
        <w:t>与评标活动有关的工作人员，是指评标委员会成员以外的因参与评标监督工作或者事务性工作而知悉有关评标情况的所有人员。</w:t>
      </w:r>
    </w:p>
    <w:p w14:paraId="14CCD3A0">
      <w:pPr>
        <w:pStyle w:val="4"/>
        <w:rPr>
          <w:color w:val="auto"/>
          <w:highlight w:val="none"/>
        </w:rPr>
      </w:pPr>
      <w:bookmarkStart w:id="413" w:name="_Toc78449678"/>
      <w:bookmarkStart w:id="414" w:name="_Toc407135132"/>
      <w:bookmarkStart w:id="415" w:name="_Toc235136633"/>
      <w:bookmarkStart w:id="416" w:name="_Toc12409"/>
      <w:r>
        <w:rPr>
          <w:color w:val="auto"/>
          <w:highlight w:val="none"/>
        </w:rPr>
        <w:t xml:space="preserve">9.5 </w:t>
      </w:r>
      <w:r>
        <w:rPr>
          <w:rFonts w:hint="eastAsia" w:cs="黑体"/>
          <w:color w:val="auto"/>
          <w:highlight w:val="none"/>
        </w:rPr>
        <w:t>投诉</w:t>
      </w:r>
      <w:bookmarkEnd w:id="412"/>
      <w:bookmarkEnd w:id="413"/>
      <w:bookmarkEnd w:id="414"/>
      <w:bookmarkEnd w:id="415"/>
      <w:bookmarkEnd w:id="416"/>
      <w:bookmarkStart w:id="417" w:name="_Toc389065197"/>
    </w:p>
    <w:p w14:paraId="3F9CA37F">
      <w:pPr>
        <w:spacing w:line="360" w:lineRule="auto"/>
        <w:ind w:firstLine="420" w:firstLineChars="200"/>
        <w:rPr>
          <w:color w:val="auto"/>
          <w:highlight w:val="none"/>
        </w:rPr>
      </w:pPr>
      <w:r>
        <w:rPr>
          <w:rFonts w:hint="eastAsia" w:cs="宋体"/>
          <w:color w:val="auto"/>
          <w:highlight w:val="none"/>
        </w:rPr>
        <w:t>投标人和其他利害关系人认为本次招标活动违反</w:t>
      </w:r>
      <w:r>
        <w:rPr>
          <w:rFonts w:hint="eastAsia" w:cs="宋体"/>
          <w:color w:val="auto"/>
          <w:highlight w:val="none"/>
          <w:lang w:eastAsia="zh-CN"/>
        </w:rPr>
        <w:t>法律法规</w:t>
      </w:r>
      <w:r>
        <w:rPr>
          <w:rFonts w:hint="eastAsia" w:cs="宋体"/>
          <w:color w:val="auto"/>
          <w:highlight w:val="none"/>
        </w:rPr>
        <w:t>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6406C19F">
      <w:pPr>
        <w:pStyle w:val="3"/>
        <w:rPr>
          <w:rFonts w:hint="eastAsia" w:cs="黑体"/>
          <w:color w:val="auto"/>
          <w:highlight w:val="none"/>
        </w:rPr>
      </w:pPr>
      <w:bookmarkStart w:id="418" w:name="_Toc407135133"/>
      <w:bookmarkStart w:id="419" w:name="_Toc78449679"/>
      <w:bookmarkStart w:id="420" w:name="_Toc8387"/>
      <w:r>
        <w:rPr>
          <w:rFonts w:hint="eastAsia" w:cs="黑体"/>
          <w:color w:val="auto"/>
          <w:highlight w:val="none"/>
        </w:rPr>
        <w:t>10 需要补充的其他内容</w:t>
      </w:r>
      <w:bookmarkEnd w:id="417"/>
      <w:bookmarkEnd w:id="418"/>
      <w:bookmarkEnd w:id="419"/>
      <w:bookmarkEnd w:id="420"/>
    </w:p>
    <w:p w14:paraId="7BB4486C">
      <w:pPr>
        <w:pStyle w:val="4"/>
        <w:rPr>
          <w:color w:val="auto"/>
          <w:highlight w:val="none"/>
        </w:rPr>
      </w:pPr>
      <w:bookmarkStart w:id="421" w:name="_Toc25335"/>
      <w:bookmarkStart w:id="422" w:name="_Toc78449680"/>
      <w:bookmarkStart w:id="423" w:name="_Toc407135134"/>
      <w:bookmarkStart w:id="424" w:name="_Toc201423302"/>
      <w:r>
        <w:rPr>
          <w:color w:val="auto"/>
          <w:highlight w:val="none"/>
        </w:rPr>
        <w:t xml:space="preserve">10.1 </w:t>
      </w:r>
      <w:r>
        <w:rPr>
          <w:rFonts w:hint="eastAsia" w:cs="黑体"/>
          <w:color w:val="auto"/>
          <w:highlight w:val="none"/>
        </w:rPr>
        <w:t>词语定义</w:t>
      </w:r>
      <w:bookmarkEnd w:id="421"/>
      <w:bookmarkEnd w:id="422"/>
      <w:bookmarkEnd w:id="423"/>
      <w:bookmarkEnd w:id="424"/>
    </w:p>
    <w:p w14:paraId="1E206B6F">
      <w:pPr>
        <w:spacing w:line="360" w:lineRule="auto"/>
        <w:ind w:firstLine="420" w:firstLineChars="200"/>
        <w:rPr>
          <w:color w:val="auto"/>
          <w:highlight w:val="none"/>
        </w:rPr>
      </w:pPr>
      <w:r>
        <w:rPr>
          <w:rFonts w:hint="eastAsia" w:cs="宋体"/>
          <w:color w:val="auto"/>
          <w:highlight w:val="none"/>
        </w:rPr>
        <w:t>见“投标人须知前附表”。</w:t>
      </w:r>
    </w:p>
    <w:p w14:paraId="7B7A052B">
      <w:pPr>
        <w:pStyle w:val="4"/>
        <w:rPr>
          <w:rFonts w:hint="eastAsia" w:eastAsia="黑体"/>
          <w:color w:val="auto"/>
          <w:highlight w:val="none"/>
          <w:lang w:eastAsia="zh-CN"/>
        </w:rPr>
      </w:pPr>
      <w:bookmarkStart w:id="425" w:name="_Toc407135135"/>
      <w:bookmarkStart w:id="426" w:name="_Toc1917022029"/>
      <w:bookmarkStart w:id="427" w:name="_Toc389065198"/>
      <w:bookmarkStart w:id="428" w:name="_Toc78449681"/>
      <w:bookmarkStart w:id="429" w:name="_Toc23119"/>
      <w:r>
        <w:rPr>
          <w:color w:val="auto"/>
          <w:highlight w:val="none"/>
        </w:rPr>
        <w:t xml:space="preserve">10.2 </w:t>
      </w:r>
      <w:bookmarkEnd w:id="425"/>
      <w:bookmarkEnd w:id="426"/>
      <w:bookmarkEnd w:id="427"/>
      <w:bookmarkEnd w:id="428"/>
      <w:r>
        <w:rPr>
          <w:rFonts w:hint="eastAsia" w:cs="黑体"/>
          <w:color w:val="auto"/>
          <w:highlight w:val="none"/>
          <w:lang w:eastAsia="zh-CN"/>
        </w:rPr>
        <w:t>最高投标限价</w:t>
      </w:r>
      <w:bookmarkEnd w:id="429"/>
    </w:p>
    <w:p w14:paraId="7903A97A">
      <w:pPr>
        <w:spacing w:line="360" w:lineRule="auto"/>
        <w:ind w:firstLine="420" w:firstLineChars="200"/>
        <w:rPr>
          <w:color w:val="auto"/>
          <w:highlight w:val="none"/>
        </w:rPr>
      </w:pPr>
      <w:r>
        <w:rPr>
          <w:rFonts w:hint="eastAsia" w:cs="宋体"/>
          <w:color w:val="auto"/>
          <w:highlight w:val="none"/>
          <w:lang w:eastAsia="zh-CN"/>
        </w:rPr>
        <w:t>最高投标限价</w:t>
      </w:r>
      <w:r>
        <w:rPr>
          <w:rFonts w:hint="eastAsia" w:cs="宋体"/>
          <w:color w:val="auto"/>
          <w:highlight w:val="none"/>
        </w:rPr>
        <w:t>设置要求见“投标人须知前附表”。</w:t>
      </w:r>
    </w:p>
    <w:p w14:paraId="27F2B025">
      <w:pPr>
        <w:spacing w:line="360" w:lineRule="auto"/>
        <w:ind w:firstLine="420" w:firstLineChars="200"/>
        <w:rPr>
          <w:color w:val="auto"/>
          <w:highlight w:val="none"/>
        </w:rPr>
      </w:pPr>
      <w:r>
        <w:rPr>
          <w:rFonts w:hint="eastAsia" w:cs="宋体"/>
          <w:color w:val="auto"/>
          <w:highlight w:val="none"/>
        </w:rPr>
        <w:t>招标人或受其委托具有相应资格的中介机构，按照国家和地区的相关规定及第五章的要求编制招标工程的</w:t>
      </w:r>
      <w:r>
        <w:rPr>
          <w:rFonts w:hint="eastAsia" w:cs="宋体"/>
          <w:color w:val="auto"/>
          <w:highlight w:val="none"/>
          <w:lang w:eastAsia="zh-CN"/>
        </w:rPr>
        <w:t>最高投标限价</w:t>
      </w:r>
      <w:r>
        <w:rPr>
          <w:rFonts w:hint="eastAsia" w:ascii="楷体_GB2312" w:eastAsia="楷体_GB2312" w:cs="楷体_GB2312"/>
          <w:color w:val="auto"/>
          <w:highlight w:val="none"/>
        </w:rPr>
        <w:t>（</w:t>
      </w:r>
      <w:r>
        <w:rPr>
          <w:rFonts w:hint="eastAsia" w:ascii="楷体_GB2312" w:eastAsia="楷体_GB2312" w:cs="楷体_GB2312"/>
          <w:color w:val="auto"/>
          <w:highlight w:val="none"/>
          <w:lang w:eastAsia="zh-CN"/>
        </w:rPr>
        <w:t>最高投标限价</w:t>
      </w:r>
      <w:r>
        <w:rPr>
          <w:rFonts w:hint="eastAsia" w:ascii="楷体_GB2312" w:eastAsia="楷体_GB2312" w:cs="楷体_GB2312"/>
          <w:color w:val="auto"/>
          <w:highlight w:val="none"/>
        </w:rPr>
        <w:t>不应上浮或下调）</w:t>
      </w:r>
      <w:r>
        <w:rPr>
          <w:rFonts w:hint="eastAsia" w:cs="宋体"/>
          <w:color w:val="auto"/>
          <w:highlight w:val="none"/>
        </w:rPr>
        <w:t>。</w:t>
      </w:r>
    </w:p>
    <w:p w14:paraId="34DFA5F9">
      <w:pPr>
        <w:spacing w:line="360" w:lineRule="auto"/>
        <w:ind w:firstLine="420" w:firstLineChars="200"/>
        <w:rPr>
          <w:rFonts w:cs="宋体"/>
          <w:color w:val="auto"/>
          <w:highlight w:val="none"/>
        </w:rPr>
      </w:pPr>
      <w:r>
        <w:rPr>
          <w:rFonts w:hint="eastAsia" w:cs="宋体"/>
          <w:color w:val="auto"/>
          <w:highlight w:val="none"/>
        </w:rPr>
        <w:t>原则上</w:t>
      </w:r>
      <w:r>
        <w:rPr>
          <w:rFonts w:hint="eastAsia" w:cs="宋体"/>
          <w:color w:val="auto"/>
          <w:highlight w:val="none"/>
          <w:lang w:eastAsia="zh-CN"/>
        </w:rPr>
        <w:t>最高投标限价</w:t>
      </w:r>
      <w:r>
        <w:rPr>
          <w:rFonts w:hint="eastAsia" w:cs="宋体"/>
          <w:color w:val="auto"/>
          <w:highlight w:val="none"/>
        </w:rPr>
        <w:t>应于投标截止时间前</w:t>
      </w:r>
      <w:r>
        <w:rPr>
          <w:color w:val="auto"/>
          <w:highlight w:val="none"/>
        </w:rPr>
        <w:t>15</w:t>
      </w:r>
      <w:r>
        <w:rPr>
          <w:rFonts w:hint="eastAsia" w:cs="宋体"/>
          <w:color w:val="auto"/>
          <w:highlight w:val="none"/>
        </w:rPr>
        <w:t>日通过广西壮族自治区公共资源交易平台系统网站向所有投标人公布，最迟应当在投标截止时间</w:t>
      </w:r>
      <w:r>
        <w:rPr>
          <w:color w:val="auto"/>
          <w:highlight w:val="none"/>
        </w:rPr>
        <w:t>7</w:t>
      </w:r>
      <w:r>
        <w:rPr>
          <w:rFonts w:hint="eastAsia" w:cs="宋体"/>
          <w:color w:val="auto"/>
          <w:highlight w:val="none"/>
        </w:rPr>
        <w:t>日前公布，并报送当地招投标监督管理部门备案。潜在投标人或者其他利害关系人对</w:t>
      </w:r>
      <w:r>
        <w:rPr>
          <w:rFonts w:hint="eastAsia" w:cs="宋体"/>
          <w:color w:val="auto"/>
          <w:highlight w:val="none"/>
          <w:lang w:eastAsia="zh-CN"/>
        </w:rPr>
        <w:t>最高投标限价</w:t>
      </w:r>
      <w:r>
        <w:rPr>
          <w:rFonts w:hint="eastAsia" w:cs="宋体"/>
          <w:color w:val="auto"/>
          <w:highlight w:val="none"/>
        </w:rPr>
        <w:t>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w:t>
      </w:r>
      <w:r>
        <w:rPr>
          <w:rFonts w:hint="eastAsia" w:cs="宋体"/>
          <w:color w:val="auto"/>
          <w:highlight w:val="none"/>
          <w:lang w:eastAsia="zh-CN"/>
        </w:rPr>
        <w:t>最高投标限价</w:t>
      </w:r>
      <w:r>
        <w:rPr>
          <w:rFonts w:hint="eastAsia" w:cs="宋体"/>
          <w:color w:val="auto"/>
          <w:highlight w:val="none"/>
        </w:rPr>
        <w:t>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3B21AFA6">
      <w:pPr>
        <w:pStyle w:val="4"/>
        <w:rPr>
          <w:rFonts w:hint="eastAsia"/>
          <w:color w:val="auto"/>
          <w:highlight w:val="none"/>
        </w:rPr>
      </w:pPr>
      <w:bookmarkStart w:id="430" w:name="_Toc78449682"/>
      <w:bookmarkStart w:id="431" w:name="_Toc5339"/>
      <w:bookmarkStart w:id="432" w:name="_Toc1303369529"/>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430"/>
      <w:bookmarkEnd w:id="431"/>
      <w:bookmarkEnd w:id="432"/>
    </w:p>
    <w:p w14:paraId="0176BA61">
      <w:pPr>
        <w:spacing w:line="360" w:lineRule="auto"/>
        <w:ind w:firstLine="420" w:firstLineChars="200"/>
        <w:rPr>
          <w:rFonts w:hint="eastAsia"/>
          <w:color w:val="auto"/>
          <w:highlight w:val="none"/>
        </w:rPr>
      </w:pPr>
      <w:r>
        <w:rPr>
          <w:rFonts w:hint="eastAsia" w:cs="宋体"/>
          <w:color w:val="auto"/>
          <w:highlight w:val="none"/>
        </w:rPr>
        <w:t>见“投标人须知前附表”。</w:t>
      </w:r>
    </w:p>
    <w:p w14:paraId="45F5F078">
      <w:pPr>
        <w:pStyle w:val="4"/>
        <w:rPr>
          <w:color w:val="auto"/>
          <w:highlight w:val="none"/>
        </w:rPr>
      </w:pPr>
      <w:bookmarkStart w:id="433" w:name="_Toc78449683"/>
      <w:bookmarkStart w:id="434" w:name="_Toc1953478804"/>
      <w:bookmarkStart w:id="435" w:name="_Toc407135137"/>
      <w:bookmarkStart w:id="436" w:name="_Toc13356"/>
      <w:r>
        <w:rPr>
          <w:color w:val="auto"/>
          <w:highlight w:val="none"/>
        </w:rPr>
        <w:t xml:space="preserve">10.4 </w:t>
      </w:r>
      <w:r>
        <w:rPr>
          <w:rFonts w:hint="eastAsia" w:cs="黑体"/>
          <w:color w:val="auto"/>
          <w:highlight w:val="none"/>
        </w:rPr>
        <w:t>电子投标文件</w:t>
      </w:r>
      <w:bookmarkEnd w:id="433"/>
      <w:bookmarkEnd w:id="434"/>
      <w:bookmarkEnd w:id="435"/>
      <w:bookmarkEnd w:id="436"/>
    </w:p>
    <w:p w14:paraId="7B2A8996">
      <w:pPr>
        <w:spacing w:line="360" w:lineRule="auto"/>
        <w:ind w:firstLine="420" w:firstLineChars="200"/>
        <w:rPr>
          <w:color w:val="auto"/>
          <w:highlight w:val="none"/>
        </w:rPr>
      </w:pPr>
      <w:r>
        <w:rPr>
          <w:rFonts w:hint="eastAsia" w:cs="宋体"/>
          <w:color w:val="auto"/>
          <w:highlight w:val="none"/>
        </w:rPr>
        <w:t>电子投标文件的具体内容要求见“投标人须知前附表”。</w:t>
      </w:r>
    </w:p>
    <w:p w14:paraId="1941F2BA">
      <w:pPr>
        <w:pStyle w:val="4"/>
        <w:rPr>
          <w:color w:val="auto"/>
          <w:highlight w:val="none"/>
        </w:rPr>
      </w:pPr>
      <w:bookmarkStart w:id="437" w:name="_Toc5969"/>
      <w:bookmarkStart w:id="438" w:name="_Toc78449684"/>
      <w:bookmarkStart w:id="439" w:name="_Toc1624564493"/>
      <w:bookmarkStart w:id="440" w:name="_Toc407135138"/>
      <w:r>
        <w:rPr>
          <w:color w:val="auto"/>
          <w:highlight w:val="none"/>
        </w:rPr>
        <w:t xml:space="preserve">10.5 </w:t>
      </w:r>
      <w:r>
        <w:rPr>
          <w:rFonts w:hint="eastAsia" w:cs="黑体"/>
          <w:color w:val="auto"/>
          <w:highlight w:val="none"/>
        </w:rPr>
        <w:t>知识产权</w:t>
      </w:r>
      <w:bookmarkEnd w:id="437"/>
      <w:bookmarkEnd w:id="438"/>
      <w:bookmarkEnd w:id="439"/>
      <w:bookmarkEnd w:id="440"/>
    </w:p>
    <w:p w14:paraId="208ED72C">
      <w:pPr>
        <w:spacing w:line="360" w:lineRule="auto"/>
        <w:ind w:firstLine="420" w:firstLineChars="200"/>
        <w:rPr>
          <w:color w:val="auto"/>
          <w:highlight w:val="none"/>
        </w:rPr>
      </w:pPr>
      <w:r>
        <w:rPr>
          <w:rFonts w:hint="eastAsia" w:cs="宋体"/>
          <w:color w:val="auto"/>
          <w:highlight w:val="none"/>
        </w:rPr>
        <w:t>招标人对其知识产权的具体要求见“投标人须知前附表”。</w:t>
      </w:r>
    </w:p>
    <w:p w14:paraId="247DD761">
      <w:pPr>
        <w:pStyle w:val="4"/>
        <w:rPr>
          <w:color w:val="auto"/>
          <w:highlight w:val="none"/>
        </w:rPr>
      </w:pPr>
      <w:bookmarkStart w:id="441" w:name="_Toc244238446"/>
      <w:bookmarkStart w:id="442" w:name="_Toc24778"/>
      <w:bookmarkStart w:id="443" w:name="_Toc407135139"/>
      <w:bookmarkStart w:id="444" w:name="_Toc78449685"/>
      <w:r>
        <w:rPr>
          <w:color w:val="auto"/>
          <w:highlight w:val="none"/>
        </w:rPr>
        <w:t xml:space="preserve">10.6 </w:t>
      </w:r>
      <w:r>
        <w:rPr>
          <w:rFonts w:hint="eastAsia" w:cs="黑体"/>
          <w:color w:val="auto"/>
          <w:highlight w:val="none"/>
        </w:rPr>
        <w:t>重新招标的其他情形</w:t>
      </w:r>
      <w:bookmarkEnd w:id="441"/>
      <w:bookmarkEnd w:id="442"/>
      <w:bookmarkEnd w:id="443"/>
      <w:bookmarkEnd w:id="444"/>
    </w:p>
    <w:p w14:paraId="5DDD5F1C">
      <w:pPr>
        <w:spacing w:line="360" w:lineRule="auto"/>
        <w:ind w:firstLine="420" w:firstLineChars="200"/>
        <w:rPr>
          <w:color w:val="auto"/>
          <w:highlight w:val="none"/>
        </w:rPr>
      </w:pPr>
      <w:r>
        <w:rPr>
          <w:rFonts w:hint="eastAsia" w:cs="宋体"/>
          <w:color w:val="auto"/>
          <w:highlight w:val="none"/>
        </w:rPr>
        <w:t>见“投标人须知前附表”。</w:t>
      </w:r>
    </w:p>
    <w:p w14:paraId="40665C84">
      <w:pPr>
        <w:pStyle w:val="4"/>
        <w:rPr>
          <w:color w:val="auto"/>
          <w:highlight w:val="none"/>
        </w:rPr>
      </w:pPr>
      <w:bookmarkStart w:id="445" w:name="_Toc78449686"/>
      <w:bookmarkStart w:id="446" w:name="_Toc18708"/>
      <w:bookmarkStart w:id="447" w:name="_Toc1089748721"/>
      <w:bookmarkStart w:id="448" w:name="_Toc407135140"/>
      <w:r>
        <w:rPr>
          <w:color w:val="auto"/>
          <w:highlight w:val="none"/>
        </w:rPr>
        <w:t xml:space="preserve">10.7 </w:t>
      </w:r>
      <w:r>
        <w:rPr>
          <w:rFonts w:hint="eastAsia" w:cs="黑体"/>
          <w:color w:val="auto"/>
          <w:highlight w:val="none"/>
        </w:rPr>
        <w:t>同义词语</w:t>
      </w:r>
      <w:bookmarkEnd w:id="445"/>
      <w:bookmarkEnd w:id="446"/>
      <w:bookmarkEnd w:id="447"/>
      <w:bookmarkEnd w:id="448"/>
    </w:p>
    <w:p w14:paraId="138301E0">
      <w:pPr>
        <w:spacing w:line="360" w:lineRule="auto"/>
        <w:ind w:firstLine="420" w:firstLineChars="200"/>
        <w:rPr>
          <w:color w:val="auto"/>
          <w:highlight w:val="none"/>
        </w:rPr>
      </w:pPr>
      <w:r>
        <w:rPr>
          <w:rFonts w:hint="eastAsia" w:cs="宋体"/>
          <w:color w:val="auto"/>
          <w:highlight w:val="none"/>
        </w:rPr>
        <w:t>见“投标人须知前附表”。</w:t>
      </w:r>
    </w:p>
    <w:p w14:paraId="07F56539">
      <w:pPr>
        <w:pStyle w:val="4"/>
        <w:rPr>
          <w:color w:val="auto"/>
          <w:highlight w:val="none"/>
        </w:rPr>
      </w:pPr>
      <w:bookmarkStart w:id="449" w:name="_Toc407135141"/>
      <w:bookmarkStart w:id="450" w:name="_Toc78449687"/>
      <w:bookmarkStart w:id="451" w:name="_Toc10692"/>
      <w:bookmarkStart w:id="452" w:name="_Toc1996681472"/>
      <w:r>
        <w:rPr>
          <w:color w:val="auto"/>
          <w:highlight w:val="none"/>
        </w:rPr>
        <w:t xml:space="preserve">10.8 </w:t>
      </w:r>
      <w:r>
        <w:rPr>
          <w:rFonts w:hint="eastAsia" w:cs="黑体"/>
          <w:color w:val="auto"/>
          <w:highlight w:val="none"/>
        </w:rPr>
        <w:t>监督</w:t>
      </w:r>
      <w:bookmarkEnd w:id="449"/>
      <w:bookmarkEnd w:id="450"/>
      <w:bookmarkEnd w:id="451"/>
      <w:bookmarkEnd w:id="452"/>
    </w:p>
    <w:p w14:paraId="1178EC51">
      <w:pPr>
        <w:spacing w:line="360" w:lineRule="auto"/>
        <w:ind w:firstLine="420" w:firstLineChars="200"/>
        <w:rPr>
          <w:rFonts w:cs="宋体"/>
          <w:color w:val="auto"/>
          <w:highlight w:val="none"/>
        </w:rPr>
      </w:pPr>
      <w:r>
        <w:rPr>
          <w:rFonts w:hint="eastAsia" w:cs="宋体"/>
          <w:color w:val="auto"/>
          <w:highlight w:val="none"/>
        </w:rPr>
        <w:t>本项目招标的监督部门见“投标人须知前附表”。</w:t>
      </w:r>
    </w:p>
    <w:p w14:paraId="4A6F72BD">
      <w:pPr>
        <w:pStyle w:val="4"/>
        <w:rPr>
          <w:color w:val="auto"/>
          <w:highlight w:val="none"/>
        </w:rPr>
      </w:pPr>
      <w:bookmarkStart w:id="453" w:name="_Toc2112751928"/>
      <w:bookmarkStart w:id="454" w:name="_Toc17403"/>
      <w:r>
        <w:rPr>
          <w:color w:val="auto"/>
          <w:highlight w:val="none"/>
        </w:rPr>
        <w:t>10.9承包人应履行的其他义务</w:t>
      </w:r>
      <w:bookmarkEnd w:id="453"/>
      <w:bookmarkEnd w:id="454"/>
    </w:p>
    <w:p w14:paraId="1E4B0913">
      <w:pPr>
        <w:spacing w:line="360" w:lineRule="auto"/>
        <w:ind w:firstLine="420" w:firstLineChars="200"/>
        <w:rPr>
          <w:rFonts w:cs="宋体"/>
          <w:color w:val="auto"/>
          <w:highlight w:val="none"/>
        </w:rPr>
      </w:pPr>
      <w:r>
        <w:rPr>
          <w:rFonts w:hint="eastAsia" w:cs="宋体"/>
          <w:color w:val="auto"/>
          <w:highlight w:val="none"/>
        </w:rPr>
        <w:t>见“投标人须知前附表”。</w:t>
      </w:r>
    </w:p>
    <w:p w14:paraId="46629A92">
      <w:pPr>
        <w:pStyle w:val="4"/>
        <w:rPr>
          <w:rFonts w:ascii="宋体" w:hAnsi="宋体"/>
          <w:color w:val="auto"/>
          <w:highlight w:val="none"/>
        </w:rPr>
      </w:pPr>
      <w:bookmarkStart w:id="455" w:name="_Toc26033"/>
      <w:bookmarkStart w:id="456" w:name="_Toc1276684290"/>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bookmarkEnd w:id="455"/>
      <w:bookmarkEnd w:id="456"/>
    </w:p>
    <w:p w14:paraId="28307B97">
      <w:pPr>
        <w:spacing w:line="360" w:lineRule="auto"/>
        <w:ind w:firstLine="420" w:firstLineChars="200"/>
        <w:rPr>
          <w:rFonts w:cs="宋体"/>
          <w:color w:val="auto"/>
          <w:highlight w:val="none"/>
        </w:rPr>
      </w:pPr>
      <w:r>
        <w:rPr>
          <w:rFonts w:hint="eastAsia" w:cs="宋体"/>
          <w:color w:val="auto"/>
          <w:highlight w:val="none"/>
        </w:rPr>
        <w:t>见“投标人须知前附表”。</w:t>
      </w:r>
    </w:p>
    <w:p w14:paraId="12F0685B">
      <w:pPr>
        <w:pStyle w:val="4"/>
        <w:rPr>
          <w:color w:val="auto"/>
          <w:highlight w:val="none"/>
        </w:rPr>
      </w:pPr>
      <w:bookmarkStart w:id="457" w:name="_Toc1714654414"/>
      <w:bookmarkStart w:id="458" w:name="_Toc32753"/>
      <w:r>
        <w:rPr>
          <w:color w:val="auto"/>
          <w:highlight w:val="none"/>
        </w:rPr>
        <w:t>10.11</w:t>
      </w:r>
      <w:r>
        <w:rPr>
          <w:rFonts w:hint="eastAsia" w:cs="黑体"/>
          <w:color w:val="auto"/>
          <w:highlight w:val="none"/>
        </w:rPr>
        <w:t>中小企业</w:t>
      </w:r>
      <w:bookmarkEnd w:id="457"/>
      <w:bookmarkEnd w:id="458"/>
    </w:p>
    <w:p w14:paraId="008A530B">
      <w:pPr>
        <w:spacing w:line="360" w:lineRule="auto"/>
        <w:ind w:firstLine="420" w:firstLineChars="200"/>
        <w:rPr>
          <w:color w:val="auto"/>
          <w:highlight w:val="none"/>
        </w:rPr>
      </w:pPr>
      <w:r>
        <w:rPr>
          <w:rFonts w:hint="eastAsia" w:cs="宋体"/>
          <w:color w:val="auto"/>
          <w:highlight w:val="none"/>
        </w:rPr>
        <w:t>见“投标人须知前附表”。</w:t>
      </w:r>
    </w:p>
    <w:p w14:paraId="08E5972A">
      <w:pPr>
        <w:pStyle w:val="4"/>
        <w:rPr>
          <w:color w:val="auto"/>
          <w:highlight w:val="none"/>
        </w:rPr>
      </w:pPr>
      <w:bookmarkStart w:id="459" w:name="_Toc1126821034"/>
      <w:bookmarkStart w:id="460" w:name="_Toc439"/>
      <w:r>
        <w:rPr>
          <w:color w:val="auto"/>
          <w:highlight w:val="none"/>
        </w:rPr>
        <w:t>10.12</w:t>
      </w:r>
      <w:r>
        <w:rPr>
          <w:rFonts w:hint="eastAsia" w:cs="黑体"/>
          <w:color w:val="auto"/>
          <w:highlight w:val="none"/>
        </w:rPr>
        <w:t>监狱企业</w:t>
      </w:r>
      <w:bookmarkEnd w:id="459"/>
      <w:bookmarkEnd w:id="460"/>
    </w:p>
    <w:p w14:paraId="54689CBA">
      <w:pPr>
        <w:spacing w:line="360" w:lineRule="auto"/>
        <w:ind w:firstLine="420" w:firstLineChars="200"/>
        <w:rPr>
          <w:color w:val="auto"/>
          <w:highlight w:val="none"/>
        </w:rPr>
      </w:pPr>
      <w:r>
        <w:rPr>
          <w:rFonts w:hint="eastAsia" w:cs="宋体"/>
          <w:color w:val="auto"/>
          <w:highlight w:val="none"/>
        </w:rPr>
        <w:t>见“投标人须知前附表”。</w:t>
      </w:r>
    </w:p>
    <w:p w14:paraId="1BFD620F">
      <w:pPr>
        <w:pStyle w:val="4"/>
        <w:rPr>
          <w:color w:val="auto"/>
          <w:highlight w:val="none"/>
        </w:rPr>
      </w:pPr>
      <w:bookmarkStart w:id="461" w:name="_Toc24265"/>
      <w:bookmarkStart w:id="462" w:name="_Toc846209079"/>
      <w:r>
        <w:rPr>
          <w:color w:val="auto"/>
          <w:highlight w:val="none"/>
        </w:rPr>
        <w:t>10.13</w:t>
      </w:r>
      <w:r>
        <w:rPr>
          <w:rFonts w:hint="eastAsia" w:cs="黑体"/>
          <w:color w:val="auto"/>
          <w:highlight w:val="none"/>
        </w:rPr>
        <w:t>残疾人福利性单位</w:t>
      </w:r>
      <w:bookmarkEnd w:id="461"/>
      <w:bookmarkEnd w:id="462"/>
    </w:p>
    <w:p w14:paraId="5D6DE61B">
      <w:pPr>
        <w:spacing w:line="360" w:lineRule="auto"/>
        <w:ind w:firstLine="420" w:firstLineChars="200"/>
        <w:rPr>
          <w:color w:val="auto"/>
          <w:highlight w:val="none"/>
        </w:rPr>
      </w:pPr>
      <w:r>
        <w:rPr>
          <w:rFonts w:hint="eastAsia" w:cs="宋体"/>
          <w:color w:val="auto"/>
          <w:highlight w:val="none"/>
        </w:rPr>
        <w:t>见“投标人须知前附表”。</w:t>
      </w:r>
    </w:p>
    <w:p w14:paraId="17034263">
      <w:pPr>
        <w:pStyle w:val="4"/>
        <w:rPr>
          <w:color w:val="auto"/>
          <w:highlight w:val="none"/>
        </w:rPr>
      </w:pPr>
      <w:bookmarkStart w:id="463" w:name="_Toc78449688"/>
      <w:bookmarkStart w:id="464" w:name="_Toc407135142"/>
      <w:bookmarkStart w:id="465" w:name="_Toc25753"/>
      <w:bookmarkStart w:id="466" w:name="_Toc1240562800"/>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bookmarkEnd w:id="463"/>
      <w:bookmarkEnd w:id="464"/>
      <w:bookmarkEnd w:id="465"/>
      <w:bookmarkEnd w:id="466"/>
    </w:p>
    <w:p w14:paraId="439BCA7E">
      <w:pPr>
        <w:spacing w:line="360" w:lineRule="auto"/>
        <w:ind w:firstLine="420" w:firstLineChars="200"/>
        <w:rPr>
          <w:color w:val="auto"/>
          <w:highlight w:val="none"/>
        </w:rPr>
      </w:pPr>
      <w:r>
        <w:rPr>
          <w:rFonts w:hint="eastAsia" w:cs="宋体"/>
          <w:color w:val="auto"/>
          <w:highlight w:val="none"/>
        </w:rPr>
        <w:t>见“投标人须知前附表”。</w:t>
      </w:r>
    </w:p>
    <w:p w14:paraId="13FA7A22">
      <w:pPr>
        <w:pStyle w:val="4"/>
        <w:rPr>
          <w:color w:val="auto"/>
          <w:highlight w:val="none"/>
        </w:rPr>
      </w:pPr>
      <w:bookmarkStart w:id="467" w:name="_Toc28550"/>
      <w:bookmarkStart w:id="468" w:name="_Toc78449689"/>
      <w:bookmarkStart w:id="469" w:name="_Toc407135143"/>
      <w:bookmarkStart w:id="470" w:name="_Toc1948207331"/>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bookmarkEnd w:id="467"/>
      <w:bookmarkEnd w:id="468"/>
      <w:bookmarkEnd w:id="469"/>
      <w:bookmarkEnd w:id="470"/>
    </w:p>
    <w:p w14:paraId="648A7EA2">
      <w:pPr>
        <w:widowControl/>
        <w:ind w:firstLine="420" w:firstLineChars="200"/>
        <w:jc w:val="left"/>
        <w:rPr>
          <w:color w:val="auto"/>
          <w:highlight w:val="none"/>
        </w:rPr>
      </w:pPr>
      <w:r>
        <w:rPr>
          <w:rFonts w:hint="eastAsia" w:cs="宋体"/>
          <w:color w:val="auto"/>
          <w:highlight w:val="none"/>
        </w:rPr>
        <w:t>见“投标人须知前附表”。</w:t>
      </w:r>
    </w:p>
    <w:p w14:paraId="1859AAC9">
      <w:pPr>
        <w:pStyle w:val="4"/>
        <w:rPr>
          <w:rFonts w:hint="eastAsia"/>
          <w:color w:val="auto"/>
          <w:highlight w:val="none"/>
        </w:rPr>
      </w:pPr>
      <w:bookmarkStart w:id="471" w:name="_Toc78449690"/>
      <w:bookmarkStart w:id="472" w:name="_Toc24406"/>
      <w:bookmarkStart w:id="473" w:name="_Toc1146868592"/>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bookmarkEnd w:id="471"/>
      <w:bookmarkEnd w:id="472"/>
      <w:bookmarkEnd w:id="473"/>
      <w:r>
        <w:rPr>
          <w:rFonts w:hint="eastAsia"/>
          <w:color w:val="auto"/>
          <w:highlight w:val="none"/>
        </w:rPr>
        <w:t xml:space="preserve"> </w:t>
      </w:r>
    </w:p>
    <w:p w14:paraId="101997D9">
      <w:pPr>
        <w:ind w:firstLine="420" w:firstLineChars="200"/>
        <w:rPr>
          <w:color w:val="auto"/>
          <w:highlight w:val="none"/>
          <w:lang w:val="zh-CN"/>
        </w:rPr>
      </w:pPr>
      <w:r>
        <w:rPr>
          <w:rFonts w:hint="eastAsia" w:cs="宋体"/>
          <w:color w:val="auto"/>
          <w:highlight w:val="none"/>
        </w:rPr>
        <w:t>见第九章。</w:t>
      </w:r>
    </w:p>
    <w:p w14:paraId="63F451AD">
      <w:pPr>
        <w:spacing w:line="480" w:lineRule="auto"/>
        <w:jc w:val="center"/>
        <w:rPr>
          <w:b/>
          <w:bCs/>
          <w:color w:val="auto"/>
          <w:sz w:val="28"/>
          <w:szCs w:val="28"/>
          <w:highlight w:val="none"/>
        </w:rPr>
        <w:sectPr>
          <w:pgSz w:w="11906" w:h="16838"/>
          <w:pgMar w:top="1440" w:right="1440" w:bottom="1440" w:left="1797" w:header="851" w:footer="851" w:gutter="0"/>
          <w:cols w:space="720" w:num="1"/>
          <w:docGrid w:linePitch="312" w:charSpace="0"/>
        </w:sectPr>
      </w:pPr>
    </w:p>
    <w:p w14:paraId="55BD0A38">
      <w:pPr>
        <w:widowControl/>
        <w:ind w:firstLine="420" w:firstLineChars="200"/>
        <w:jc w:val="left"/>
        <w:rPr>
          <w:color w:val="auto"/>
          <w:highlight w:val="none"/>
        </w:rPr>
      </w:pPr>
    </w:p>
    <w:p w14:paraId="17343F3B">
      <w:pPr>
        <w:pStyle w:val="2"/>
        <w:jc w:val="center"/>
        <w:rPr>
          <w:color w:val="auto"/>
          <w:highlight w:val="none"/>
        </w:rPr>
      </w:pPr>
      <w:bookmarkStart w:id="474" w:name="_Toc184635071"/>
      <w:r>
        <w:rPr>
          <w:color w:val="auto"/>
          <w:highlight w:val="none"/>
        </w:rPr>
        <w:t xml:space="preserve"> </w:t>
      </w:r>
      <w:bookmarkStart w:id="475" w:name="_Toc407135144"/>
      <w:bookmarkStart w:id="476" w:name="_Toc27920"/>
      <w:bookmarkStart w:id="477" w:name="_Toc1463403608"/>
      <w:bookmarkStart w:id="478" w:name="_Toc78449691"/>
      <w:r>
        <w:rPr>
          <w:rFonts w:hint="eastAsia" w:cs="黑体"/>
          <w:color w:val="auto"/>
          <w:highlight w:val="none"/>
        </w:rPr>
        <w:t>第三章</w:t>
      </w:r>
      <w:bookmarkStart w:id="479" w:name="_Toc351544330"/>
      <w:r>
        <w:rPr>
          <w:color w:val="auto"/>
          <w:highlight w:val="none"/>
        </w:rPr>
        <w:t xml:space="preserve"> </w:t>
      </w:r>
      <w:r>
        <w:rPr>
          <w:rFonts w:hint="eastAsia" w:cs="黑体"/>
          <w:color w:val="auto"/>
          <w:highlight w:val="none"/>
        </w:rPr>
        <w:t>评标办法（经评审的合理低价法）</w:t>
      </w:r>
      <w:bookmarkEnd w:id="475"/>
      <w:bookmarkEnd w:id="476"/>
      <w:bookmarkEnd w:id="477"/>
      <w:bookmarkEnd w:id="478"/>
      <w:bookmarkEnd w:id="479"/>
    </w:p>
    <w:p w14:paraId="6059F511">
      <w:pPr>
        <w:pStyle w:val="2"/>
        <w:jc w:val="center"/>
        <w:rPr>
          <w:color w:val="auto"/>
          <w:highlight w:val="none"/>
        </w:rPr>
      </w:pPr>
      <w:bookmarkStart w:id="480" w:name="_Toc78449692"/>
      <w:bookmarkStart w:id="481" w:name="_Toc617050544"/>
      <w:bookmarkStart w:id="482" w:name="_Toc407135145"/>
      <w:bookmarkStart w:id="483" w:name="_Toc16273"/>
      <w:bookmarkStart w:id="484" w:name="_Toc389065199"/>
      <w:r>
        <w:rPr>
          <w:rFonts w:hint="eastAsia" w:cs="黑体"/>
          <w:color w:val="auto"/>
          <w:highlight w:val="none"/>
        </w:rPr>
        <w:t>评标办法前附表</w:t>
      </w:r>
      <w:bookmarkEnd w:id="480"/>
      <w:bookmarkEnd w:id="481"/>
      <w:bookmarkEnd w:id="482"/>
      <w:bookmarkEnd w:id="483"/>
      <w:bookmarkEnd w:id="484"/>
    </w:p>
    <w:tbl>
      <w:tblPr>
        <w:tblStyle w:val="40"/>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788"/>
        <w:gridCol w:w="142"/>
        <w:gridCol w:w="539"/>
        <w:gridCol w:w="993"/>
        <w:gridCol w:w="1161"/>
        <w:gridCol w:w="5048"/>
      </w:tblGrid>
      <w:tr w14:paraId="4773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shd w:val="clear" w:color="auto" w:fill="E6E6E6"/>
            <w:noWrap w:val="0"/>
            <w:vAlign w:val="center"/>
          </w:tcPr>
          <w:p w14:paraId="536F53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条款号</w:t>
            </w:r>
          </w:p>
        </w:tc>
        <w:tc>
          <w:tcPr>
            <w:tcW w:w="3623" w:type="dxa"/>
            <w:gridSpan w:val="5"/>
            <w:shd w:val="clear" w:color="auto" w:fill="E6E6E6"/>
            <w:noWrap w:val="0"/>
            <w:vAlign w:val="center"/>
          </w:tcPr>
          <w:p w14:paraId="055466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5048" w:type="dxa"/>
            <w:shd w:val="clear" w:color="auto" w:fill="E6E6E6"/>
            <w:noWrap w:val="0"/>
            <w:vAlign w:val="center"/>
          </w:tcPr>
          <w:p w14:paraId="708D3A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评审标准</w:t>
            </w:r>
          </w:p>
        </w:tc>
      </w:tr>
      <w:tr w14:paraId="72A6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restart"/>
            <w:shd w:val="clear" w:color="auto" w:fill="E6E6E6"/>
            <w:noWrap w:val="0"/>
            <w:vAlign w:val="center"/>
          </w:tcPr>
          <w:p w14:paraId="6977D24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2.1.1</w:t>
            </w:r>
          </w:p>
        </w:tc>
        <w:tc>
          <w:tcPr>
            <w:tcW w:w="930" w:type="dxa"/>
            <w:gridSpan w:val="2"/>
            <w:vMerge w:val="restart"/>
            <w:shd w:val="clear" w:color="auto" w:fill="E6E6E6"/>
            <w:noWrap w:val="0"/>
            <w:vAlign w:val="center"/>
          </w:tcPr>
          <w:p w14:paraId="33077F7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形式</w:t>
            </w:r>
          </w:p>
          <w:p w14:paraId="5B1FA08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评审标准</w:t>
            </w:r>
          </w:p>
        </w:tc>
        <w:tc>
          <w:tcPr>
            <w:tcW w:w="7741" w:type="dxa"/>
            <w:gridSpan w:val="4"/>
            <w:shd w:val="clear" w:color="auto" w:fill="E6E6E6"/>
            <w:noWrap w:val="0"/>
            <w:vAlign w:val="center"/>
          </w:tcPr>
          <w:p w14:paraId="76073AC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b/>
                <w:bCs/>
                <w:color w:val="auto"/>
                <w:highlight w:val="none"/>
              </w:rPr>
              <w:t>合格标准：缺少任何一项或有任何一项不合格者，其形式评审视为不合格</w:t>
            </w:r>
          </w:p>
        </w:tc>
      </w:tr>
      <w:tr w14:paraId="569C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4DA0116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364A118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6184FC7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投标人名称</w:t>
            </w:r>
          </w:p>
        </w:tc>
        <w:tc>
          <w:tcPr>
            <w:tcW w:w="5048" w:type="dxa"/>
            <w:shd w:val="clear" w:color="auto" w:fill="E6E6E6"/>
            <w:noWrap w:val="0"/>
            <w:vAlign w:val="center"/>
          </w:tcPr>
          <w:p w14:paraId="6328B617">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与营业执照、资质证书、安全生产许可证一致</w:t>
            </w:r>
          </w:p>
        </w:tc>
      </w:tr>
      <w:tr w14:paraId="1CCB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4C1BADF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35FF385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EAF929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投标函盖章</w:t>
            </w:r>
          </w:p>
        </w:tc>
        <w:tc>
          <w:tcPr>
            <w:tcW w:w="5048" w:type="dxa"/>
            <w:shd w:val="clear" w:color="auto" w:fill="E6E6E6"/>
            <w:noWrap w:val="0"/>
            <w:vAlign w:val="center"/>
          </w:tcPr>
          <w:p w14:paraId="55ADB757">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盖法人单位电子印章</w:t>
            </w:r>
          </w:p>
        </w:tc>
      </w:tr>
      <w:tr w14:paraId="05CD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03E38A0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10E1533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2D0E7DB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5048" w:type="dxa"/>
            <w:shd w:val="clear" w:color="auto" w:fill="E6E6E6"/>
            <w:noWrap w:val="0"/>
            <w:vAlign w:val="center"/>
          </w:tcPr>
          <w:p w14:paraId="12259DDB">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在投标总价封面规定的相关位置盖投标人法人单位电子印章</w:t>
            </w:r>
            <w:r>
              <w:rPr>
                <w:rFonts w:hint="eastAsia" w:ascii="Calibri" w:hAnsi="Calibri" w:cs="宋体"/>
                <w:color w:val="auto"/>
                <w:highlight w:val="none"/>
                <w:lang w:eastAsia="zh-CN"/>
              </w:rPr>
              <w:t>，</w:t>
            </w:r>
            <w:r>
              <w:rPr>
                <w:rFonts w:hint="eastAsia" w:ascii="Calibri" w:hAnsi="Calibri" w:eastAsia="宋体" w:cs="宋体"/>
                <w:color w:val="auto"/>
                <w:highlight w:val="none"/>
              </w:rPr>
              <w:t>并由法定代表人盖电子签字章</w:t>
            </w:r>
            <w:r>
              <w:rPr>
                <w:rFonts w:hint="eastAsia" w:ascii="Calibri" w:hAnsi="Calibri" w:cs="宋体"/>
                <w:color w:val="auto"/>
                <w:highlight w:val="none"/>
                <w:lang w:eastAsia="zh-CN"/>
              </w:rPr>
              <w:t>（</w:t>
            </w:r>
            <w:r>
              <w:rPr>
                <w:rFonts w:hint="eastAsia" w:ascii="Calibri" w:hAnsi="Calibri" w:eastAsia="宋体" w:cs="宋体"/>
                <w:color w:val="auto"/>
                <w:highlight w:val="none"/>
              </w:rPr>
              <w:t>或盖电子</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cs="宋体"/>
                <w:color w:val="auto"/>
                <w:highlight w:val="none"/>
                <w:lang w:eastAsia="zh-CN"/>
              </w:rPr>
              <w:t>），</w:t>
            </w:r>
            <w:r>
              <w:rPr>
                <w:rFonts w:hint="eastAsia" w:ascii="Calibri" w:hAnsi="Calibri" w:eastAsia="宋体" w:cs="宋体"/>
                <w:color w:val="auto"/>
                <w:highlight w:val="none"/>
              </w:rPr>
              <w:t>编制人在投标总价封面规定的相关位置签字盖专用章。</w:t>
            </w:r>
          </w:p>
        </w:tc>
      </w:tr>
      <w:tr w14:paraId="76D6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44A3264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3D5DD75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1D8EC50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投标文件格式</w:t>
            </w:r>
          </w:p>
        </w:tc>
        <w:tc>
          <w:tcPr>
            <w:tcW w:w="5048" w:type="dxa"/>
            <w:shd w:val="clear" w:color="auto" w:fill="E6E6E6"/>
            <w:noWrap w:val="0"/>
            <w:vAlign w:val="center"/>
          </w:tcPr>
          <w:p w14:paraId="4F3A3416">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符合第九章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投标文件格式</w:t>
            </w:r>
            <w:r>
              <w:rPr>
                <w:rFonts w:hint="default" w:ascii="Calibri" w:hAnsi="Calibri" w:eastAsia="宋体" w:cs="Times New Roman"/>
                <w:color w:val="auto"/>
                <w:highlight w:val="none"/>
              </w:rPr>
              <w:t>”</w:t>
            </w:r>
            <w:r>
              <w:rPr>
                <w:rFonts w:hint="eastAsia" w:ascii="Calibri" w:hAnsi="Calibri" w:eastAsia="宋体" w:cs="宋体"/>
                <w:color w:val="auto"/>
                <w:highlight w:val="none"/>
              </w:rPr>
              <w:t>的要求</w:t>
            </w:r>
          </w:p>
        </w:tc>
      </w:tr>
      <w:tr w14:paraId="5A5D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6F05AB0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2D15862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CF3CFE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联合体投标人</w:t>
            </w:r>
            <w:r>
              <w:rPr>
                <w:rFonts w:hint="eastAsia" w:ascii="楷体_GB2312" w:hAnsi="Calibri" w:eastAsia="楷体_GB2312" w:cs="楷体_GB2312"/>
                <w:color w:val="auto"/>
                <w:highlight w:val="none"/>
              </w:rPr>
              <w:t>（如有）</w:t>
            </w:r>
          </w:p>
        </w:tc>
        <w:tc>
          <w:tcPr>
            <w:tcW w:w="5048" w:type="dxa"/>
            <w:shd w:val="clear" w:color="auto" w:fill="E6E6E6"/>
            <w:noWrap w:val="0"/>
            <w:vAlign w:val="center"/>
          </w:tcPr>
          <w:p w14:paraId="6BF522A8">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提交联合体协议书，并明确联合体牵头人</w:t>
            </w:r>
          </w:p>
        </w:tc>
      </w:tr>
      <w:tr w14:paraId="078D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0241FE2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49B2520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vMerge w:val="restart"/>
            <w:shd w:val="clear" w:color="auto" w:fill="E6E6E6"/>
            <w:noWrap w:val="0"/>
            <w:vAlign w:val="center"/>
          </w:tcPr>
          <w:p w14:paraId="5022905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报价</w:t>
            </w:r>
          </w:p>
        </w:tc>
        <w:tc>
          <w:tcPr>
            <w:tcW w:w="5048" w:type="dxa"/>
            <w:shd w:val="clear" w:color="auto" w:fill="E6E6E6"/>
            <w:noWrap w:val="0"/>
            <w:vAlign w:val="center"/>
          </w:tcPr>
          <w:p w14:paraId="40E3D68C">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报价唯一</w:t>
            </w:r>
            <w:r>
              <w:rPr>
                <w:rFonts w:hint="eastAsia" w:ascii="Calibri" w:hAnsi="Calibri" w:eastAsia="宋体" w:cs="宋体"/>
                <w:color w:val="auto"/>
                <w:highlight w:val="none"/>
                <w:lang w:eastAsia="zh-CN"/>
              </w:rPr>
              <w:t>，</w:t>
            </w:r>
            <w:r>
              <w:rPr>
                <w:rFonts w:hint="eastAsia" w:ascii="Calibri" w:hAnsi="Calibri" w:eastAsia="宋体" w:cs="宋体"/>
                <w:color w:val="auto"/>
                <w:highlight w:val="none"/>
              </w:rPr>
              <w:t>只能有一个有效报价。</w:t>
            </w:r>
          </w:p>
        </w:tc>
      </w:tr>
      <w:tr w14:paraId="026E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225260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727B4E7F">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vMerge w:val="continue"/>
            <w:shd w:val="clear" w:color="auto" w:fill="E6E6E6"/>
            <w:noWrap w:val="0"/>
            <w:vAlign w:val="center"/>
          </w:tcPr>
          <w:p w14:paraId="305EC03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5048" w:type="dxa"/>
            <w:shd w:val="clear" w:color="auto" w:fill="E6E6E6"/>
            <w:noWrap w:val="0"/>
            <w:vAlign w:val="center"/>
          </w:tcPr>
          <w:p w14:paraId="458E40FD">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x</w:t>
            </w:r>
            <w:r>
              <w:rPr>
                <w:rFonts w:hint="eastAsia" w:ascii="Calibri" w:hAnsi="Calibri" w:eastAsia="宋体" w:cs="宋体"/>
                <w:color w:val="auto"/>
                <w:highlight w:val="none"/>
              </w:rPr>
              <w:t>（1-D%）的，则本项目招标失败，由招标人依法重新招标。D=</w:t>
            </w:r>
            <w:r>
              <w:rPr>
                <w:rFonts w:hint="eastAsia" w:ascii="Calibri" w:hAnsi="Calibri" w:eastAsia="宋体" w:cs="宋体"/>
                <w:color w:val="auto"/>
                <w:highlight w:val="none"/>
                <w:u w:val="single"/>
              </w:rPr>
              <w:t xml:space="preserve">    </w:t>
            </w:r>
            <w:r>
              <w:rPr>
                <w:rFonts w:hint="eastAsia" w:ascii="方正楷体_GB2312" w:hAnsi="方正楷体_GB2312" w:eastAsia="方正楷体_GB2312" w:cs="方正楷体_GB2312"/>
                <w:color w:val="auto"/>
                <w:highlight w:val="none"/>
              </w:rPr>
              <w:t>（备注：由招标人在招标文件中确定，D值可取0~5）</w:t>
            </w:r>
          </w:p>
        </w:tc>
      </w:tr>
      <w:tr w14:paraId="568B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5A77C6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6328A40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583ACDF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c>
          <w:tcPr>
            <w:tcW w:w="5048" w:type="dxa"/>
            <w:shd w:val="clear" w:color="auto" w:fill="E6E6E6"/>
            <w:noWrap w:val="0"/>
            <w:vAlign w:val="center"/>
          </w:tcPr>
          <w:p w14:paraId="2C94066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r>
      <w:tr w14:paraId="25F9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restart"/>
            <w:shd w:val="clear" w:color="auto" w:fill="E6E6E6"/>
            <w:noWrap w:val="0"/>
            <w:vAlign w:val="center"/>
          </w:tcPr>
          <w:p w14:paraId="509E6DF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2.1.2</w:t>
            </w:r>
          </w:p>
        </w:tc>
        <w:tc>
          <w:tcPr>
            <w:tcW w:w="930" w:type="dxa"/>
            <w:gridSpan w:val="2"/>
            <w:vMerge w:val="restart"/>
            <w:shd w:val="clear" w:color="auto" w:fill="E6E6E6"/>
            <w:noWrap w:val="0"/>
            <w:vAlign w:val="center"/>
          </w:tcPr>
          <w:p w14:paraId="30A8C3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响应性</w:t>
            </w:r>
          </w:p>
          <w:p w14:paraId="2426B3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评审标准</w:t>
            </w:r>
          </w:p>
          <w:p w14:paraId="3C24F39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楷体_GB2312" w:cs="楷体_GB2312"/>
                <w:color w:val="auto"/>
                <w:highlight w:val="none"/>
              </w:rPr>
              <w:t>【备注：招标人可按项目需求分为商务标响应性评审和技术标响应性评审两部分】</w:t>
            </w:r>
          </w:p>
        </w:tc>
        <w:tc>
          <w:tcPr>
            <w:tcW w:w="7741" w:type="dxa"/>
            <w:gridSpan w:val="4"/>
            <w:shd w:val="clear" w:color="auto" w:fill="E6E6E6"/>
            <w:noWrap w:val="0"/>
            <w:vAlign w:val="center"/>
          </w:tcPr>
          <w:p w14:paraId="037D7EB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b/>
                <w:bCs/>
                <w:color w:val="auto"/>
                <w:highlight w:val="none"/>
              </w:rPr>
              <w:t>合格标准：缺少任何一项或有任何一项不合格者，其响应性评审视为不合格</w:t>
            </w:r>
          </w:p>
        </w:tc>
      </w:tr>
      <w:tr w14:paraId="3CBE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09A4C0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486A1C8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0CED957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投标内容</w:t>
            </w:r>
          </w:p>
        </w:tc>
        <w:tc>
          <w:tcPr>
            <w:tcW w:w="5048" w:type="dxa"/>
            <w:shd w:val="clear" w:color="auto" w:fill="E6E6E6"/>
            <w:noWrap w:val="0"/>
            <w:vAlign w:val="center"/>
          </w:tcPr>
          <w:p w14:paraId="7E60E87C">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1.3.1</w:t>
            </w:r>
            <w:r>
              <w:rPr>
                <w:rFonts w:hint="eastAsia" w:ascii="Calibri" w:hAnsi="Calibri" w:eastAsia="宋体" w:cs="宋体"/>
                <w:color w:val="auto"/>
                <w:highlight w:val="none"/>
              </w:rPr>
              <w:t>项规定</w:t>
            </w:r>
          </w:p>
        </w:tc>
      </w:tr>
      <w:tr w14:paraId="52DC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40C5283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422F6AE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30DB53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工期</w:t>
            </w:r>
          </w:p>
        </w:tc>
        <w:tc>
          <w:tcPr>
            <w:tcW w:w="5048" w:type="dxa"/>
            <w:shd w:val="clear" w:color="auto" w:fill="E6E6E6"/>
            <w:noWrap w:val="0"/>
            <w:vAlign w:val="center"/>
          </w:tcPr>
          <w:p w14:paraId="258D72AF">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1.3.2</w:t>
            </w:r>
            <w:r>
              <w:rPr>
                <w:rFonts w:hint="eastAsia" w:ascii="Calibri" w:hAnsi="Calibri" w:eastAsia="宋体" w:cs="宋体"/>
                <w:color w:val="auto"/>
                <w:highlight w:val="none"/>
              </w:rPr>
              <w:t>项规定</w:t>
            </w:r>
          </w:p>
        </w:tc>
      </w:tr>
      <w:tr w14:paraId="6267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2A02D7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57112D5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7805928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5048" w:type="dxa"/>
            <w:shd w:val="clear" w:color="auto" w:fill="E6E6E6"/>
            <w:noWrap w:val="0"/>
            <w:vAlign w:val="center"/>
          </w:tcPr>
          <w:p w14:paraId="025000E9">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1.3.3</w:t>
            </w:r>
            <w:r>
              <w:rPr>
                <w:rFonts w:hint="eastAsia" w:ascii="Calibri" w:hAnsi="Calibri" w:eastAsia="宋体" w:cs="宋体"/>
                <w:color w:val="auto"/>
                <w:highlight w:val="none"/>
              </w:rPr>
              <w:t>项规定</w:t>
            </w:r>
          </w:p>
        </w:tc>
      </w:tr>
      <w:tr w14:paraId="2FEA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51CD342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5AD0411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A8498F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投标有效期</w:t>
            </w:r>
          </w:p>
        </w:tc>
        <w:tc>
          <w:tcPr>
            <w:tcW w:w="5048" w:type="dxa"/>
            <w:shd w:val="clear" w:color="auto" w:fill="E6E6E6"/>
            <w:noWrap w:val="0"/>
            <w:vAlign w:val="center"/>
          </w:tcPr>
          <w:p w14:paraId="7118B348">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3.3.1</w:t>
            </w:r>
            <w:r>
              <w:rPr>
                <w:rFonts w:hint="eastAsia" w:ascii="Calibri" w:hAnsi="Calibri" w:eastAsia="宋体" w:cs="宋体"/>
                <w:color w:val="auto"/>
                <w:highlight w:val="none"/>
              </w:rPr>
              <w:t>项规定</w:t>
            </w:r>
          </w:p>
        </w:tc>
      </w:tr>
      <w:tr w14:paraId="1040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A4F2FD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361CEA4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68CB94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权利义务</w:t>
            </w:r>
          </w:p>
        </w:tc>
        <w:tc>
          <w:tcPr>
            <w:tcW w:w="5048" w:type="dxa"/>
            <w:shd w:val="clear" w:color="auto" w:fill="E6E6E6"/>
            <w:noWrap w:val="0"/>
            <w:vAlign w:val="center"/>
          </w:tcPr>
          <w:p w14:paraId="5465B955">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投标函附录中的相关承诺符合或优于第四章</w:t>
            </w:r>
            <w:r>
              <w:rPr>
                <w:rFonts w:hint="default" w:ascii="Calibri" w:hAnsi="Calibri" w:eastAsia="宋体" w:cs="Times New Roman"/>
                <w:color w:val="auto"/>
                <w:highlight w:val="none"/>
              </w:rPr>
              <w:t>“</w:t>
            </w:r>
            <w:r>
              <w:rPr>
                <w:rFonts w:hint="eastAsia" w:ascii="Calibri" w:hAnsi="Calibri" w:eastAsia="宋体" w:cs="宋体"/>
                <w:color w:val="auto"/>
                <w:highlight w:val="none"/>
              </w:rPr>
              <w:t>合同条款及格式</w:t>
            </w:r>
            <w:r>
              <w:rPr>
                <w:rFonts w:hint="default" w:ascii="Calibri" w:hAnsi="Calibri" w:eastAsia="宋体" w:cs="Times New Roman"/>
                <w:color w:val="auto"/>
                <w:highlight w:val="none"/>
              </w:rPr>
              <w:t>”</w:t>
            </w:r>
            <w:r>
              <w:rPr>
                <w:rFonts w:hint="eastAsia" w:ascii="Calibri" w:hAnsi="Calibri" w:eastAsia="宋体" w:cs="宋体"/>
                <w:color w:val="auto"/>
                <w:highlight w:val="none"/>
              </w:rPr>
              <w:t>的相关规定</w:t>
            </w:r>
          </w:p>
        </w:tc>
      </w:tr>
      <w:tr w14:paraId="2327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7AAD0AE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194BA32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037AD80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技术标准和要求</w:t>
            </w:r>
          </w:p>
        </w:tc>
        <w:tc>
          <w:tcPr>
            <w:tcW w:w="5048" w:type="dxa"/>
            <w:shd w:val="clear" w:color="auto" w:fill="E6E6E6"/>
            <w:noWrap w:val="0"/>
            <w:vAlign w:val="center"/>
          </w:tcPr>
          <w:p w14:paraId="5F763552">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符合第八章</w:t>
            </w:r>
            <w:r>
              <w:rPr>
                <w:rFonts w:hint="default" w:ascii="Calibri" w:hAnsi="Calibri" w:eastAsia="宋体" w:cs="Times New Roman"/>
                <w:color w:val="auto"/>
                <w:highlight w:val="none"/>
              </w:rPr>
              <w:t>“</w:t>
            </w:r>
            <w:r>
              <w:rPr>
                <w:rFonts w:hint="eastAsia" w:ascii="Calibri" w:hAnsi="Calibri" w:eastAsia="宋体" w:cs="宋体"/>
                <w:color w:val="auto"/>
                <w:highlight w:val="none"/>
              </w:rPr>
              <w:t>技术标准和要求</w:t>
            </w:r>
            <w:r>
              <w:rPr>
                <w:rFonts w:hint="default" w:ascii="Calibri" w:hAnsi="Calibri" w:eastAsia="宋体" w:cs="Times New Roman"/>
                <w:color w:val="auto"/>
                <w:highlight w:val="none"/>
              </w:rPr>
              <w:t>”</w:t>
            </w:r>
            <w:r>
              <w:rPr>
                <w:rFonts w:hint="eastAsia" w:ascii="Calibri" w:hAnsi="Calibri" w:eastAsia="宋体" w:cs="宋体"/>
                <w:color w:val="auto"/>
                <w:highlight w:val="none"/>
              </w:rPr>
              <w:t>规定（包括建筑材料和设备的节能环保要求）</w:t>
            </w:r>
          </w:p>
        </w:tc>
      </w:tr>
      <w:tr w14:paraId="2EA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6931A57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6D957AA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63F1F5A1">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投标价格</w:t>
            </w:r>
          </w:p>
        </w:tc>
        <w:tc>
          <w:tcPr>
            <w:tcW w:w="5048" w:type="dxa"/>
            <w:shd w:val="clear" w:color="auto" w:fill="E6E6E6"/>
            <w:noWrap w:val="0"/>
            <w:vAlign w:val="center"/>
          </w:tcPr>
          <w:p w14:paraId="64B27B55">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低于（含等于）招标人公布的</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且无本章附件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6ED2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6B8061B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72E07C2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38ACE28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分包计划</w:t>
            </w:r>
          </w:p>
        </w:tc>
        <w:tc>
          <w:tcPr>
            <w:tcW w:w="5048" w:type="dxa"/>
            <w:shd w:val="clear" w:color="auto" w:fill="E6E6E6"/>
            <w:noWrap w:val="0"/>
            <w:vAlign w:val="center"/>
          </w:tcPr>
          <w:p w14:paraId="4AED6886">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1.11</w:t>
            </w:r>
            <w:r>
              <w:rPr>
                <w:rFonts w:hint="eastAsia" w:ascii="Calibri" w:hAnsi="Calibri" w:eastAsia="宋体" w:cs="宋体"/>
                <w:color w:val="auto"/>
                <w:highlight w:val="none"/>
              </w:rPr>
              <w:t>款规定</w:t>
            </w:r>
          </w:p>
        </w:tc>
      </w:tr>
      <w:tr w14:paraId="6160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shd w:val="clear" w:color="auto" w:fill="E6E6E6"/>
            <w:noWrap w:val="0"/>
            <w:vAlign w:val="center"/>
          </w:tcPr>
          <w:p w14:paraId="10DE6E4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332BAC9D">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4D5AD64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已标价工程量清单</w:t>
            </w:r>
          </w:p>
        </w:tc>
        <w:tc>
          <w:tcPr>
            <w:tcW w:w="5048" w:type="dxa"/>
            <w:shd w:val="clear" w:color="auto" w:fill="E6E6E6"/>
            <w:noWrap w:val="0"/>
            <w:vAlign w:val="center"/>
          </w:tcPr>
          <w:p w14:paraId="40226664">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0F1A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63" w:type="dxa"/>
            <w:vMerge w:val="continue"/>
            <w:shd w:val="clear" w:color="auto" w:fill="E6E6E6"/>
            <w:noWrap w:val="0"/>
            <w:vAlign w:val="center"/>
          </w:tcPr>
          <w:p w14:paraId="72EEA82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930" w:type="dxa"/>
            <w:gridSpan w:val="2"/>
            <w:vMerge w:val="continue"/>
            <w:shd w:val="clear" w:color="auto" w:fill="E6E6E6"/>
            <w:noWrap w:val="0"/>
            <w:vAlign w:val="center"/>
          </w:tcPr>
          <w:p w14:paraId="13440F9B">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p>
        </w:tc>
        <w:tc>
          <w:tcPr>
            <w:tcW w:w="2693" w:type="dxa"/>
            <w:gridSpan w:val="3"/>
            <w:shd w:val="clear" w:color="auto" w:fill="E6E6E6"/>
            <w:noWrap w:val="0"/>
            <w:vAlign w:val="center"/>
          </w:tcPr>
          <w:p w14:paraId="796ECBCE">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c>
          <w:tcPr>
            <w:tcW w:w="5048" w:type="dxa"/>
            <w:shd w:val="clear" w:color="auto" w:fill="E6E6E6"/>
            <w:noWrap w:val="0"/>
            <w:vAlign w:val="center"/>
          </w:tcPr>
          <w:p w14:paraId="3D84096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default" w:ascii="Calibri" w:hAnsi="Calibri" w:eastAsia="宋体" w:cs="Times New Roman"/>
                <w:color w:val="auto"/>
                <w:highlight w:val="none"/>
              </w:rPr>
              <w:t>……</w:t>
            </w:r>
          </w:p>
        </w:tc>
      </w:tr>
      <w:tr w14:paraId="2691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restart"/>
            <w:noWrap w:val="0"/>
            <w:vAlign w:val="center"/>
          </w:tcPr>
          <w:p w14:paraId="5C1E43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2.1.1</w:t>
            </w:r>
          </w:p>
        </w:tc>
        <w:tc>
          <w:tcPr>
            <w:tcW w:w="788" w:type="dxa"/>
            <w:vMerge w:val="restart"/>
            <w:noWrap w:val="0"/>
            <w:vAlign w:val="center"/>
          </w:tcPr>
          <w:p w14:paraId="34C472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资格评审标准</w:t>
            </w:r>
          </w:p>
        </w:tc>
        <w:tc>
          <w:tcPr>
            <w:tcW w:w="681" w:type="dxa"/>
            <w:gridSpan w:val="2"/>
            <w:vMerge w:val="restart"/>
            <w:noWrap w:val="0"/>
            <w:vAlign w:val="center"/>
          </w:tcPr>
          <w:p w14:paraId="39EEA5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合格制</w:t>
            </w:r>
          </w:p>
        </w:tc>
        <w:tc>
          <w:tcPr>
            <w:tcW w:w="7202" w:type="dxa"/>
            <w:gridSpan w:val="3"/>
            <w:noWrap w:val="0"/>
            <w:vAlign w:val="center"/>
          </w:tcPr>
          <w:p w14:paraId="5D88494D">
            <w:pPr>
              <w:keepNext w:val="0"/>
              <w:keepLines w:val="0"/>
              <w:suppressLineNumbers w:val="0"/>
              <w:spacing w:before="0" w:beforeAutospacing="0" w:after="0" w:afterAutospacing="0" w:line="360" w:lineRule="auto"/>
              <w:ind w:left="0" w:right="0"/>
              <w:rPr>
                <w:rFonts w:hint="default" w:ascii="Calibri" w:hAnsi="Calibri" w:eastAsia="宋体" w:cs="Times New Roman"/>
                <w:b/>
                <w:bCs/>
                <w:color w:val="auto"/>
                <w:highlight w:val="none"/>
              </w:rPr>
            </w:pPr>
            <w:r>
              <w:rPr>
                <w:rFonts w:hint="eastAsia" w:ascii="Calibri" w:hAnsi="Calibri" w:eastAsia="宋体" w:cs="宋体"/>
                <w:b/>
                <w:bCs/>
                <w:color w:val="auto"/>
                <w:highlight w:val="none"/>
              </w:rPr>
              <w:t>合格标准：缺少任何一项或有任何一项不合格者，其资格审查视为不合格</w:t>
            </w:r>
          </w:p>
        </w:tc>
      </w:tr>
      <w:tr w14:paraId="54CE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noWrap w:val="0"/>
            <w:vAlign w:val="center"/>
          </w:tcPr>
          <w:p w14:paraId="175AE3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54F3E4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BE1A2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4C414E5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5048" w:type="dxa"/>
            <w:noWrap w:val="0"/>
            <w:vAlign w:val="center"/>
          </w:tcPr>
          <w:p w14:paraId="17DF6A7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投标人在招标文件规定的投标文件相关位置加盖投标人法人单位电子印章（联合体协议书可以由联合体各方在纸质文件上加盖法人</w:t>
            </w:r>
            <w:r>
              <w:rPr>
                <w:rFonts w:hint="eastAsia" w:ascii="Calibri" w:hAnsi="Calibri" w:eastAsia="宋体" w:cs="宋体"/>
                <w:color w:val="auto"/>
                <w:highlight w:val="none"/>
                <w:lang w:eastAsia="zh-CN"/>
              </w:rPr>
              <w:t>单位</w:t>
            </w:r>
            <w:r>
              <w:rPr>
                <w:rFonts w:hint="eastAsia" w:ascii="Calibri" w:hAnsi="Calibri" w:eastAsia="宋体" w:cs="宋体"/>
                <w:color w:val="auto"/>
                <w:highlight w:val="none"/>
                <w:lang w:val="en-US" w:eastAsia="zh-CN"/>
              </w:rPr>
              <w:t>印</w:t>
            </w:r>
            <w:r>
              <w:rPr>
                <w:rFonts w:hint="eastAsia" w:ascii="Calibri" w:hAnsi="Calibri" w:eastAsia="宋体" w:cs="宋体"/>
                <w:color w:val="auto"/>
                <w:highlight w:val="none"/>
              </w:rPr>
              <w:t>章再扫描上传</w:t>
            </w:r>
            <w:r>
              <w:rPr>
                <w:rFonts w:hint="eastAsia" w:ascii="Calibri" w:hAnsi="Calibri" w:eastAsia="宋体" w:cs="宋体"/>
                <w:color w:val="auto"/>
                <w:highlight w:val="none"/>
                <w:lang w:eastAsia="zh-CN"/>
              </w:rPr>
              <w:t>，</w:t>
            </w:r>
            <w:r>
              <w:rPr>
                <w:rFonts w:hint="eastAsia" w:ascii="Calibri" w:hAnsi="Calibri" w:eastAsia="宋体" w:cs="宋体"/>
                <w:color w:val="auto"/>
                <w:highlight w:val="none"/>
                <w:lang w:val="en-US" w:eastAsia="zh-CN"/>
              </w:rPr>
              <w:t>也可以盖法人单位电子印章</w:t>
            </w:r>
            <w:r>
              <w:rPr>
                <w:rFonts w:hint="eastAsia" w:ascii="Calibri" w:hAnsi="Calibri" w:eastAsia="宋体" w:cs="宋体"/>
                <w:color w:val="auto"/>
                <w:highlight w:val="none"/>
              </w:rPr>
              <w:t>）</w:t>
            </w:r>
          </w:p>
        </w:tc>
      </w:tr>
      <w:tr w14:paraId="524A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134A62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599FB0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61199D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4BD68FC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5048" w:type="dxa"/>
            <w:noWrap w:val="0"/>
            <w:vAlign w:val="center"/>
          </w:tcPr>
          <w:p w14:paraId="3D8A874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具备有效的营业执照</w:t>
            </w:r>
          </w:p>
        </w:tc>
      </w:tr>
      <w:tr w14:paraId="5229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4B7B6E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551655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0F727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1BCF676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5048" w:type="dxa"/>
            <w:noWrap w:val="0"/>
            <w:vAlign w:val="center"/>
          </w:tcPr>
          <w:p w14:paraId="75E1631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具备有效的安全生产许可证</w:t>
            </w:r>
          </w:p>
        </w:tc>
      </w:tr>
      <w:tr w14:paraId="3991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7DC0CE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6441E0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19A80D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47016A6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5048" w:type="dxa"/>
            <w:noWrap w:val="0"/>
            <w:vAlign w:val="center"/>
          </w:tcPr>
          <w:p w14:paraId="47C9CD3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726F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0804F8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04ED3C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3A9C1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2B06AAA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5048" w:type="dxa"/>
            <w:noWrap w:val="0"/>
            <w:vAlign w:val="center"/>
          </w:tcPr>
          <w:p w14:paraId="29276F5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029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6AF5EA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58C8F0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0B24C6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7C79FE6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5048" w:type="dxa"/>
            <w:noWrap w:val="0"/>
            <w:vAlign w:val="center"/>
          </w:tcPr>
          <w:p w14:paraId="69DC9EB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w:t>
            </w:r>
          </w:p>
        </w:tc>
      </w:tr>
      <w:tr w14:paraId="2801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3FFEBB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22856F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741EC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0206256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5048" w:type="dxa"/>
            <w:noWrap w:val="0"/>
            <w:vAlign w:val="center"/>
          </w:tcPr>
          <w:p w14:paraId="57C08C3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项规定，且和开标时身份证验证的项目经理一致</w:t>
            </w:r>
          </w:p>
        </w:tc>
      </w:tr>
      <w:tr w14:paraId="143E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342ABD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0A805B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991C0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4A547C6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5048" w:type="dxa"/>
            <w:noWrap w:val="0"/>
            <w:vAlign w:val="center"/>
          </w:tcPr>
          <w:p w14:paraId="3275F3E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项规定，且和开标时身份证验证的专职安全生产管理人员一致</w:t>
            </w:r>
          </w:p>
        </w:tc>
      </w:tr>
      <w:tr w14:paraId="102C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51E9FC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01F995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205D0C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795EB57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w:t>
            </w:r>
            <w:r>
              <w:rPr>
                <w:rFonts w:hint="eastAsia" w:ascii="楷体_GB2312" w:hAnsi="Calibri" w:eastAsia="楷体_GB2312" w:cs="楷体_GB2312"/>
                <w:color w:val="auto"/>
                <w:highlight w:val="none"/>
              </w:rPr>
              <w:t>（如有）</w:t>
            </w:r>
          </w:p>
        </w:tc>
        <w:tc>
          <w:tcPr>
            <w:tcW w:w="5048" w:type="dxa"/>
            <w:noWrap w:val="0"/>
            <w:vAlign w:val="center"/>
          </w:tcPr>
          <w:p w14:paraId="6A212D7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1.4.2</w:t>
            </w:r>
            <w:r>
              <w:rPr>
                <w:rFonts w:hint="eastAsia" w:ascii="Calibri" w:hAnsi="Calibri" w:eastAsia="宋体" w:cs="宋体"/>
                <w:color w:val="auto"/>
                <w:highlight w:val="none"/>
              </w:rPr>
              <w:t>项规定</w:t>
            </w:r>
          </w:p>
        </w:tc>
      </w:tr>
      <w:tr w14:paraId="6172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63880D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0FD494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4476D6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3E24611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5048" w:type="dxa"/>
            <w:noWrap w:val="0"/>
            <w:vAlign w:val="center"/>
          </w:tcPr>
          <w:p w14:paraId="17A9802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3.4.1</w:t>
            </w:r>
            <w:r>
              <w:rPr>
                <w:rFonts w:hint="eastAsia" w:ascii="Calibri" w:hAnsi="Calibri" w:eastAsia="宋体" w:cs="宋体"/>
                <w:color w:val="auto"/>
                <w:highlight w:val="none"/>
              </w:rPr>
              <w:t>项规定</w:t>
            </w:r>
          </w:p>
        </w:tc>
      </w:tr>
      <w:tr w14:paraId="3975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3" w:type="dxa"/>
            <w:vMerge w:val="continue"/>
            <w:noWrap w:val="0"/>
            <w:vAlign w:val="center"/>
          </w:tcPr>
          <w:p w14:paraId="25000F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76CBE0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06E01F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6FCC540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r>
              <w:rPr>
                <w:rFonts w:hint="eastAsia" w:ascii="Calibri" w:hAnsi="Calibri" w:eastAsia="楷体_GB2312" w:cs="楷体_GB2312"/>
                <w:color w:val="auto"/>
                <w:highlight w:val="none"/>
              </w:rPr>
              <w:t>【</w:t>
            </w:r>
            <w:r>
              <w:rPr>
                <w:rFonts w:hint="eastAsia" w:ascii="楷体_GB2312" w:hAnsi="Calibri" w:eastAsia="楷体_GB2312" w:cs="楷体_GB2312"/>
                <w:color w:val="auto"/>
                <w:highlight w:val="none"/>
              </w:rPr>
              <w:t>备注：招标人可根据招标项目情况自主调整</w:t>
            </w:r>
            <w:r>
              <w:rPr>
                <w:rFonts w:hint="eastAsia" w:ascii="Calibri" w:hAnsi="Calibri" w:eastAsia="楷体_GB2312" w:cs="楷体_GB2312"/>
                <w:color w:val="auto"/>
                <w:highlight w:val="none"/>
              </w:rPr>
              <w:t>】</w:t>
            </w:r>
          </w:p>
        </w:tc>
        <w:tc>
          <w:tcPr>
            <w:tcW w:w="5048" w:type="dxa"/>
            <w:noWrap w:val="0"/>
            <w:vAlign w:val="center"/>
          </w:tcPr>
          <w:p w14:paraId="534ADF2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符合第二章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项规定且按规定提交了第二章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”3.1.1</w:t>
            </w:r>
            <w:r>
              <w:rPr>
                <w:rFonts w:hint="eastAsia" w:ascii="Calibri" w:hAnsi="Calibri" w:eastAsia="宋体" w:cs="宋体"/>
                <w:color w:val="auto"/>
                <w:highlight w:val="none"/>
              </w:rPr>
              <w:t>项资格审查部分（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）项内容的。</w:t>
            </w:r>
          </w:p>
          <w:p w14:paraId="0AB75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【如：项目经理</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专职投标员</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技术负责人</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专职安全生产管理人员</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其它管理人员在现任职单位的近</w:t>
            </w:r>
            <w:r>
              <w:rPr>
                <w:rFonts w:hint="eastAsia" w:ascii="Calibri" w:hAnsi="Calibri" w:eastAsia="楷体_GB2312" w:cs="Times New Roman"/>
                <w:color w:val="auto"/>
                <w:highlight w:val="none"/>
              </w:rPr>
              <w:t>1</w:t>
            </w:r>
            <w:r>
              <w:rPr>
                <w:rFonts w:hint="eastAsia" w:ascii="Calibri" w:hAnsi="Calibri" w:eastAsia="楷体_GB2312" w:cs="楷体_GB2312"/>
                <w:color w:val="auto"/>
                <w:highlight w:val="none"/>
              </w:rPr>
              <w:t>个月（</w:t>
            </w:r>
            <w:r>
              <w:rPr>
                <w:rFonts w:hint="eastAsia" w:ascii="Calibri" w:hAnsi="Calibri" w:eastAsia="楷体_GB2312" w:cs="楷体_GB2312"/>
                <w:color w:val="auto"/>
                <w:highlight w:val="none"/>
                <w:u w:val="single"/>
              </w:rPr>
              <w:t xml:space="preserve">  </w:t>
            </w:r>
            <w:r>
              <w:rPr>
                <w:rFonts w:hint="eastAsia" w:ascii="Calibri" w:hAnsi="Calibri" w:eastAsia="楷体_GB2312" w:cs="楷体_GB2312"/>
                <w:color w:val="auto"/>
                <w:highlight w:val="none"/>
              </w:rPr>
              <w:t>年</w:t>
            </w:r>
            <w:r>
              <w:rPr>
                <w:rFonts w:hint="eastAsia" w:ascii="Calibri" w:hAnsi="Calibri" w:eastAsia="楷体_GB2312" w:cs="楷体_GB2312"/>
                <w:color w:val="auto"/>
                <w:highlight w:val="none"/>
                <w:u w:val="single"/>
              </w:rPr>
              <w:t xml:space="preserve">  </w:t>
            </w:r>
            <w:r>
              <w:rPr>
                <w:rFonts w:hint="eastAsia" w:ascii="Calibri" w:hAnsi="Calibri" w:eastAsia="楷体_GB2312" w:cs="楷体_GB2312"/>
                <w:color w:val="auto"/>
                <w:highlight w:val="none"/>
              </w:rPr>
              <w:t>月</w:t>
            </w:r>
            <w:r>
              <w:rPr>
                <w:rFonts w:hint="eastAsia" w:eastAsia="楷体_GB2312" w:cs="楷体_GB2312"/>
                <w:color w:val="auto"/>
                <w:highlight w:val="none"/>
                <w:lang w:val="en-US" w:eastAsia="zh-CN"/>
              </w:rPr>
              <w:t>至投标截止时间止任意一个月社保</w:t>
            </w:r>
            <w:r>
              <w:rPr>
                <w:rFonts w:hint="eastAsia" w:ascii="Calibri" w:hAnsi="Calibri" w:eastAsia="楷体_GB2312" w:cs="楷体_GB2312"/>
                <w:color w:val="auto"/>
                <w:highlight w:val="none"/>
              </w:rPr>
              <w:t>）的社会保险缴纳情况（已</w:t>
            </w:r>
            <w:r>
              <w:rPr>
                <w:rFonts w:hint="default" w:ascii="Calibri" w:hAnsi="Calibri" w:eastAsia="楷体_GB2312" w:cs="楷体_GB2312"/>
                <w:color w:val="auto"/>
                <w:highlight w:val="none"/>
              </w:rPr>
              <w:t>退休未满</w:t>
            </w:r>
            <w:r>
              <w:rPr>
                <w:rFonts w:hint="eastAsia" w:ascii="Calibri" w:hAnsi="Calibri" w:eastAsia="楷体_GB2312" w:cs="楷体_GB2312"/>
                <w:color w:val="auto"/>
                <w:highlight w:val="none"/>
              </w:rPr>
              <w:t>65岁的项目经理不</w:t>
            </w:r>
            <w:r>
              <w:rPr>
                <w:rFonts w:hint="default" w:ascii="Calibri" w:hAnsi="Calibri" w:eastAsia="楷体_GB2312" w:cs="楷体_GB2312"/>
                <w:color w:val="auto"/>
                <w:highlight w:val="none"/>
              </w:rPr>
              <w:t>用提供社保</w:t>
            </w:r>
            <w:r>
              <w:rPr>
                <w:rFonts w:hint="eastAsia" w:ascii="Calibri" w:hAnsi="Calibri" w:eastAsia="楷体_GB2312" w:cs="楷体_GB2312"/>
                <w:color w:val="auto"/>
                <w:highlight w:val="none"/>
              </w:rPr>
              <w:t>，但应附退休证明文件的扫描件，且建造</w:t>
            </w:r>
            <w:r>
              <w:rPr>
                <w:rFonts w:hint="default" w:ascii="Calibri" w:hAnsi="Calibri" w:eastAsia="楷体_GB2312" w:cs="楷体_GB2312"/>
                <w:color w:val="auto"/>
                <w:highlight w:val="none"/>
              </w:rPr>
              <w:t>师注册单位与投标单位一致</w:t>
            </w:r>
            <w:r>
              <w:rPr>
                <w:rFonts w:hint="eastAsia" w:ascii="Calibri" w:hAnsi="Calibri" w:eastAsia="楷体_GB2312" w:cs="楷体_GB2312"/>
                <w:color w:val="auto"/>
                <w:highlight w:val="none"/>
              </w:rPr>
              <w:t>）、建设工程项目管理</w:t>
            </w:r>
            <w:r>
              <w:rPr>
                <w:rFonts w:hint="eastAsia" w:eastAsia="楷体_GB2312" w:cs="楷体_GB2312"/>
                <w:color w:val="auto"/>
                <w:highlight w:val="none"/>
              </w:rPr>
              <w:t>承诺</w:t>
            </w:r>
            <w:r>
              <w:rPr>
                <w:rFonts w:hint="eastAsia" w:eastAsia="楷体_GB2312" w:cs="楷体_GB2312"/>
                <w:color w:val="auto"/>
                <w:highlight w:val="none"/>
                <w:lang w:val="en-US" w:eastAsia="zh-CN"/>
              </w:rPr>
              <w:t>书</w:t>
            </w:r>
            <w:r>
              <w:rPr>
                <w:rFonts w:hint="eastAsia" w:ascii="Calibri" w:hAnsi="Calibri" w:eastAsia="楷体_GB2312" w:cs="Times New Roman"/>
                <w:color w:val="auto"/>
                <w:highlight w:val="none"/>
              </w:rPr>
              <w:t>（同“投标人须知前附表”3.1.1要求）</w:t>
            </w:r>
            <w:r>
              <w:rPr>
                <w:rFonts w:hint="eastAsia" w:ascii="Calibri" w:hAnsi="Calibri" w:eastAsia="楷体_GB2312" w:cs="Times New Roman"/>
                <w:color w:val="auto"/>
                <w:highlight w:val="none"/>
                <w:lang w:eastAsia="zh-CN"/>
              </w:rPr>
              <w:t>……</w:t>
            </w:r>
            <w:r>
              <w:rPr>
                <w:rFonts w:hint="eastAsia" w:ascii="Calibri" w:hAnsi="Calibri" w:eastAsia="楷体_GB2312" w:cs="楷体_GB2312"/>
                <w:color w:val="auto"/>
                <w:highlight w:val="none"/>
              </w:rPr>
              <w:t>】</w:t>
            </w:r>
          </w:p>
        </w:tc>
      </w:tr>
      <w:tr w14:paraId="7949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3" w:type="dxa"/>
            <w:vMerge w:val="continue"/>
            <w:noWrap w:val="0"/>
            <w:vAlign w:val="center"/>
          </w:tcPr>
          <w:p w14:paraId="3657A2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788" w:type="dxa"/>
            <w:vMerge w:val="continue"/>
            <w:noWrap w:val="0"/>
            <w:vAlign w:val="center"/>
          </w:tcPr>
          <w:p w14:paraId="5EFB14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681" w:type="dxa"/>
            <w:gridSpan w:val="2"/>
            <w:vMerge w:val="continue"/>
            <w:noWrap w:val="0"/>
            <w:vAlign w:val="center"/>
          </w:tcPr>
          <w:p w14:paraId="2EE676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154" w:type="dxa"/>
            <w:gridSpan w:val="2"/>
            <w:noWrap w:val="0"/>
            <w:vAlign w:val="center"/>
          </w:tcPr>
          <w:p w14:paraId="0E2E778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5048" w:type="dxa"/>
            <w:noWrap w:val="0"/>
            <w:vAlign w:val="center"/>
          </w:tcPr>
          <w:p w14:paraId="639E537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081C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63" w:type="dxa"/>
            <w:noWrap w:val="0"/>
            <w:vAlign w:val="center"/>
          </w:tcPr>
          <w:p w14:paraId="4729E72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w:t>
            </w:r>
          </w:p>
        </w:tc>
        <w:tc>
          <w:tcPr>
            <w:tcW w:w="1469" w:type="dxa"/>
            <w:gridSpan w:val="3"/>
            <w:noWrap w:val="0"/>
            <w:vAlign w:val="center"/>
          </w:tcPr>
          <w:p w14:paraId="70F2A2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详细评审</w:t>
            </w:r>
          </w:p>
        </w:tc>
        <w:tc>
          <w:tcPr>
            <w:tcW w:w="7202" w:type="dxa"/>
            <w:gridSpan w:val="3"/>
            <w:noWrap w:val="0"/>
            <w:vAlign w:val="center"/>
          </w:tcPr>
          <w:p w14:paraId="2090D97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投标人通过</w:t>
            </w:r>
            <w:r>
              <w:rPr>
                <w:rFonts w:hint="eastAsia" w:ascii="Calibri" w:hAnsi="Calibri" w:eastAsia="宋体" w:cs="宋体"/>
                <w:color w:val="auto"/>
                <w:highlight w:val="none"/>
                <w:lang w:eastAsia="zh-CN"/>
              </w:rPr>
              <w:t>了</w:t>
            </w:r>
            <w:r>
              <w:rPr>
                <w:rFonts w:hint="eastAsia" w:ascii="Calibri" w:hAnsi="Calibri" w:eastAsia="宋体" w:cs="宋体"/>
                <w:color w:val="auto"/>
                <w:highlight w:val="none"/>
              </w:rPr>
              <w:t>形式评审和响应性评审</w:t>
            </w:r>
            <w:r>
              <w:rPr>
                <w:rFonts w:hint="eastAsia" w:ascii="Calibri" w:hAnsi="Calibri" w:eastAsia="宋体" w:cs="宋体"/>
                <w:color w:val="auto"/>
                <w:highlight w:val="none"/>
                <w:lang w:eastAsia="zh-CN"/>
              </w:rPr>
              <w:t>后</w:t>
            </w:r>
            <w:r>
              <w:rPr>
                <w:rFonts w:hint="eastAsia" w:ascii="Calibri" w:hAnsi="Calibri" w:eastAsia="宋体" w:cs="宋体"/>
                <w:color w:val="auto"/>
                <w:highlight w:val="none"/>
              </w:rPr>
              <w:t>，资格审查合格的，才能进入详细评审程序。</w:t>
            </w:r>
          </w:p>
        </w:tc>
      </w:tr>
      <w:tr w14:paraId="7A27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63" w:type="dxa"/>
            <w:vMerge w:val="restart"/>
            <w:noWrap w:val="0"/>
            <w:vAlign w:val="center"/>
          </w:tcPr>
          <w:p w14:paraId="4FC9B9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2.2.1</w:t>
            </w:r>
          </w:p>
        </w:tc>
        <w:tc>
          <w:tcPr>
            <w:tcW w:w="1469" w:type="dxa"/>
            <w:gridSpan w:val="3"/>
            <w:vMerge w:val="restart"/>
            <w:noWrap w:val="0"/>
            <w:vAlign w:val="center"/>
          </w:tcPr>
          <w:p w14:paraId="559B71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w:t>
            </w:r>
          </w:p>
          <w:p w14:paraId="47FC824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61652281">
            <w:pPr>
              <w:keepNext w:val="0"/>
              <w:keepLines w:val="0"/>
              <w:suppressLineNumbers w:val="0"/>
              <w:spacing w:before="0" w:beforeAutospacing="0" w:after="0" w:afterAutospacing="0" w:line="360" w:lineRule="auto"/>
              <w:ind w:left="0" w:right="0"/>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【备注：可采用可行性评审制或打分制。采用百分制打分时，</w:t>
            </w:r>
            <w:r>
              <w:rPr>
                <w:rFonts w:hint="default" w:ascii="Calibri" w:hAnsi="Calibri" w:eastAsia="楷体_GB2312" w:cs="Times New Roman"/>
                <w:color w:val="auto"/>
                <w:highlight w:val="none"/>
              </w:rPr>
              <w:t>60</w:t>
            </w:r>
            <w:r>
              <w:rPr>
                <w:rFonts w:hint="eastAsia" w:ascii="Calibri" w:hAnsi="Calibri" w:eastAsia="楷体_GB2312" w:cs="楷体_GB2312"/>
                <w:color w:val="auto"/>
                <w:highlight w:val="none"/>
              </w:rPr>
              <w:t>分及以上为合格】</w:t>
            </w:r>
          </w:p>
        </w:tc>
        <w:tc>
          <w:tcPr>
            <w:tcW w:w="993" w:type="dxa"/>
            <w:vMerge w:val="restart"/>
            <w:noWrap w:val="0"/>
            <w:vAlign w:val="center"/>
          </w:tcPr>
          <w:p w14:paraId="63144E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eastAsia="宋体" w:cs="宋体"/>
                <w:color w:val="auto"/>
                <w:highlight w:val="none"/>
              </w:rPr>
              <w:t>分）</w:t>
            </w:r>
          </w:p>
        </w:tc>
        <w:tc>
          <w:tcPr>
            <w:tcW w:w="1161" w:type="dxa"/>
            <w:noWrap w:val="0"/>
            <w:vAlign w:val="center"/>
          </w:tcPr>
          <w:p w14:paraId="1F91FC9D">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项目经理任职资格与业绩、工作经历等（</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分）</w:t>
            </w:r>
          </w:p>
        </w:tc>
        <w:tc>
          <w:tcPr>
            <w:tcW w:w="5048" w:type="dxa"/>
            <w:noWrap w:val="0"/>
            <w:vAlign w:val="center"/>
          </w:tcPr>
          <w:p w14:paraId="61944C79">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拟派任项目经理（或注册建造师）必须与资格审查合格通过的项目经理（或注册建造师）在</w:t>
            </w:r>
            <w:r>
              <w:rPr>
                <w:rFonts w:hint="eastAsia" w:ascii="Calibri" w:hAnsi="Calibri" w:eastAsia="宋体" w:cs="宋体"/>
                <w:color w:val="auto"/>
                <w:kern w:val="0"/>
                <w:highlight w:val="none"/>
                <w:lang w:eastAsia="zh-CN"/>
              </w:rPr>
              <w:t>姓</w:t>
            </w:r>
            <w:r>
              <w:rPr>
                <w:rFonts w:hint="eastAsia" w:ascii="Calibri" w:hAnsi="Calibri" w:eastAsia="宋体" w:cs="宋体"/>
                <w:color w:val="auto"/>
                <w:kern w:val="0"/>
                <w:highlight w:val="none"/>
              </w:rPr>
              <w:t>名、专业、资格等级等方面一致。</w:t>
            </w:r>
          </w:p>
          <w:p w14:paraId="318DED46">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44F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noWrap w:val="0"/>
            <w:vAlign w:val="center"/>
          </w:tcPr>
          <w:p w14:paraId="096AF8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68548E3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C9BE026">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483C880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其他主要人员（</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分）</w:t>
            </w:r>
          </w:p>
        </w:tc>
        <w:tc>
          <w:tcPr>
            <w:tcW w:w="5048" w:type="dxa"/>
            <w:noWrap w:val="0"/>
            <w:vAlign w:val="center"/>
          </w:tcPr>
          <w:p w14:paraId="509AF7F2">
            <w:pPr>
              <w:pStyle w:val="35"/>
              <w:keepNext w:val="0"/>
              <w:keepLines w:val="0"/>
              <w:suppressLineNumbers w:val="0"/>
              <w:shd w:val="clear" w:color="auto" w:fill="FFFFFF"/>
              <w:spacing w:before="0" w:beforeAutospacing="0" w:after="0" w:afterAutospacing="0" w:line="360" w:lineRule="auto"/>
              <w:ind w:left="0" w:right="0"/>
              <w:jc w:val="left"/>
              <w:rPr>
                <w:rFonts w:hint="eastAsia" w:cs="宋体"/>
                <w:color w:val="auto"/>
                <w:kern w:val="0"/>
                <w:highlight w:val="none"/>
              </w:rPr>
            </w:pPr>
            <w:r>
              <w:rPr>
                <w:rFonts w:hint="eastAsia" w:ascii="Times New Roman" w:hAnsi="Times New Roman" w:cs="宋体"/>
                <w:color w:val="auto"/>
                <w:kern w:val="0"/>
                <w:sz w:val="21"/>
                <w:szCs w:val="21"/>
                <w:highlight w:val="none"/>
                <w:lang w:bidi="ar-SA"/>
              </w:rPr>
              <w:t>基本要求：人员齐备、专业配套应与资格审查提供的人员配备相一致，且具备相关施工现场专业人员职业培训合格证书（拟派驻本项目的技术负责人应具有中级及以上职称证件，施工员、质量员、材料员应具有</w:t>
            </w:r>
            <w:r>
              <w:rPr>
                <w:rFonts w:ascii="Times New Roman" w:hAnsi="Times New Roman"/>
                <w:b w:val="0"/>
                <w:i w:val="0"/>
                <w:caps w:val="0"/>
                <w:color w:val="auto"/>
                <w:spacing w:val="0"/>
                <w:sz w:val="21"/>
                <w:szCs w:val="21"/>
                <w:highlight w:val="none"/>
                <w:shd w:val="clear" w:color="auto" w:fill="auto"/>
                <w:lang w:bidi="ar-SA"/>
              </w:rPr>
              <w:t>有效</w:t>
            </w:r>
            <w:r>
              <w:rPr>
                <w:rFonts w:hint="eastAsia" w:ascii="Times New Roman" w:hAnsi="Times New Roman"/>
                <w:b w:val="0"/>
                <w:i w:val="0"/>
                <w:caps w:val="0"/>
                <w:color w:val="auto"/>
                <w:spacing w:val="0"/>
                <w:sz w:val="21"/>
                <w:szCs w:val="21"/>
                <w:highlight w:val="none"/>
                <w:shd w:val="clear" w:color="auto" w:fill="auto"/>
                <w:lang w:eastAsia="zh-CN" w:bidi="ar-SA"/>
              </w:rPr>
              <w:t>的</w:t>
            </w:r>
            <w:r>
              <w:rPr>
                <w:rFonts w:hint="eastAsia" w:ascii="Times New Roman" w:hAnsi="Times New Roman" w:cs="宋体"/>
                <w:color w:val="auto"/>
                <w:kern w:val="0"/>
                <w:sz w:val="21"/>
                <w:szCs w:val="21"/>
                <w:highlight w:val="none"/>
                <w:lang w:bidi="ar-SA"/>
              </w:rPr>
              <w:t>相应施工现场专业人员职业培训合格证书，专职安全生产管理人员需有</w:t>
            </w:r>
            <w:r>
              <w:rPr>
                <w:rFonts w:ascii="Times New Roman" w:hAnsi="Times New Roman"/>
                <w:b w:val="0"/>
                <w:i w:val="0"/>
                <w:caps w:val="0"/>
                <w:color w:val="auto"/>
                <w:spacing w:val="0"/>
                <w:sz w:val="21"/>
                <w:szCs w:val="21"/>
                <w:highlight w:val="none"/>
                <w:shd w:val="clear" w:color="auto" w:fill="auto"/>
                <w:lang w:bidi="ar-SA"/>
              </w:rPr>
              <w:t>有效</w:t>
            </w:r>
            <w:r>
              <w:rPr>
                <w:rFonts w:hint="eastAsia" w:ascii="Times New Roman" w:hAnsi="Times New Roman" w:cs="宋体"/>
                <w:color w:val="auto"/>
                <w:kern w:val="0"/>
                <w:sz w:val="21"/>
                <w:szCs w:val="21"/>
                <w:highlight w:val="none"/>
                <w:lang w:bidi="ar-SA"/>
              </w:rPr>
              <w:t>建筑施工企业三类人员C证，且拟投入的项目管理人员符合国家及广西壮族自治区的规定）（</w:t>
            </w:r>
            <w:r>
              <w:rPr>
                <w:rFonts w:hint="eastAsia" w:ascii="方正楷体_GB2312" w:hAnsi="方正楷体_GB2312" w:eastAsia="方正楷体_GB2312" w:cs="方正楷体_GB2312"/>
                <w:color w:val="auto"/>
                <w:kern w:val="0"/>
                <w:sz w:val="21"/>
                <w:szCs w:val="21"/>
                <w:highlight w:val="none"/>
                <w:lang w:bidi="ar-SA"/>
              </w:rPr>
              <w:t xml:space="preserve">注： </w:t>
            </w:r>
            <w:r>
              <w:rPr>
                <w:rFonts w:hint="eastAsia" w:ascii="方正楷体_GB2312" w:hAnsi="方正楷体_GB2312" w:eastAsia="方正楷体_GB2312" w:cs="方正楷体_GB2312"/>
                <w:color w:val="auto"/>
                <w:kern w:val="0"/>
                <w:sz w:val="21"/>
                <w:szCs w:val="21"/>
                <w:highlight w:val="none"/>
                <w:lang w:eastAsia="zh-CN" w:bidi="ar-SA"/>
              </w:rPr>
              <w:t>1.</w:t>
            </w:r>
            <w:r>
              <w:rPr>
                <w:rFonts w:hint="eastAsia" w:ascii="方正楷体_GB2312" w:hAnsi="方正楷体_GB2312" w:eastAsia="方正楷体_GB2312" w:cs="方正楷体_GB2312"/>
                <w:color w:val="auto"/>
                <w:kern w:val="0"/>
                <w:sz w:val="21"/>
                <w:szCs w:val="21"/>
                <w:highlight w:val="none"/>
                <w:lang w:bidi="ar-SA"/>
              </w:rPr>
              <w:t>该项基本要求不满足，则技术标评</w:t>
            </w:r>
            <w:bookmarkStart w:id="485" w:name="OLE_LINK8"/>
            <w:r>
              <w:rPr>
                <w:rFonts w:hint="eastAsia" w:ascii="方正楷体_GB2312" w:hAnsi="方正楷体_GB2312" w:eastAsia="方正楷体_GB2312" w:cs="方正楷体_GB2312"/>
                <w:color w:val="auto"/>
                <w:kern w:val="0"/>
                <w:sz w:val="21"/>
                <w:szCs w:val="21"/>
                <w:highlight w:val="none"/>
                <w:lang w:bidi="ar-SA"/>
              </w:rPr>
              <w:t>审不合格；</w:t>
            </w:r>
            <w:r>
              <w:rPr>
                <w:rFonts w:hint="eastAsia" w:ascii="方正楷体_GB2312" w:hAnsi="方正楷体_GB2312" w:eastAsia="方正楷体_GB2312" w:cs="方正楷体_GB2312"/>
                <w:color w:val="auto"/>
                <w:kern w:val="0"/>
                <w:sz w:val="21"/>
                <w:szCs w:val="21"/>
                <w:highlight w:val="none"/>
                <w:lang w:eastAsia="zh-CN" w:bidi="ar-SA"/>
              </w:rPr>
              <w:t>2.</w:t>
            </w:r>
            <w:r>
              <w:rPr>
                <w:rFonts w:hint="eastAsia" w:ascii="方正楷体_GB2312" w:hAnsi="方正楷体_GB2312" w:eastAsia="方正楷体_GB2312" w:cs="方正楷体_GB2312"/>
                <w:color w:val="auto"/>
                <w:kern w:val="0"/>
                <w:sz w:val="21"/>
                <w:szCs w:val="21"/>
                <w:highlight w:val="none"/>
                <w:lang w:bidi="ar-SA"/>
              </w:rPr>
              <w:t>设优、良、中、一般、差，并对各评分等级设置一个具体分值，不设评分区间</w:t>
            </w:r>
            <w:r>
              <w:rPr>
                <w:rFonts w:hint="eastAsia" w:ascii="Times New Roman" w:hAnsi="Times New Roman" w:cs="宋体"/>
                <w:color w:val="auto"/>
                <w:kern w:val="0"/>
                <w:sz w:val="21"/>
                <w:szCs w:val="21"/>
                <w:highlight w:val="none"/>
                <w:lang w:bidi="ar-SA"/>
              </w:rPr>
              <w:t>）</w:t>
            </w:r>
          </w:p>
          <w:p w14:paraId="1407C86F">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评分内容：</w:t>
            </w:r>
            <w:r>
              <w:rPr>
                <w:rFonts w:hint="eastAsia" w:ascii="Calibri" w:hAnsi="Calibri" w:eastAsia="宋体" w:cs="宋体"/>
                <w:b/>
                <w:color w:val="auto"/>
                <w:kern w:val="0"/>
                <w:highlight w:val="none"/>
              </w:rPr>
              <w:t>需要</w:t>
            </w:r>
            <w:r>
              <w:rPr>
                <w:rFonts w:hint="default" w:ascii="Calibri" w:hAnsi="Calibri" w:eastAsia="宋体" w:cs="宋体"/>
                <w:b/>
                <w:color w:val="auto"/>
                <w:kern w:val="0"/>
                <w:highlight w:val="none"/>
              </w:rPr>
              <w:t>量化</w:t>
            </w:r>
            <w:r>
              <w:rPr>
                <w:rFonts w:hint="eastAsia" w:ascii="Calibri" w:hAnsi="Calibri" w:eastAsia="宋体" w:cs="宋体"/>
                <w:color w:val="auto"/>
                <w:kern w:val="0"/>
                <w:highlight w:val="none"/>
              </w:rPr>
              <w:t>人员配备情况、人员经验情况、特殊项目其他专业技术人员设置要求等，由招标人根据项目需求调整。</w:t>
            </w:r>
            <w:bookmarkEnd w:id="485"/>
          </w:p>
          <w:p w14:paraId="057A0529">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r>
      <w:tr w14:paraId="7F7A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63" w:type="dxa"/>
            <w:vMerge w:val="continue"/>
            <w:noWrap w:val="0"/>
            <w:vAlign w:val="center"/>
          </w:tcPr>
          <w:p w14:paraId="7BBC3E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76D0B4C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957DFF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r>
              <w:rPr>
                <w:rFonts w:hint="eastAsia" w:ascii="Calibri" w:hAnsi="Calibri" w:eastAsia="宋体" w:cs="宋体"/>
                <w:color w:val="auto"/>
                <w:highlight w:val="none"/>
              </w:rPr>
              <w:t>（</w:t>
            </w:r>
            <w:r>
              <w:rPr>
                <w:rFonts w:hint="default" w:ascii="Calibri" w:hAnsi="Calibri" w:eastAsia="宋体" w:cs="Times New Roman"/>
                <w:color w:val="auto"/>
                <w:highlight w:val="none"/>
              </w:rPr>
              <w:t>80</w:t>
            </w:r>
            <w:r>
              <w:rPr>
                <w:rFonts w:hint="eastAsia" w:ascii="Calibri" w:hAnsi="Calibri" w:eastAsia="宋体" w:cs="宋体"/>
                <w:color w:val="auto"/>
                <w:highlight w:val="none"/>
              </w:rPr>
              <w:t>分）</w:t>
            </w:r>
          </w:p>
        </w:tc>
        <w:tc>
          <w:tcPr>
            <w:tcW w:w="1161" w:type="dxa"/>
            <w:noWrap w:val="0"/>
            <w:vAlign w:val="center"/>
          </w:tcPr>
          <w:p w14:paraId="5138765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主要施工方法（</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7F5EBA6C">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各主要分部施工方法符合项目实际，须有详尽的施工技术方案，工艺先进、方法科学合理、可行，能指导具体施工并确保安全。（</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设优、良、中、一般、差，并对各评分等级设置一个具体分值，不设评分区间</w:t>
            </w:r>
            <w:r>
              <w:rPr>
                <w:rFonts w:hint="eastAsia" w:ascii="Calibri" w:hAnsi="Calibri" w:eastAsia="宋体" w:cs="宋体"/>
                <w:color w:val="auto"/>
                <w:kern w:val="0"/>
                <w:highlight w:val="none"/>
              </w:rPr>
              <w:t>）</w:t>
            </w:r>
          </w:p>
        </w:tc>
      </w:tr>
      <w:tr w14:paraId="1178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vMerge w:val="continue"/>
            <w:noWrap w:val="0"/>
            <w:vAlign w:val="center"/>
          </w:tcPr>
          <w:p w14:paraId="3887CD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270414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F5A7027">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4E7873FB">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拟投入的主要物资计划（</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38B2C61B">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投入的施工材料有详细的组织计划且计划周密，数量、选型配置、进场时间安排合理，满足施工需要。（</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0B1D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vMerge w:val="continue"/>
            <w:noWrap w:val="0"/>
            <w:vAlign w:val="center"/>
          </w:tcPr>
          <w:p w14:paraId="4881E2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4C396F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B72F7C7">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38FCC92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劳动力安排计划（</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531432B1">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各主要施工工序应有详细周密的劳动力安排计划，有各工种劳动力安排计划，劳动力投入合理，满足施工需要。（</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72BE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3" w:type="dxa"/>
            <w:vMerge w:val="continue"/>
            <w:noWrap w:val="0"/>
            <w:vAlign w:val="center"/>
          </w:tcPr>
          <w:p w14:paraId="559815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6B1212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1645BFF">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79333173">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确保工程质量的技术组织措施（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0CC85D0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应有专门的质量技术管理班子和制度，且人员配备合理，制度健全。主要工序应有质量技术保证措施和手段，自控体系完整，能有效保证技术质量，达到承诺的质量标准。（</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1954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noWrap w:val="0"/>
            <w:vAlign w:val="center"/>
          </w:tcPr>
          <w:p w14:paraId="34DD32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3ADC4E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95C03DF">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0F6BC9A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确保安全生产的技术组织措施（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6E2A104A">
            <w:pPr>
              <w:keepNext w:val="0"/>
              <w:keepLines w:val="0"/>
              <w:widowControl/>
              <w:suppressLineNumbers w:val="0"/>
              <w:spacing w:before="0" w:beforeAutospacing="0" w:after="0" w:afterAutospacing="0" w:line="360" w:lineRule="auto"/>
              <w:ind w:left="0" w:right="0"/>
              <w:rPr>
                <w:rFonts w:hint="eastAsia" w:ascii="Calibri" w:hAnsi="Calibri" w:eastAsia="宋体" w:cs="宋体"/>
                <w:color w:val="auto"/>
                <w:kern w:val="0"/>
                <w:highlight w:val="none"/>
              </w:rPr>
            </w:pPr>
            <w:r>
              <w:rPr>
                <w:rFonts w:hint="eastAsia" w:ascii="Calibri" w:hAnsi="Calibri" w:eastAsia="宋体" w:cs="宋体"/>
                <w:color w:val="auto"/>
                <w:kern w:val="0"/>
                <w:highlight w:val="none"/>
              </w:rPr>
              <w:t>应有专门的安全管理人员和制度，且人员配备合理，制度健全，各道工序安全技术措施针对性强，符合实际且满足有关安全技术标准要求。现场防火、应急救援、社会治安安全措施得力。（</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p w14:paraId="2EA43576">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Times New Roman"/>
                <w:color w:val="auto"/>
                <w:kern w:val="0"/>
                <w:highlight w:val="none"/>
              </w:rPr>
              <w:t>危险性较大的分部分项工程清单补充完善并明确相应的安全管理措施。（如有）</w:t>
            </w:r>
          </w:p>
        </w:tc>
      </w:tr>
      <w:tr w14:paraId="36AB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63" w:type="dxa"/>
            <w:vMerge w:val="continue"/>
            <w:noWrap w:val="0"/>
            <w:vAlign w:val="center"/>
          </w:tcPr>
          <w:p w14:paraId="5DF001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0DC3DF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7544B5E">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36FD5EC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确保工期的技术组织措施（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751BEAC1">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41C6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63" w:type="dxa"/>
            <w:vMerge w:val="continue"/>
            <w:noWrap w:val="0"/>
            <w:vAlign w:val="center"/>
          </w:tcPr>
          <w:p w14:paraId="2ED1F3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26863F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53B6E69">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7ABA225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确保文明施工的技术组织措施（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3C860A3D">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针对本工程项目特点，应有现场文明施工、环境保护措施，且措施内容应达到《建筑施工安全生产检查标准》（</w:t>
            </w:r>
            <w:r>
              <w:rPr>
                <w:rFonts w:hint="default" w:ascii="Calibri" w:hAnsi="Calibri" w:eastAsia="宋体" w:cs="Times New Roman"/>
                <w:color w:val="auto"/>
                <w:kern w:val="0"/>
                <w:highlight w:val="none"/>
              </w:rPr>
              <w:t>JGJ59-2011</w:t>
            </w:r>
            <w:r>
              <w:rPr>
                <w:rFonts w:hint="eastAsia" w:ascii="Calibri" w:hAnsi="Calibri" w:eastAsia="宋体" w:cs="宋体"/>
                <w:color w:val="auto"/>
                <w:kern w:val="0"/>
                <w:highlight w:val="none"/>
              </w:rPr>
              <w:t>）合格标准并符合《广西壮族自治区建筑工程文明施工导则》要求。各项措施周全、具体、有效。有具体实现现场文明施工目标的承诺。（</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591D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noWrap w:val="0"/>
            <w:vAlign w:val="center"/>
          </w:tcPr>
          <w:p w14:paraId="5B3326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24372A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A2C4994">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177894D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工程施工的重点和难点及保证措施（</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72122B14">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针对本工程的特点，阐述本工程的重点和难点，解决重点和难点问题的方法是否合理。（</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B4E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noWrap w:val="0"/>
            <w:vAlign w:val="center"/>
          </w:tcPr>
          <w:p w14:paraId="7551F5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0347D8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A7753F7">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2D31C316">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施工总平面布置图（</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47AB55E2">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应有施工总平面布置图，安排科学合理，符合本项目施工实际要求。（</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Calibri" w:hAnsi="Calibri" w:eastAsia="宋体" w:cs="宋体"/>
                <w:color w:val="auto"/>
                <w:kern w:val="0"/>
                <w:highlight w:val="none"/>
              </w:rPr>
              <w:t>）</w:t>
            </w:r>
          </w:p>
        </w:tc>
      </w:tr>
      <w:tr w14:paraId="3B9C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3" w:type="dxa"/>
            <w:vMerge w:val="continue"/>
            <w:noWrap w:val="0"/>
            <w:vAlign w:val="center"/>
          </w:tcPr>
          <w:p w14:paraId="750210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469" w:type="dxa"/>
            <w:gridSpan w:val="3"/>
            <w:vMerge w:val="continue"/>
            <w:noWrap w:val="0"/>
            <w:vAlign w:val="center"/>
          </w:tcPr>
          <w:p w14:paraId="484C71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2E11947">
            <w:pPr>
              <w:pStyle w:val="15"/>
              <w:keepNext w:val="0"/>
              <w:keepLines w:val="0"/>
              <w:suppressLineNumbers w:val="0"/>
              <w:spacing w:before="0" w:beforeAutospacing="0" w:after="0" w:afterAutospacing="0" w:line="360" w:lineRule="auto"/>
              <w:ind w:left="0" w:right="0"/>
              <w:jc w:val="both"/>
              <w:rPr>
                <w:rFonts w:hint="default" w:ascii="Calibri" w:hAnsi="Calibri" w:eastAsia="Times New Roman" w:cs="Times New Roman"/>
                <w:color w:val="auto"/>
                <w:sz w:val="21"/>
                <w:szCs w:val="21"/>
                <w:highlight w:val="none"/>
              </w:rPr>
            </w:pPr>
          </w:p>
        </w:tc>
        <w:tc>
          <w:tcPr>
            <w:tcW w:w="1161" w:type="dxa"/>
            <w:noWrap w:val="0"/>
            <w:vAlign w:val="center"/>
          </w:tcPr>
          <w:p w14:paraId="7819684F">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其他（</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分</w:t>
            </w: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15</w:t>
            </w:r>
            <w:r>
              <w:rPr>
                <w:rFonts w:hint="eastAsia" w:ascii="Calibri" w:hAnsi="Calibri" w:eastAsia="宋体" w:cs="宋体"/>
                <w:color w:val="auto"/>
                <w:kern w:val="0"/>
                <w:highlight w:val="none"/>
              </w:rPr>
              <w:t>分）</w:t>
            </w:r>
          </w:p>
        </w:tc>
        <w:tc>
          <w:tcPr>
            <w:tcW w:w="5048" w:type="dxa"/>
            <w:noWrap w:val="0"/>
            <w:vAlign w:val="center"/>
          </w:tcPr>
          <w:p w14:paraId="22DBC00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default" w:ascii="Calibri" w:hAnsi="Calibri" w:eastAsia="宋体" w:cs="Times New Roman"/>
                <w:color w:val="auto"/>
                <w:highlight w:val="none"/>
              </w:rPr>
              <w:t>……</w:t>
            </w: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w:t>
            </w:r>
            <w:r>
              <w:rPr>
                <w:rFonts w:hint="default" w:ascii="方正楷体_GB2312" w:hAnsi="方正楷体_GB2312" w:eastAsia="方正楷体_GB2312" w:cs="方正楷体_GB2312"/>
                <w:color w:val="auto"/>
                <w:kern w:val="0"/>
                <w:highlight w:val="none"/>
              </w:rPr>
              <w:t>并对</w:t>
            </w:r>
            <w:r>
              <w:rPr>
                <w:rFonts w:hint="eastAsia" w:ascii="方正楷体_GB2312" w:hAnsi="方正楷体_GB2312" w:eastAsia="方正楷体_GB2312" w:cs="方正楷体_GB2312"/>
                <w:color w:val="auto"/>
                <w:kern w:val="0"/>
                <w:highlight w:val="none"/>
              </w:rPr>
              <w:t>各评分等级设置一个具体分值，</w:t>
            </w:r>
            <w:r>
              <w:rPr>
                <w:rFonts w:hint="default" w:ascii="方正楷体_GB2312" w:hAnsi="方正楷体_GB2312" w:eastAsia="方正楷体_GB2312" w:cs="方正楷体_GB2312"/>
                <w:color w:val="auto"/>
                <w:kern w:val="0"/>
                <w:highlight w:val="none"/>
              </w:rPr>
              <w:t>不设评分区间</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lang w:val="en-US" w:eastAsia="zh-CN"/>
              </w:rPr>
              <w:t>不重复考察资格审查评审内容。</w:t>
            </w:r>
            <w:r>
              <w:rPr>
                <w:rFonts w:hint="eastAsia" w:ascii="Calibri" w:hAnsi="Calibri" w:eastAsia="宋体" w:cs="宋体"/>
                <w:color w:val="auto"/>
                <w:kern w:val="0"/>
                <w:highlight w:val="none"/>
              </w:rPr>
              <w:t>）</w:t>
            </w:r>
          </w:p>
        </w:tc>
      </w:tr>
      <w:tr w14:paraId="0FC1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63" w:type="dxa"/>
            <w:noWrap w:val="0"/>
            <w:vAlign w:val="center"/>
          </w:tcPr>
          <w:p w14:paraId="3912D4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p>
        </w:tc>
        <w:tc>
          <w:tcPr>
            <w:tcW w:w="1469" w:type="dxa"/>
            <w:gridSpan w:val="3"/>
            <w:noWrap w:val="0"/>
            <w:vAlign w:val="center"/>
          </w:tcPr>
          <w:p w14:paraId="09269E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商务标</w:t>
            </w:r>
          </w:p>
          <w:p w14:paraId="3929EC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评分标准</w:t>
            </w:r>
          </w:p>
          <w:p w14:paraId="6EE301E1">
            <w:pPr>
              <w:keepNext w:val="0"/>
              <w:keepLines w:val="0"/>
              <w:suppressLineNumbers w:val="0"/>
              <w:spacing w:before="0" w:beforeAutospacing="0" w:after="0" w:afterAutospacing="0" w:line="360" w:lineRule="auto"/>
              <w:ind w:left="0" w:right="0"/>
              <w:jc w:val="center"/>
              <w:rPr>
                <w:rFonts w:hint="default" w:ascii="Calibri" w:hAnsi="Calibri" w:eastAsia="楷体_GB2312" w:cs="Times New Roman"/>
                <w:color w:val="auto"/>
                <w:highlight w:val="none"/>
              </w:rPr>
            </w:pPr>
            <w:r>
              <w:rPr>
                <w:rFonts w:hint="eastAsia" w:ascii="Calibri" w:hAnsi="Calibri" w:eastAsia="楷体_GB2312" w:cs="楷体_GB2312"/>
                <w:color w:val="auto"/>
                <w:highlight w:val="none"/>
              </w:rPr>
              <w:t>【备注：满分为</w:t>
            </w:r>
            <w:r>
              <w:rPr>
                <w:rFonts w:hint="eastAsia" w:ascii="Calibri" w:hAnsi="Calibri" w:eastAsia="楷体_GB2312" w:cs="Times New Roman"/>
                <w:color w:val="auto"/>
                <w:highlight w:val="none"/>
              </w:rPr>
              <w:t>9</w:t>
            </w:r>
            <w:r>
              <w:rPr>
                <w:rFonts w:hint="default" w:ascii="Calibri" w:hAnsi="Calibri" w:eastAsia="楷体_GB2312" w:cs="Times New Roman"/>
                <w:color w:val="auto"/>
                <w:highlight w:val="none"/>
              </w:rPr>
              <w:t>8</w:t>
            </w:r>
            <w:r>
              <w:rPr>
                <w:rFonts w:hint="eastAsia" w:ascii="Calibri" w:hAnsi="Calibri" w:eastAsia="楷体_GB2312" w:cs="楷体_GB2312"/>
                <w:color w:val="auto"/>
                <w:highlight w:val="none"/>
              </w:rPr>
              <w:t>分】</w:t>
            </w:r>
          </w:p>
        </w:tc>
        <w:tc>
          <w:tcPr>
            <w:tcW w:w="7202" w:type="dxa"/>
            <w:gridSpan w:val="3"/>
            <w:noWrap w:val="0"/>
            <w:vAlign w:val="center"/>
          </w:tcPr>
          <w:p w14:paraId="33BFBBC7">
            <w:pPr>
              <w:keepNext w:val="0"/>
              <w:keepLines w:val="0"/>
              <w:suppressLineNumbers w:val="0"/>
              <w:spacing w:before="0" w:beforeAutospacing="0" w:after="0" w:afterAutospacing="0" w:line="360" w:lineRule="auto"/>
              <w:ind w:left="0" w:right="0" w:firstLine="345"/>
              <w:rPr>
                <w:rFonts w:hint="default" w:ascii="Calibri" w:hAnsi="Calibri" w:eastAsia="楷体_GB2312" w:cs="Times New Roman"/>
                <w:color w:val="auto"/>
                <w:highlight w:val="none"/>
              </w:rPr>
            </w:pPr>
            <w:r>
              <w:rPr>
                <w:rFonts w:hint="eastAsia" w:ascii="Calibri" w:hAnsi="Calibri" w:cs="Times New Roman"/>
                <w:b/>
                <w:bCs/>
                <w:color w:val="auto"/>
                <w:highlight w:val="none"/>
                <w:lang w:eastAsia="zh-CN"/>
              </w:rPr>
              <w:t>1.</w:t>
            </w:r>
            <w:r>
              <w:rPr>
                <w:rFonts w:hint="eastAsia" w:ascii="Calibri" w:hAnsi="Calibri" w:eastAsia="宋体" w:cs="宋体"/>
                <w:b/>
                <w:bCs/>
                <w:color w:val="auto"/>
                <w:highlight w:val="none"/>
              </w:rPr>
              <w:t>经评审的合理低价的确定方法</w:t>
            </w:r>
          </w:p>
          <w:p w14:paraId="3D82C673">
            <w:pPr>
              <w:keepNext w:val="0"/>
              <w:keepLines w:val="0"/>
              <w:suppressLineNumbers w:val="0"/>
              <w:spacing w:before="0" w:beforeAutospacing="0" w:after="0" w:afterAutospacing="0" w:line="360" w:lineRule="auto"/>
              <w:ind w:left="0" w:right="0" w:firstLine="345" w:firstLineChars="0"/>
              <w:rPr>
                <w:rFonts w:hint="eastAsia" w:ascii="Calibri" w:hAnsi="Calibri" w:eastAsia="宋体" w:cs="宋体"/>
                <w:color w:val="auto"/>
                <w:highlight w:val="none"/>
              </w:rPr>
            </w:pPr>
            <w:r>
              <w:rPr>
                <w:rFonts w:hint="default" w:ascii="Calibri" w:hAnsi="Calibri" w:eastAsia="宋体" w:cs="宋体"/>
                <w:color w:val="auto"/>
                <w:highlight w:val="none"/>
              </w:rPr>
              <w:t>（1）有效报价范围：为通过形式评审、响应性评审、资格评审、技术标评审合格</w:t>
            </w:r>
            <w:r>
              <w:rPr>
                <w:rFonts w:hint="eastAsia" w:ascii="Calibri" w:hAnsi="Calibri" w:eastAsia="宋体" w:cs="宋体"/>
                <w:color w:val="auto"/>
                <w:highlight w:val="none"/>
                <w:lang w:eastAsia="zh-CN"/>
              </w:rPr>
              <w:t>或可行</w:t>
            </w:r>
            <w:r>
              <w:rPr>
                <w:rFonts w:hint="default" w:ascii="Calibri" w:hAnsi="Calibri" w:eastAsia="宋体" w:cs="宋体"/>
                <w:color w:val="auto"/>
                <w:highlight w:val="none"/>
              </w:rPr>
              <w:t>、投标总价低于或等于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的报价</w:t>
            </w:r>
            <w:r>
              <w:rPr>
                <w:rFonts w:hint="default" w:ascii="Times New Roman" w:hAnsi="Times New Roman" w:eastAsia="宋体" w:cs="宋体"/>
                <w:color w:val="auto"/>
                <w:highlight w:val="none"/>
                <w:shd w:val="clear" w:color="auto" w:fill="auto"/>
              </w:rPr>
              <w:t>，若总报价有算术错误，取经算术错误改正后的总报价（下同）</w:t>
            </w:r>
            <w:r>
              <w:rPr>
                <w:rFonts w:hint="default" w:ascii="Calibri" w:hAnsi="Calibri" w:eastAsia="宋体" w:cs="宋体"/>
                <w:color w:val="auto"/>
                <w:highlight w:val="none"/>
              </w:rPr>
              <w:t>。</w:t>
            </w:r>
          </w:p>
          <w:p w14:paraId="2E15CF67">
            <w:pPr>
              <w:keepNext w:val="0"/>
              <w:keepLines w:val="0"/>
              <w:suppressLineNumbers w:val="0"/>
              <w:spacing w:before="0" w:beforeAutospacing="0" w:after="0" w:afterAutospacing="0" w:line="360" w:lineRule="auto"/>
              <w:ind w:left="0" w:right="0" w:firstLine="345" w:firstLineChars="0"/>
              <w:rPr>
                <w:rFonts w:hint="eastAsia" w:ascii="Calibri" w:hAnsi="Calibri" w:eastAsia="宋体" w:cs="宋体"/>
                <w:color w:val="auto"/>
                <w:highlight w:val="none"/>
              </w:rPr>
            </w:pPr>
            <w:r>
              <w:rPr>
                <w:rFonts w:hint="default" w:ascii="Calibri" w:hAnsi="Calibri" w:eastAsia="宋体" w:cs="宋体"/>
                <w:color w:val="auto"/>
                <w:highlight w:val="none"/>
              </w:rPr>
              <w:t>（2）</w:t>
            </w:r>
            <w:r>
              <w:rPr>
                <w:rFonts w:hint="eastAsia" w:ascii="Calibri" w:hAnsi="Calibri" w:eastAsia="宋体" w:cs="宋体"/>
                <w:color w:val="auto"/>
                <w:highlight w:val="none"/>
              </w:rPr>
              <w:t>经评审的合理低价</w:t>
            </w:r>
            <w:r>
              <w:rPr>
                <w:rFonts w:hint="default" w:ascii="Calibri" w:hAnsi="Calibri" w:eastAsia="宋体" w:cs="宋体"/>
                <w:color w:val="auto"/>
                <w:highlight w:val="none"/>
              </w:rPr>
              <w:t>=K*（A1+A2+A3…+An）/n，An为在有效报价范围内且与所有有效报价平均值偏差率在±15%（含）以内的报价</w:t>
            </w:r>
            <w:r>
              <w:rPr>
                <w:rFonts w:hint="eastAsia" w:ascii="Calibri" w:hAnsi="Calibri" w:eastAsia="宋体" w:cs="宋体"/>
                <w:color w:val="auto"/>
                <w:highlight w:val="none"/>
              </w:rPr>
              <w:t>，n为参与经评审的合理低价计算的有效投标报价数量</w:t>
            </w:r>
            <w:r>
              <w:rPr>
                <w:rFonts w:hint="default" w:ascii="Calibri" w:hAnsi="Calibri" w:eastAsia="宋体" w:cs="宋体"/>
                <w:color w:val="auto"/>
                <w:highlight w:val="none"/>
              </w:rPr>
              <w:t>。K为开标时由招标人从0.9</w:t>
            </w:r>
            <w:r>
              <w:rPr>
                <w:rFonts w:hint="eastAsia" w:ascii="Calibri" w:hAnsi="Calibri" w:cs="宋体"/>
                <w:color w:val="auto"/>
                <w:highlight w:val="none"/>
                <w:lang w:eastAsia="zh-CN"/>
              </w:rPr>
              <w:t>5.</w:t>
            </w:r>
            <w:r>
              <w:rPr>
                <w:rFonts w:hint="default" w:ascii="Calibri" w:hAnsi="Calibri" w:eastAsia="宋体" w:cs="宋体"/>
                <w:color w:val="auto"/>
                <w:highlight w:val="none"/>
              </w:rPr>
              <w:t>0.9</w:t>
            </w:r>
            <w:r>
              <w:rPr>
                <w:rFonts w:hint="eastAsia" w:ascii="Calibri" w:hAnsi="Calibri" w:cs="宋体"/>
                <w:color w:val="auto"/>
                <w:highlight w:val="none"/>
                <w:lang w:eastAsia="zh-CN"/>
              </w:rPr>
              <w:t>6.</w:t>
            </w:r>
            <w:r>
              <w:rPr>
                <w:rFonts w:hint="default" w:ascii="Calibri" w:hAnsi="Calibri" w:eastAsia="宋体" w:cs="宋体"/>
                <w:color w:val="auto"/>
                <w:highlight w:val="none"/>
              </w:rPr>
              <w:t>0.9</w:t>
            </w:r>
            <w:r>
              <w:rPr>
                <w:rFonts w:hint="eastAsia" w:ascii="Calibri" w:hAnsi="Calibri" w:cs="宋体"/>
                <w:color w:val="auto"/>
                <w:highlight w:val="none"/>
                <w:lang w:eastAsia="zh-CN"/>
              </w:rPr>
              <w:t>7.</w:t>
            </w:r>
            <w:r>
              <w:rPr>
                <w:rFonts w:hint="default" w:ascii="Calibri" w:hAnsi="Calibri" w:eastAsia="宋体" w:cs="宋体"/>
                <w:color w:val="auto"/>
                <w:highlight w:val="none"/>
              </w:rPr>
              <w:t>0.9</w:t>
            </w:r>
            <w:r>
              <w:rPr>
                <w:rFonts w:hint="eastAsia" w:ascii="Calibri" w:hAnsi="Calibri" w:cs="宋体"/>
                <w:color w:val="auto"/>
                <w:highlight w:val="none"/>
                <w:lang w:eastAsia="zh-CN"/>
              </w:rPr>
              <w:t>8.</w:t>
            </w:r>
            <w:r>
              <w:rPr>
                <w:rFonts w:hint="default" w:ascii="Calibri" w:hAnsi="Calibri" w:eastAsia="宋体" w:cs="宋体"/>
                <w:color w:val="auto"/>
                <w:highlight w:val="none"/>
              </w:rPr>
              <w:t>0.99中随机抽取的其中一个系数。</w:t>
            </w:r>
          </w:p>
          <w:p w14:paraId="6E7A0B04">
            <w:pPr>
              <w:keepNext w:val="0"/>
              <w:keepLines w:val="0"/>
              <w:suppressLineNumbers w:val="0"/>
              <w:spacing w:before="0" w:beforeAutospacing="0" w:after="0" w:afterAutospacing="0" w:line="360" w:lineRule="auto"/>
              <w:ind w:left="0" w:right="0" w:firstLine="345"/>
              <w:rPr>
                <w:rFonts w:hint="default" w:ascii="Calibri" w:hAnsi="Calibri" w:eastAsia="楷体_GB2312" w:cs="楷体_GB2312"/>
                <w:color w:val="auto"/>
                <w:highlight w:val="none"/>
              </w:rPr>
            </w:pPr>
            <w:r>
              <w:rPr>
                <w:rFonts w:hint="eastAsia" w:ascii="Calibri" w:hAnsi="Calibri" w:cs="Times New Roman"/>
                <w:b/>
                <w:bCs/>
                <w:color w:val="auto"/>
                <w:highlight w:val="none"/>
                <w:lang w:eastAsia="zh-CN"/>
              </w:rPr>
              <w:t>2.</w:t>
            </w:r>
            <w:r>
              <w:rPr>
                <w:rFonts w:hint="eastAsia" w:ascii="Calibri" w:hAnsi="Calibri" w:eastAsia="宋体" w:cs="宋体"/>
                <w:b/>
                <w:bCs/>
                <w:color w:val="auto"/>
                <w:highlight w:val="none"/>
              </w:rPr>
              <w:t>商务标评分标准</w:t>
            </w:r>
            <w:r>
              <w:rPr>
                <w:rFonts w:hint="eastAsia" w:ascii="Calibri" w:hAnsi="Calibri" w:eastAsia="楷体_GB2312" w:cs="楷体_GB2312"/>
                <w:color w:val="auto"/>
                <w:highlight w:val="none"/>
              </w:rPr>
              <w:t>【备注：选择以下其中一种方法】</w:t>
            </w:r>
          </w:p>
          <w:p w14:paraId="35C215AE">
            <w:pPr>
              <w:keepNext w:val="0"/>
              <w:keepLines w:val="0"/>
              <w:suppressLineNumbers w:val="0"/>
              <w:spacing w:before="0" w:beforeAutospacing="0" w:after="0" w:afterAutospacing="0" w:line="360" w:lineRule="auto"/>
              <w:ind w:left="0" w:right="0" w:firstLine="345"/>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□方法一：</w:t>
            </w:r>
          </w:p>
          <w:p w14:paraId="0749AAD8">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）以</w:t>
            </w:r>
            <w:r>
              <w:rPr>
                <w:rFonts w:hint="eastAsia" w:ascii="Calibri" w:hAnsi="Calibri" w:eastAsia="宋体" w:cs="Times New Roman"/>
                <w:color w:val="auto"/>
                <w:highlight w:val="none"/>
              </w:rPr>
              <w:t>等于经评审的合理低价的投标报价</w:t>
            </w:r>
            <w:r>
              <w:rPr>
                <w:rFonts w:hint="eastAsia" w:ascii="Calibri" w:hAnsi="Calibri" w:eastAsia="宋体" w:cs="宋体"/>
                <w:color w:val="auto"/>
                <w:highlight w:val="none"/>
              </w:rPr>
              <w:t>为最高分</w:t>
            </w:r>
            <w:r>
              <w:rPr>
                <w:rFonts w:hint="eastAsia" w:ascii="Calibri" w:hAnsi="Calibri" w:eastAsia="宋体" w:cs="Times New Roman"/>
                <w:color w:val="auto"/>
                <w:highlight w:val="none"/>
              </w:rPr>
              <w:t>9</w:t>
            </w:r>
            <w:r>
              <w:rPr>
                <w:rFonts w:hint="default" w:ascii="Calibri" w:hAnsi="Calibri" w:eastAsia="宋体" w:cs="Times New Roman"/>
                <w:color w:val="auto"/>
                <w:highlight w:val="none"/>
              </w:rPr>
              <w:t>8</w:t>
            </w:r>
            <w:r>
              <w:rPr>
                <w:rFonts w:hint="eastAsia" w:ascii="Calibri" w:hAnsi="Calibri" w:eastAsia="宋体" w:cs="宋体"/>
                <w:color w:val="auto"/>
                <w:highlight w:val="none"/>
              </w:rPr>
              <w:t>分，采用内插法计算，投标人报价每高于经评审的合理低价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2</w:t>
            </w:r>
            <w:r>
              <w:rPr>
                <w:rFonts w:hint="eastAsia" w:ascii="Calibri" w:hAnsi="Calibri" w:eastAsia="宋体" w:cs="宋体"/>
                <w:color w:val="auto"/>
                <w:highlight w:val="none"/>
              </w:rPr>
              <w:t>分，每低于经评审的合理低价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1</w:t>
            </w:r>
            <w:r>
              <w:rPr>
                <w:rFonts w:hint="eastAsia" w:ascii="Calibri" w:hAnsi="Calibri" w:eastAsia="宋体" w:cs="宋体"/>
                <w:color w:val="auto"/>
                <w:highlight w:val="none"/>
              </w:rPr>
              <w:t>分，计算出投标人的投标报价得分。</w:t>
            </w:r>
          </w:p>
          <w:p w14:paraId="17B60A10">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）投标人的商务标得分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该投标人的投标报价得分。</w:t>
            </w:r>
          </w:p>
          <w:p w14:paraId="4A386CC3">
            <w:pPr>
              <w:keepNext w:val="0"/>
              <w:keepLines w:val="0"/>
              <w:suppressLineNumbers w:val="0"/>
              <w:spacing w:before="0" w:beforeAutospacing="0" w:after="0" w:afterAutospacing="0" w:line="360" w:lineRule="auto"/>
              <w:ind w:left="0" w:right="0" w:firstLine="345"/>
              <w:rPr>
                <w:rFonts w:hint="default" w:ascii="Calibri" w:hAnsi="Calibri" w:eastAsia="宋体" w:cs="Times New Roman"/>
                <w:b/>
                <w:bCs/>
                <w:color w:val="auto"/>
                <w:sz w:val="18"/>
                <w:szCs w:val="18"/>
                <w:highlight w:val="none"/>
              </w:rPr>
            </w:pPr>
            <w:r>
              <w:rPr>
                <w:rFonts w:hint="eastAsia" w:ascii="Calibri" w:hAnsi="Calibri" w:eastAsia="宋体" w:cs="宋体"/>
                <w:b/>
                <w:bCs/>
                <w:color w:val="auto"/>
                <w:highlight w:val="none"/>
              </w:rPr>
              <w:t>□方法二：</w:t>
            </w:r>
          </w:p>
          <w:p w14:paraId="58610AEB">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）以</w:t>
            </w:r>
            <w:r>
              <w:rPr>
                <w:rFonts w:hint="eastAsia" w:ascii="Calibri" w:hAnsi="Calibri" w:eastAsia="宋体" w:cs="Times New Roman"/>
                <w:color w:val="auto"/>
                <w:highlight w:val="none"/>
              </w:rPr>
              <w:t>等于经评审的合理低价的投标报价</w:t>
            </w:r>
            <w:r>
              <w:rPr>
                <w:rFonts w:hint="eastAsia" w:ascii="Calibri" w:hAnsi="Calibri" w:eastAsia="宋体" w:cs="宋体"/>
                <w:color w:val="auto"/>
                <w:highlight w:val="none"/>
              </w:rPr>
              <w:t>为最高分</w:t>
            </w:r>
            <w:r>
              <w:rPr>
                <w:rFonts w:hint="eastAsia" w:ascii="Calibri" w:hAnsi="Calibri" w:eastAsia="宋体" w:cs="Times New Roman"/>
                <w:color w:val="auto"/>
                <w:highlight w:val="none"/>
              </w:rPr>
              <w:t>9</w:t>
            </w:r>
            <w:r>
              <w:rPr>
                <w:rFonts w:hint="default" w:ascii="Calibri" w:hAnsi="Calibri" w:eastAsia="宋体" w:cs="Times New Roman"/>
                <w:color w:val="auto"/>
                <w:highlight w:val="none"/>
              </w:rPr>
              <w:t>8</w:t>
            </w:r>
            <w:r>
              <w:rPr>
                <w:rFonts w:hint="eastAsia" w:ascii="Calibri" w:hAnsi="Calibri" w:eastAsia="宋体" w:cs="宋体"/>
                <w:color w:val="auto"/>
                <w:highlight w:val="none"/>
              </w:rPr>
              <w:t>分，采用内插法计算，投标人报价每高于经评审的合理低价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2</w:t>
            </w:r>
            <w:r>
              <w:rPr>
                <w:rFonts w:hint="eastAsia" w:ascii="Calibri" w:hAnsi="Calibri" w:eastAsia="宋体" w:cs="宋体"/>
                <w:color w:val="auto"/>
                <w:highlight w:val="none"/>
              </w:rPr>
              <w:t>分，每低于经评审的合理低价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1</w:t>
            </w:r>
            <w:r>
              <w:rPr>
                <w:rFonts w:hint="eastAsia" w:ascii="Calibri" w:hAnsi="Calibri" w:eastAsia="宋体" w:cs="宋体"/>
                <w:color w:val="auto"/>
                <w:highlight w:val="none"/>
              </w:rPr>
              <w:t>分，计算出投标人的</w:t>
            </w:r>
            <w:r>
              <w:rPr>
                <w:rFonts w:hint="eastAsia" w:ascii="Calibri" w:hAnsi="Calibri" w:eastAsia="宋体" w:cs="宋体"/>
                <w:color w:val="auto"/>
                <w:highlight w:val="none"/>
                <w:lang w:val="en-US" w:eastAsia="zh-CN"/>
              </w:rPr>
              <w:t>投标</w:t>
            </w:r>
            <w:r>
              <w:rPr>
                <w:rFonts w:hint="eastAsia" w:ascii="Calibri" w:hAnsi="Calibri" w:eastAsia="宋体" w:cs="宋体"/>
                <w:color w:val="auto"/>
                <w:highlight w:val="none"/>
              </w:rPr>
              <w:t>报价得分。</w:t>
            </w:r>
          </w:p>
          <w:p w14:paraId="6AE81874">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）将主要清单项目（带</w:t>
            </w:r>
            <w:r>
              <w:rPr>
                <w:rFonts w:hint="default" w:ascii="Calibri" w:hAnsi="Calibri" w:eastAsia="宋体" w:cs="Times New Roman"/>
                <w:color w:val="auto"/>
                <w:highlight w:val="none"/>
              </w:rPr>
              <w:t>“*”</w:t>
            </w:r>
            <w:r>
              <w:rPr>
                <w:rFonts w:hint="eastAsia" w:ascii="Calibri" w:hAnsi="Calibri" w:eastAsia="宋体" w:cs="宋体"/>
                <w:color w:val="auto"/>
                <w:highlight w:val="none"/>
              </w:rPr>
              <w:t>号）的</w:t>
            </w:r>
            <w:r>
              <w:rPr>
                <w:rFonts w:hint="eastAsia" w:ascii="宋体" w:hAnsi="宋体" w:eastAsia="宋体" w:cs="宋体"/>
                <w:color w:val="auto"/>
                <w:highlight w:val="none"/>
              </w:rPr>
              <w:t>分部分项工程清单</w:t>
            </w:r>
            <w:r>
              <w:rPr>
                <w:rFonts w:hint="eastAsia" w:ascii="Calibri" w:hAnsi="Calibri" w:eastAsia="宋体" w:cs="宋体"/>
                <w:color w:val="auto"/>
                <w:highlight w:val="none"/>
              </w:rPr>
              <w:t>中的各清单项的投标综合单价不合理报价偏差金额与招标人公布的该清单项的</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综合单价相比，每偏差</w:t>
            </w:r>
            <w:r>
              <w:rPr>
                <w:rFonts w:hint="default" w:ascii="Calibri" w:hAnsi="Calibri" w:eastAsia="宋体" w:cs="Times New Roman"/>
                <w:color w:val="auto"/>
                <w:highlight w:val="none"/>
              </w:rPr>
              <w:t>1%</w:t>
            </w:r>
            <w:r>
              <w:rPr>
                <w:rFonts w:hint="eastAsia" w:ascii="Calibri" w:hAnsi="Calibri" w:eastAsia="宋体" w:cs="宋体"/>
                <w:color w:val="auto"/>
                <w:highlight w:val="none"/>
              </w:rPr>
              <w:t>扣</w:t>
            </w:r>
            <w:r>
              <w:rPr>
                <w:rFonts w:hint="default" w:ascii="Calibri" w:hAnsi="Calibri" w:eastAsia="宋体" w:cs="Times New Roman"/>
                <w:color w:val="auto"/>
                <w:highlight w:val="none"/>
              </w:rPr>
              <w:t>0.05</w:t>
            </w:r>
            <w:r>
              <w:rPr>
                <w:rFonts w:hint="eastAsia" w:ascii="Calibri" w:hAnsi="Calibri" w:eastAsia="宋体" w:cs="宋体"/>
                <w:color w:val="auto"/>
                <w:highlight w:val="none"/>
              </w:rPr>
              <w:t>分，最高扣</w:t>
            </w:r>
            <w:r>
              <w:rPr>
                <w:rFonts w:hint="default" w:ascii="Calibri" w:hAnsi="Calibri" w:eastAsia="宋体" w:cs="Times New Roman"/>
                <w:color w:val="auto"/>
                <w:highlight w:val="none"/>
              </w:rPr>
              <w:t>20</w:t>
            </w:r>
            <w:r>
              <w:rPr>
                <w:rFonts w:hint="eastAsia" w:ascii="Calibri" w:hAnsi="Calibri" w:eastAsia="宋体" w:cs="宋体"/>
                <w:color w:val="auto"/>
                <w:highlight w:val="none"/>
              </w:rPr>
              <w:t>分，计算出投标人的不合理报价偏差扣分。</w:t>
            </w:r>
          </w:p>
          <w:p w14:paraId="487A5DED">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主要清单项目（带</w:t>
            </w:r>
            <w:r>
              <w:rPr>
                <w:rFonts w:hint="default" w:ascii="Calibri" w:hAnsi="Calibri" w:eastAsia="宋体" w:cs="Times New Roman"/>
                <w:color w:val="auto"/>
                <w:highlight w:val="none"/>
              </w:rPr>
              <w:t>“*”</w:t>
            </w:r>
            <w:r>
              <w:rPr>
                <w:rFonts w:hint="eastAsia" w:ascii="Calibri" w:hAnsi="Calibri" w:eastAsia="宋体" w:cs="宋体"/>
                <w:color w:val="auto"/>
                <w:highlight w:val="none"/>
              </w:rPr>
              <w:t>号）的</w:t>
            </w:r>
            <w:r>
              <w:rPr>
                <w:rFonts w:hint="eastAsia" w:ascii="宋体" w:hAnsi="宋体" w:eastAsia="宋体" w:cs="宋体"/>
                <w:color w:val="auto"/>
                <w:highlight w:val="none"/>
              </w:rPr>
              <w:t>分部分项工程</w:t>
            </w:r>
            <w:r>
              <w:rPr>
                <w:rFonts w:hint="eastAsia" w:ascii="Calibri" w:hAnsi="Calibri" w:eastAsia="宋体" w:cs="宋体"/>
                <w:color w:val="auto"/>
                <w:highlight w:val="none"/>
              </w:rPr>
              <w:t>清单中的各清单项过高的，不合理报价偏差</w:t>
            </w:r>
            <w:r>
              <w:rPr>
                <w:rFonts w:hint="default" w:ascii="Calibri" w:hAnsi="Calibri" w:eastAsia="宋体" w:cs="Times New Roman"/>
                <w:color w:val="auto"/>
                <w:highlight w:val="none"/>
              </w:rPr>
              <w:t>=</w:t>
            </w:r>
            <w:r>
              <w:rPr>
                <w:rFonts w:hint="eastAsia" w:ascii="Calibri" w:hAnsi="Calibri" w:eastAsia="宋体" w:cs="宋体"/>
                <w:color w:val="auto"/>
                <w:highlight w:val="none"/>
              </w:rPr>
              <w:t>该清单项投标报价综合单价－该清单项</w:t>
            </w:r>
            <w:r>
              <w:rPr>
                <w:rFonts w:hint="eastAsia" w:ascii="Calibri" w:hAnsi="Calibri" w:cs="宋体"/>
                <w:color w:val="auto"/>
                <w:highlight w:val="none"/>
                <w:lang w:val="en-US" w:eastAsia="zh-CN"/>
              </w:rPr>
              <w:t>最高投标限价</w:t>
            </w:r>
            <w:r>
              <w:rPr>
                <w:rFonts w:hint="eastAsia" w:ascii="Calibri" w:hAnsi="Calibri" w:eastAsia="宋体" w:cs="宋体"/>
                <w:color w:val="auto"/>
                <w:highlight w:val="none"/>
              </w:rPr>
              <w:t>的综合单价</w:t>
            </w: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1max</w:t>
            </w:r>
            <w:r>
              <w:rPr>
                <w:rFonts w:hint="eastAsia" w:ascii="Calibri" w:hAnsi="Calibri" w:eastAsia="宋体" w:cs="宋体"/>
                <w:color w:val="auto"/>
                <w:highlight w:val="none"/>
              </w:rPr>
              <w:t>。</w:t>
            </w:r>
          </w:p>
          <w:p w14:paraId="2FE136AE">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主要清单项目（带</w:t>
            </w:r>
            <w:r>
              <w:rPr>
                <w:rFonts w:hint="default" w:ascii="Calibri" w:hAnsi="Calibri" w:eastAsia="宋体" w:cs="Times New Roman"/>
                <w:color w:val="auto"/>
                <w:highlight w:val="none"/>
              </w:rPr>
              <w:t>“*”</w:t>
            </w:r>
            <w:r>
              <w:rPr>
                <w:rFonts w:hint="eastAsia" w:ascii="Calibri" w:hAnsi="Calibri" w:eastAsia="宋体" w:cs="宋体"/>
                <w:color w:val="auto"/>
                <w:highlight w:val="none"/>
              </w:rPr>
              <w:t>号）的</w:t>
            </w:r>
            <w:r>
              <w:rPr>
                <w:rFonts w:hint="eastAsia" w:ascii="宋体" w:hAnsi="宋体" w:eastAsia="宋体" w:cs="宋体"/>
                <w:color w:val="auto"/>
                <w:highlight w:val="none"/>
              </w:rPr>
              <w:t>分部分项工程</w:t>
            </w:r>
            <w:r>
              <w:rPr>
                <w:rFonts w:hint="eastAsia" w:ascii="Calibri" w:hAnsi="Calibri" w:eastAsia="宋体" w:cs="宋体"/>
                <w:color w:val="auto"/>
                <w:highlight w:val="none"/>
              </w:rPr>
              <w:t>清单的各清单项过低的，不合理报价偏差</w:t>
            </w:r>
            <w:r>
              <w:rPr>
                <w:rFonts w:hint="default" w:ascii="Calibri" w:hAnsi="Calibri" w:eastAsia="宋体" w:cs="Times New Roman"/>
                <w:color w:val="auto"/>
                <w:highlight w:val="none"/>
              </w:rPr>
              <w:t>=</w:t>
            </w:r>
            <w:r>
              <w:rPr>
                <w:rFonts w:hint="eastAsia" w:ascii="Calibri" w:hAnsi="Calibri" w:eastAsia="宋体" w:cs="宋体"/>
                <w:color w:val="auto"/>
                <w:highlight w:val="none"/>
              </w:rPr>
              <w:t>该清单项</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的综合单价</w:t>
            </w: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1min</w:t>
            </w:r>
            <w:r>
              <w:rPr>
                <w:rFonts w:hint="eastAsia" w:ascii="Calibri" w:hAnsi="Calibri" w:eastAsia="宋体" w:cs="宋体"/>
                <w:color w:val="auto"/>
                <w:highlight w:val="none"/>
              </w:rPr>
              <w:t>－该清单项投标报价综合单价。</w:t>
            </w:r>
          </w:p>
          <w:p w14:paraId="4184D5C8">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主要清单项目（带</w:t>
            </w:r>
            <w:r>
              <w:rPr>
                <w:rFonts w:hint="default" w:ascii="Calibri" w:hAnsi="Calibri" w:eastAsia="宋体" w:cs="Times New Roman"/>
                <w:color w:val="auto"/>
                <w:highlight w:val="none"/>
              </w:rPr>
              <w:t>“*”</w:t>
            </w:r>
            <w:r>
              <w:rPr>
                <w:rFonts w:hint="eastAsia" w:ascii="Calibri" w:hAnsi="Calibri" w:eastAsia="宋体" w:cs="宋体"/>
                <w:color w:val="auto"/>
                <w:highlight w:val="none"/>
              </w:rPr>
              <w:t>号）的</w:t>
            </w:r>
            <w:r>
              <w:rPr>
                <w:rFonts w:hint="eastAsia" w:ascii="宋体" w:hAnsi="宋体" w:eastAsia="宋体" w:cs="宋体"/>
                <w:color w:val="auto"/>
                <w:highlight w:val="none"/>
              </w:rPr>
              <w:t>分部分项工程</w:t>
            </w:r>
            <w:r>
              <w:rPr>
                <w:rFonts w:hint="eastAsia" w:ascii="Calibri" w:hAnsi="Calibri" w:eastAsia="宋体" w:cs="宋体"/>
                <w:color w:val="auto"/>
                <w:highlight w:val="none"/>
              </w:rPr>
              <w:t>清单中各清单项过高不合理指：高于</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综合单价</w:t>
            </w: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1max</w:t>
            </w:r>
            <w:r>
              <w:rPr>
                <w:rFonts w:hint="eastAsia" w:ascii="Calibri" w:hAnsi="Calibri" w:eastAsia="宋体" w:cs="宋体"/>
                <w:color w:val="auto"/>
                <w:highlight w:val="none"/>
              </w:rPr>
              <w:t>，并被评委判定为不合理；</w:t>
            </w:r>
          </w:p>
          <w:p w14:paraId="03F88E46">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主要清单项目（带</w:t>
            </w:r>
            <w:r>
              <w:rPr>
                <w:rFonts w:hint="default" w:ascii="Calibri" w:hAnsi="Calibri" w:eastAsia="宋体" w:cs="Times New Roman"/>
                <w:color w:val="auto"/>
                <w:highlight w:val="none"/>
              </w:rPr>
              <w:t>“*”</w:t>
            </w:r>
            <w:r>
              <w:rPr>
                <w:rFonts w:hint="eastAsia" w:ascii="Calibri" w:hAnsi="Calibri" w:eastAsia="宋体" w:cs="宋体"/>
                <w:color w:val="auto"/>
                <w:highlight w:val="none"/>
              </w:rPr>
              <w:t>号）的</w:t>
            </w:r>
            <w:r>
              <w:rPr>
                <w:rFonts w:hint="eastAsia" w:ascii="宋体" w:hAnsi="宋体" w:eastAsia="宋体" w:cs="宋体"/>
                <w:color w:val="auto"/>
                <w:highlight w:val="none"/>
              </w:rPr>
              <w:t>分部分项工程</w:t>
            </w:r>
            <w:r>
              <w:rPr>
                <w:rFonts w:hint="eastAsia" w:ascii="Calibri" w:hAnsi="Calibri" w:eastAsia="宋体" w:cs="宋体"/>
                <w:color w:val="auto"/>
                <w:highlight w:val="none"/>
              </w:rPr>
              <w:t>清单中各清单项过低不合理指：低于</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综合单价</w:t>
            </w: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1min</w:t>
            </w:r>
            <w:r>
              <w:rPr>
                <w:rFonts w:hint="eastAsia" w:ascii="Calibri" w:hAnsi="Calibri" w:eastAsia="宋体" w:cs="宋体"/>
                <w:color w:val="auto"/>
                <w:highlight w:val="none"/>
              </w:rPr>
              <w:t>，被评委判定为不合理。</w:t>
            </w:r>
          </w:p>
          <w:p w14:paraId="4FB31191">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1max</w:t>
            </w:r>
            <w:r>
              <w:rPr>
                <w:rFonts w:hint="eastAsia" w:ascii="Calibri" w:hAnsi="Calibri" w:eastAsia="宋体" w:cs="宋体"/>
                <w:color w:val="auto"/>
                <w:highlight w:val="none"/>
              </w:rPr>
              <w:t>取</w:t>
            </w:r>
            <w:r>
              <w:rPr>
                <w:rFonts w:hint="default" w:ascii="Calibri" w:hAnsi="Calibri" w:eastAsia="宋体" w:cs="Times New Roman"/>
                <w:color w:val="auto"/>
                <w:highlight w:val="none"/>
              </w:rPr>
              <w:t>1.</w:t>
            </w:r>
            <w:r>
              <w:rPr>
                <w:rFonts w:hint="eastAsia" w:ascii="Calibri" w:hAnsi="Calibri" w:eastAsia="宋体" w:cs="Times New Roman"/>
                <w:color w:val="auto"/>
                <w:highlight w:val="none"/>
              </w:rPr>
              <w:t>15</w:t>
            </w:r>
            <w:r>
              <w:rPr>
                <w:rFonts w:hint="eastAsia" w:ascii="Calibri" w:hAnsi="Calibri" w:eastAsia="宋体" w:cs="宋体"/>
                <w:color w:val="auto"/>
                <w:highlight w:val="none"/>
              </w:rPr>
              <w:t>，</w:t>
            </w:r>
            <w:r>
              <w:rPr>
                <w:rFonts w:hint="default" w:ascii="Calibri" w:hAnsi="Calibri" w:eastAsia="宋体" w:cs="Times New Roman"/>
                <w:color w:val="auto"/>
                <w:highlight w:val="none"/>
              </w:rPr>
              <w:t>K</w:t>
            </w:r>
            <w:r>
              <w:rPr>
                <w:rFonts w:hint="default" w:ascii="Calibri" w:hAnsi="Calibri" w:eastAsia="宋体" w:cs="Times New Roman"/>
                <w:color w:val="auto"/>
                <w:highlight w:val="none"/>
                <w:vertAlign w:val="subscript"/>
              </w:rPr>
              <w:t>1min</w:t>
            </w:r>
            <w:r>
              <w:rPr>
                <w:rFonts w:hint="eastAsia" w:ascii="Calibri" w:hAnsi="Calibri" w:eastAsia="宋体" w:cs="宋体"/>
                <w:color w:val="auto"/>
                <w:highlight w:val="none"/>
              </w:rPr>
              <w:t>取</w:t>
            </w:r>
            <w:r>
              <w:rPr>
                <w:rFonts w:hint="default" w:ascii="Calibri" w:hAnsi="Calibri" w:eastAsia="宋体" w:cs="Times New Roman"/>
                <w:color w:val="auto"/>
                <w:highlight w:val="none"/>
              </w:rPr>
              <w:t>0.85</w:t>
            </w:r>
            <w:r>
              <w:rPr>
                <w:rFonts w:hint="eastAsia" w:ascii="Calibri" w:hAnsi="Calibri" w:eastAsia="宋体" w:cs="宋体"/>
                <w:color w:val="auto"/>
                <w:highlight w:val="none"/>
              </w:rPr>
              <w:t>。</w:t>
            </w:r>
          </w:p>
          <w:p w14:paraId="5FEB1823">
            <w:pPr>
              <w:keepNext w:val="0"/>
              <w:keepLines w:val="0"/>
              <w:suppressLineNumbers w:val="0"/>
              <w:spacing w:before="0" w:beforeAutospacing="0" w:after="0" w:afterAutospacing="0" w:line="360" w:lineRule="auto"/>
              <w:ind w:left="0" w:right="0" w:firstLine="345"/>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）投标人的商务标得分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该投标人的</w:t>
            </w:r>
            <w:r>
              <w:rPr>
                <w:rFonts w:hint="eastAsia" w:ascii="Calibri" w:hAnsi="Calibri" w:eastAsia="宋体" w:cs="宋体"/>
                <w:color w:val="auto"/>
                <w:highlight w:val="none"/>
                <w:lang w:val="en-US" w:eastAsia="zh-CN"/>
              </w:rPr>
              <w:t>投</w:t>
            </w:r>
            <w:r>
              <w:rPr>
                <w:rFonts w:hint="eastAsia" w:ascii="Calibri" w:hAnsi="Calibri" w:eastAsia="宋体" w:cs="宋体"/>
                <w:color w:val="auto"/>
                <w:highlight w:val="none"/>
              </w:rPr>
              <w:t>标报价得分－不合理报价偏差扣分。</w:t>
            </w:r>
          </w:p>
          <w:p w14:paraId="2A6F4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46"/>
              <w:textAlignment w:val="auto"/>
              <w:rPr>
                <w:rFonts w:hint="default" w:ascii="Calibri" w:hAnsi="Calibri" w:eastAsia="楷体_GB2312" w:cs="楷体_GB2312"/>
                <w:color w:val="auto"/>
                <w:highlight w:val="none"/>
              </w:rPr>
            </w:pPr>
            <w:r>
              <w:rPr>
                <w:rFonts w:hint="eastAsia" w:ascii="Calibri" w:hAnsi="Calibri" w:eastAsia="楷体_GB2312" w:cs="楷体_GB2312"/>
                <w:color w:val="auto"/>
                <w:highlight w:val="none"/>
              </w:rPr>
              <w:t>【备注：采用此方法的，招标人必须向所有投标人公布主要清单项目（带</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号）的</w:t>
            </w:r>
            <w:r>
              <w:rPr>
                <w:rFonts w:hint="eastAsia" w:ascii="Calibri" w:hAnsi="Calibri" w:eastAsia="楷体_GB2312" w:cs="楷体_GB2312"/>
                <w:color w:val="auto"/>
                <w:highlight w:val="none"/>
                <w:lang w:eastAsia="zh-CN"/>
              </w:rPr>
              <w:t>最高投标限价</w:t>
            </w:r>
            <w:r>
              <w:rPr>
                <w:rFonts w:hint="eastAsia" w:ascii="Calibri" w:hAnsi="Calibri" w:eastAsia="楷体_GB2312" w:cs="楷体_GB2312"/>
                <w:color w:val="auto"/>
                <w:highlight w:val="none"/>
              </w:rPr>
              <w:t>的综合单价。带</w:t>
            </w:r>
            <w:r>
              <w:rPr>
                <w:rFonts w:hint="default" w:ascii="Calibri" w:hAnsi="Calibri" w:eastAsia="楷体_GB2312" w:cs="Times New Roman"/>
                <w:color w:val="auto"/>
                <w:highlight w:val="none"/>
              </w:rPr>
              <w:t>“*”</w:t>
            </w:r>
            <w:r>
              <w:rPr>
                <w:rFonts w:hint="eastAsia" w:ascii="Calibri" w:hAnsi="Calibri" w:eastAsia="楷体_GB2312" w:cs="楷体_GB2312"/>
                <w:color w:val="auto"/>
                <w:highlight w:val="none"/>
              </w:rPr>
              <w:t>号的主要清单项目以</w:t>
            </w:r>
            <w:r>
              <w:rPr>
                <w:rFonts w:hint="default" w:ascii="Calibri" w:hAnsi="Calibri" w:eastAsia="楷体_GB2312" w:cs="Times New Roman"/>
                <w:color w:val="auto"/>
                <w:highlight w:val="none"/>
              </w:rPr>
              <w:t>30</w:t>
            </w:r>
            <w:r>
              <w:rPr>
                <w:rFonts w:hint="eastAsia" w:ascii="Calibri" w:hAnsi="Calibri" w:eastAsia="楷体_GB2312" w:cs="楷体_GB2312"/>
                <w:color w:val="auto"/>
                <w:highlight w:val="none"/>
              </w:rPr>
              <w:t>项以内为宜】</w:t>
            </w:r>
          </w:p>
          <w:p w14:paraId="1B118ECB">
            <w:pPr>
              <w:keepNext w:val="0"/>
              <w:keepLines w:val="0"/>
              <w:suppressLineNumbers w:val="0"/>
              <w:spacing w:before="0" w:beforeAutospacing="0" w:after="0" w:afterAutospacing="0" w:line="360" w:lineRule="auto"/>
              <w:ind w:left="0" w:right="0" w:firstLine="345"/>
              <w:rPr>
                <w:rFonts w:hint="default" w:ascii="Calibri" w:hAnsi="Calibri" w:eastAsia="宋体" w:cs="宋体"/>
                <w:b/>
                <w:bCs/>
                <w:color w:val="auto"/>
                <w:highlight w:val="none"/>
              </w:rPr>
            </w:pPr>
            <w:r>
              <w:rPr>
                <w:rFonts w:hint="eastAsia" w:ascii="Calibri" w:hAnsi="Calibri" w:cs="宋体"/>
                <w:b/>
                <w:bCs w:val="0"/>
                <w:color w:val="auto"/>
                <w:highlight w:val="none"/>
                <w:lang w:eastAsia="zh-CN"/>
              </w:rPr>
              <w:t>3.</w:t>
            </w:r>
            <w:r>
              <w:rPr>
                <w:rFonts w:hint="eastAsia" w:ascii="Calibri" w:hAnsi="Calibri" w:cs="宋体"/>
                <w:b/>
                <w:bCs w:val="0"/>
                <w:color w:val="auto"/>
                <w:highlight w:val="none"/>
                <w:lang w:val="en-US" w:eastAsia="zh-CN"/>
              </w:rPr>
              <w:t>未预留份额</w:t>
            </w:r>
            <w:r>
              <w:rPr>
                <w:rFonts w:hint="eastAsia" w:ascii="Calibri" w:hAnsi="Calibri" w:cs="宋体"/>
                <w:b/>
                <w:bCs w:val="0"/>
                <w:color w:val="auto"/>
                <w:highlight w:val="none"/>
              </w:rPr>
              <w:t>专门面向中小企业采购、接受联合体或允许分包的政府采购工程项目报价分加分方法</w:t>
            </w:r>
          </w:p>
          <w:p w14:paraId="177D081D">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rPr>
            </w:pPr>
            <w:r>
              <w:rPr>
                <w:rFonts w:hint="eastAsia" w:ascii="Calibri" w:hAnsi="Calibri" w:eastAsia="宋体" w:cs="宋体"/>
                <w:color w:val="auto"/>
                <w:highlight w:val="none"/>
              </w:rPr>
              <w:t>按上述两种方法之一计算出报价分后，</w:t>
            </w:r>
          </w:p>
          <w:p w14:paraId="17EB6A49">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rPr>
            </w:pPr>
            <w:r>
              <w:rPr>
                <w:rFonts w:hint="eastAsia" w:ascii="Calibri" w:hAnsi="Calibri" w:eastAsia="宋体" w:cs="宋体"/>
                <w:color w:val="auto"/>
                <w:highlight w:val="none"/>
              </w:rPr>
              <w:t>如本项目为招标公告中第二章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w:t>
            </w:r>
            <w:r>
              <w:rPr>
                <w:rFonts w:hint="default" w:ascii="Calibri" w:hAnsi="Calibri" w:eastAsia="宋体" w:cs="Times New Roman"/>
                <w:color w:val="auto"/>
                <w:highlight w:val="none"/>
              </w:rPr>
              <w:t>”</w:t>
            </w:r>
            <w:r>
              <w:rPr>
                <w:rFonts w:hint="eastAsia" w:ascii="Calibri" w:hAnsi="Calibri" w:eastAsia="宋体" w:cs="宋体"/>
                <w:color w:val="auto"/>
                <w:highlight w:val="none"/>
              </w:rPr>
              <w:t>第</w:t>
            </w:r>
            <w:r>
              <w:rPr>
                <w:rFonts w:hint="default" w:ascii="Calibri" w:hAnsi="Calibri" w:eastAsia="宋体" w:cs="Times New Roman"/>
                <w:color w:val="auto"/>
                <w:highlight w:val="none"/>
              </w:rPr>
              <w:t>1.4.1</w:t>
            </w:r>
            <w:r>
              <w:rPr>
                <w:rFonts w:hint="eastAsia" w:ascii="Calibri" w:hAnsi="Calibri" w:eastAsia="宋体" w:cs="宋体"/>
                <w:color w:val="auto"/>
                <w:highlight w:val="none"/>
              </w:rPr>
              <w:t>项规定的未预留份额专门面向中小企业采购的采购项目，评标委员会应当对满足第二章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”10.11</w:t>
            </w:r>
            <w:r>
              <w:rPr>
                <w:rFonts w:hint="eastAsia" w:ascii="Calibri" w:hAnsi="Calibri" w:eastAsia="宋体" w:cs="Times New Roman"/>
                <w:color w:val="auto"/>
                <w:highlight w:val="none"/>
              </w:rPr>
              <w:t>项规定的</w:t>
            </w:r>
            <w:r>
              <w:rPr>
                <w:rFonts w:hint="eastAsia" w:ascii="Calibri" w:hAnsi="Calibri" w:eastAsia="宋体" w:cs="宋体"/>
                <w:color w:val="auto"/>
                <w:highlight w:val="none"/>
              </w:rPr>
              <w:t>小微企业报价分给予3%的加分，用加分后的报价分计算汇总得分。</w:t>
            </w:r>
          </w:p>
          <w:p w14:paraId="6BC89EB5">
            <w:pPr>
              <w:keepNext w:val="0"/>
              <w:keepLines w:val="0"/>
              <w:suppressLineNumbers w:val="0"/>
              <w:spacing w:before="0" w:beforeAutospacing="0" w:after="0" w:afterAutospacing="0" w:line="360" w:lineRule="auto"/>
              <w:ind w:left="0" w:right="0" w:firstLine="345"/>
              <w:rPr>
                <w:rFonts w:hint="default" w:ascii="Calibri" w:hAnsi="Calibri" w:eastAsia="宋体" w:cs="宋体"/>
                <w:color w:val="auto"/>
                <w:highlight w:val="none"/>
              </w:rPr>
            </w:pPr>
            <w:r>
              <w:rPr>
                <w:rFonts w:hint="eastAsia" w:ascii="Calibri" w:hAnsi="Calibri" w:eastAsia="宋体" w:cs="宋体"/>
                <w:color w:val="auto"/>
                <w:highlight w:val="none"/>
              </w:rPr>
              <w:t>如第二章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”1.4.2</w:t>
            </w:r>
            <w:r>
              <w:rPr>
                <w:rFonts w:hint="eastAsia" w:ascii="Calibri" w:hAnsi="Calibri" w:eastAsia="宋体" w:cs="Times New Roman"/>
                <w:color w:val="auto"/>
                <w:highlight w:val="none"/>
              </w:rPr>
              <w:t>项</w:t>
            </w:r>
            <w:r>
              <w:rPr>
                <w:rFonts w:hint="eastAsia" w:ascii="Calibri" w:hAnsi="Calibri" w:eastAsia="宋体" w:cs="宋体"/>
                <w:color w:val="auto"/>
                <w:highlight w:val="none"/>
              </w:rPr>
              <w:t xml:space="preserve">接受联合体投标时投标人为大中型企业与小微企业组成联合体，且投标文件所附联合协议约定小微企业的合同份额占到合同总金额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0%以上的；或者第二章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”1.11</w:t>
            </w:r>
            <w:r>
              <w:rPr>
                <w:rFonts w:hint="eastAsia" w:ascii="Calibri" w:hAnsi="Calibri" w:eastAsia="宋体" w:cs="Times New Roman"/>
                <w:color w:val="auto"/>
                <w:highlight w:val="none"/>
              </w:rPr>
              <w:t>项</w:t>
            </w:r>
            <w:r>
              <w:rPr>
                <w:rFonts w:hint="eastAsia" w:ascii="Calibri" w:hAnsi="Calibri" w:eastAsia="宋体" w:cs="宋体"/>
                <w:color w:val="auto"/>
                <w:highlight w:val="none"/>
              </w:rPr>
              <w:t xml:space="preserve">允许分包时投标人为大中型企业并在投标文件中明确向一家或者多家小微企业分包，且投标文件所附分包意向协议约定小微企业的合同份额占到合同总金额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 xml:space="preserve">0%以上的；评标委员会应当对联合体或者大中型企业的价格分加权分给予 </w:t>
            </w:r>
            <w:r>
              <w:rPr>
                <w:rFonts w:hint="default" w:ascii="Calibri" w:hAnsi="Calibri" w:eastAsia="宋体" w:cs="宋体"/>
                <w:color w:val="auto"/>
                <w:highlight w:val="none"/>
              </w:rPr>
              <w:t>1</w:t>
            </w:r>
            <w:r>
              <w:rPr>
                <w:rFonts w:hint="eastAsia" w:ascii="Calibri" w:hAnsi="Calibri" w:eastAsia="宋体" w:cs="宋体"/>
                <w:color w:val="auto"/>
                <w:highlight w:val="none"/>
              </w:rPr>
              <w:t>%的加分，用加分后的报价分计算汇总得分。</w:t>
            </w:r>
            <w:r>
              <w:rPr>
                <w:rFonts w:hint="eastAsia" w:ascii="宋体" w:hAnsi="宋体" w:eastAsia="宋体" w:cs="宋体"/>
                <w:color w:val="auto"/>
                <w:highlight w:val="none"/>
              </w:rPr>
              <w:t>组成联合体或者接受分包的小微企业与联合体内其他企业、分包企业之间存在直接控股、管理关系的，不享受以上价格优惠政策。</w:t>
            </w:r>
          </w:p>
          <w:p w14:paraId="684D8FB7">
            <w:pPr>
              <w:keepNext w:val="0"/>
              <w:keepLines w:val="0"/>
              <w:widowControl/>
              <w:suppressLineNumbers w:val="0"/>
              <w:spacing w:before="0" w:beforeAutospacing="0" w:after="0" w:afterAutospacing="0" w:line="360" w:lineRule="auto"/>
              <w:ind w:left="0" w:right="0"/>
              <w:rPr>
                <w:rFonts w:hint="default" w:ascii="方正楷体_GB2312" w:hAnsi="方正楷体_GB2312" w:eastAsia="方正楷体_GB2312" w:cs="方正楷体_GB2312"/>
                <w:color w:val="auto"/>
                <w:kern w:val="0"/>
                <w:highlight w:val="none"/>
              </w:rPr>
            </w:pPr>
            <w:r>
              <w:rPr>
                <w:rFonts w:hint="eastAsia" w:ascii="方正楷体_GB2312" w:hAnsi="方正楷体_GB2312" w:eastAsia="方正楷体_GB2312" w:cs="方正楷体_GB2312"/>
                <w:color w:val="auto"/>
                <w:kern w:val="0"/>
                <w:highlight w:val="none"/>
              </w:rPr>
              <w:t>注：如某投标人报价分已是满分，符合上述规定时仍给予加分。</w:t>
            </w:r>
          </w:p>
          <w:p w14:paraId="2CED5D5D">
            <w:pPr>
              <w:keepNext w:val="0"/>
              <w:keepLines w:val="0"/>
              <w:suppressLineNumbers w:val="0"/>
              <w:spacing w:before="0" w:beforeAutospacing="0" w:after="0" w:afterAutospacing="0" w:line="360" w:lineRule="auto"/>
              <w:ind w:left="0" w:right="0" w:firstLine="345"/>
              <w:rPr>
                <w:rFonts w:hint="eastAsia" w:ascii="宋体" w:hAnsi="宋体" w:eastAsia="宋体" w:cs="宋体"/>
                <w:color w:val="auto"/>
                <w:highlight w:val="none"/>
              </w:rPr>
            </w:pPr>
            <w:r>
              <w:rPr>
                <w:rFonts w:hint="eastAsia" w:ascii="宋体" w:hAnsi="宋体" w:eastAsia="宋体" w:cs="宋体"/>
                <w:color w:val="auto"/>
                <w:highlight w:val="none"/>
              </w:rPr>
              <w:t>例：某项目采用方法一计算某小微企业投标人报价分为</w:t>
            </w:r>
            <w:r>
              <w:rPr>
                <w:rFonts w:hint="default" w:ascii="宋体" w:hAnsi="宋体" w:eastAsia="宋体" w:cs="宋体"/>
                <w:color w:val="auto"/>
                <w:highlight w:val="none"/>
              </w:rPr>
              <w:t>98</w:t>
            </w:r>
            <w:r>
              <w:rPr>
                <w:rFonts w:hint="eastAsia" w:ascii="宋体" w:hAnsi="宋体" w:eastAsia="宋体" w:cs="宋体"/>
                <w:color w:val="auto"/>
                <w:highlight w:val="none"/>
              </w:rPr>
              <w:t>分，则其计入商务</w:t>
            </w:r>
            <w:r>
              <w:rPr>
                <w:rFonts w:hint="default" w:ascii="宋体" w:hAnsi="宋体" w:eastAsia="宋体" w:cs="宋体"/>
                <w:color w:val="auto"/>
                <w:highlight w:val="none"/>
              </w:rPr>
              <w:t>标</w:t>
            </w:r>
            <w:r>
              <w:rPr>
                <w:rFonts w:hint="eastAsia" w:ascii="宋体" w:hAnsi="宋体" w:eastAsia="宋体" w:cs="宋体"/>
                <w:color w:val="auto"/>
                <w:highlight w:val="none"/>
                <w:lang w:eastAsia="zh-CN"/>
              </w:rPr>
              <w:t>最后</w:t>
            </w:r>
            <w:r>
              <w:rPr>
                <w:rFonts w:hint="eastAsia" w:ascii="宋体" w:hAnsi="宋体" w:eastAsia="宋体" w:cs="宋体"/>
                <w:color w:val="auto"/>
                <w:highlight w:val="none"/>
              </w:rPr>
              <w:t>得分应为</w:t>
            </w:r>
            <w:r>
              <w:rPr>
                <w:rFonts w:hint="default" w:ascii="宋体" w:hAnsi="宋体" w:eastAsia="宋体" w:cs="宋体"/>
                <w:color w:val="auto"/>
                <w:highlight w:val="none"/>
              </w:rPr>
              <w:t>98*</w:t>
            </w:r>
            <w:r>
              <w:rPr>
                <w:rFonts w:hint="eastAsia" w:ascii="宋体" w:hAnsi="宋体" w:eastAsia="宋体" w:cs="宋体"/>
                <w:color w:val="auto"/>
                <w:highlight w:val="none"/>
              </w:rPr>
              <w:t>（1</w:t>
            </w:r>
            <w:r>
              <w:rPr>
                <w:rFonts w:hint="default" w:ascii="宋体" w:hAnsi="宋体" w:eastAsia="宋体" w:cs="宋体"/>
                <w:color w:val="auto"/>
                <w:highlight w:val="none"/>
              </w:rPr>
              <w:t>+3</w:t>
            </w:r>
            <w:r>
              <w:rPr>
                <w:rFonts w:hint="eastAsia" w:ascii="宋体" w:hAnsi="宋体" w:eastAsia="宋体" w:cs="宋体"/>
                <w:color w:val="auto"/>
                <w:highlight w:val="none"/>
              </w:rPr>
              <w:t>%）=</w:t>
            </w:r>
            <w:r>
              <w:rPr>
                <w:rFonts w:hint="default" w:ascii="宋体" w:hAnsi="宋体" w:eastAsia="宋体" w:cs="宋体"/>
                <w:color w:val="auto"/>
                <w:highlight w:val="none"/>
              </w:rPr>
              <w:t>100.94</w:t>
            </w:r>
            <w:r>
              <w:rPr>
                <w:rFonts w:hint="eastAsia" w:ascii="宋体" w:hAnsi="宋体" w:eastAsia="宋体" w:cs="宋体"/>
                <w:color w:val="auto"/>
                <w:highlight w:val="none"/>
              </w:rPr>
              <w:t>分。</w:t>
            </w:r>
          </w:p>
          <w:p w14:paraId="7815092B">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4.</w:t>
            </w:r>
            <w:r>
              <w:rPr>
                <w:rFonts w:hint="eastAsia" w:ascii="Times New Roman" w:hAnsi="Times New Roman" w:eastAsia="宋体" w:cs="宋体"/>
                <w:b/>
                <w:bCs/>
                <w:color w:val="auto"/>
                <w:highlight w:val="none"/>
              </w:rPr>
              <w:t>异常低价的甄别处置</w:t>
            </w:r>
          </w:p>
          <w:p w14:paraId="62C3C819">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85%</w:t>
            </w:r>
            <w:r>
              <w:rPr>
                <w:rFonts w:hint="eastAsia" w:ascii="Times New Roman" w:hAnsi="Times New Roman" w:eastAsia="宋体" w:cs="宋体"/>
                <w:color w:val="auto"/>
                <w:highlight w:val="none"/>
              </w:rPr>
              <w:t>且低于所有投标人（指投标文件全部内容经过评审未被否决的投标人）投标报价算术平均值的95%时，评标委员会应当启动成本分析。</w:t>
            </w:r>
          </w:p>
          <w:p w14:paraId="0B4536C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85%</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26A9D58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lang w:val="en-US" w:eastAsia="zh-CN"/>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1706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63" w:type="dxa"/>
            <w:noWrap w:val="0"/>
            <w:vAlign w:val="center"/>
          </w:tcPr>
          <w:p w14:paraId="665B25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r>
              <w:rPr>
                <w:rFonts w:hint="default" w:ascii="Calibri" w:hAnsi="Calibri" w:eastAsia="宋体" w:cs="Times New Roman"/>
                <w:color w:val="auto"/>
                <w:highlight w:val="none"/>
              </w:rPr>
              <w:t>.2.3</w:t>
            </w:r>
          </w:p>
        </w:tc>
        <w:tc>
          <w:tcPr>
            <w:tcW w:w="1469" w:type="dxa"/>
            <w:gridSpan w:val="3"/>
            <w:noWrap w:val="0"/>
            <w:vAlign w:val="center"/>
          </w:tcPr>
          <w:p w14:paraId="470F17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企业信誉实力分评分标准【满分分值</w:t>
            </w:r>
            <w:r>
              <w:rPr>
                <w:rFonts w:hint="default" w:ascii="Calibri" w:hAnsi="Calibri" w:eastAsia="宋体" w:cs="宋体"/>
                <w:color w:val="auto"/>
                <w:highlight w:val="none"/>
              </w:rPr>
              <w:t>2</w:t>
            </w:r>
            <w:r>
              <w:rPr>
                <w:rFonts w:hint="eastAsia" w:ascii="Calibri" w:hAnsi="Calibri" w:eastAsia="宋体" w:cs="宋体"/>
                <w:color w:val="auto"/>
                <w:highlight w:val="none"/>
              </w:rPr>
              <w:t>分</w:t>
            </w:r>
            <w:r>
              <w:rPr>
                <w:rFonts w:hint="eastAsia" w:ascii="Calibri" w:hAnsi="Calibri" w:eastAsia="楷体_GB2312" w:cs="楷体_GB2312"/>
                <w:color w:val="auto"/>
                <w:highlight w:val="none"/>
              </w:rPr>
              <w:t>】</w:t>
            </w:r>
          </w:p>
        </w:tc>
        <w:tc>
          <w:tcPr>
            <w:tcW w:w="7202" w:type="dxa"/>
            <w:gridSpan w:val="3"/>
            <w:noWrap w:val="0"/>
            <w:vAlign w:val="center"/>
          </w:tcPr>
          <w:p w14:paraId="41DE66AA">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w:t>
            </w:r>
            <w:r>
              <w:rPr>
                <w:rFonts w:hint="eastAsia" w:ascii="宋体" w:hAnsi="宋体" w:cs="宋体"/>
                <w:b/>
                <w:color w:val="auto"/>
                <w:highlight w:val="none"/>
                <w:shd w:val="clear" w:color="auto" w:fill="auto"/>
                <w:lang w:val="en-US" w:eastAsia="zh-CN"/>
              </w:rPr>
              <w:t>满分（100分）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w:t>
            </w:r>
            <w:r>
              <w:rPr>
                <w:rFonts w:hint="eastAsia" w:ascii="宋体" w:hAnsi="宋体" w:cs="宋体"/>
                <w:b/>
                <w:color w:val="auto"/>
                <w:highlight w:val="none"/>
                <w:shd w:val="clear" w:color="auto" w:fill="auto"/>
                <w:lang w:val="en-US" w:eastAsia="zh-CN"/>
              </w:rPr>
              <w:t>按2%权重计入</w:t>
            </w:r>
            <w:r>
              <w:rPr>
                <w:rFonts w:hint="eastAsia" w:ascii="Calibri" w:hAnsi="Calibri" w:eastAsia="宋体" w:cs="宋体"/>
                <w:color w:val="auto"/>
                <w:highlight w:val="none"/>
              </w:rPr>
              <w:t>投标人最终得分</w:t>
            </w:r>
            <w:r>
              <w:rPr>
                <w:rFonts w:hint="eastAsia" w:ascii="宋体" w:hAnsi="宋体" w:eastAsia="宋体" w:cs="宋体"/>
                <w:b/>
                <w:color w:val="auto"/>
                <w:highlight w:val="none"/>
                <w:shd w:val="clear" w:color="auto" w:fill="auto"/>
                <w:lang w:val="en-US" w:eastAsia="zh-CN"/>
              </w:rPr>
              <w:t>。</w:t>
            </w:r>
          </w:p>
          <w:p w14:paraId="3E073189">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42795F3F">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shd w:val="clear" w:color="auto" w:fill="auto"/>
              </w:rPr>
              <w:t>企业信誉实力得分的确定</w:t>
            </w:r>
            <w:r>
              <w:rPr>
                <w:rFonts w:hint="eastAsia" w:ascii="方正楷体_GB2312" w:hAnsi="方正楷体_GB2312" w:eastAsia="方正楷体_GB2312" w:cs="方正楷体_GB2312"/>
                <w:b w:val="0"/>
                <w:bCs/>
                <w:color w:val="auto"/>
                <w:highlight w:val="none"/>
                <w:shd w:val="clear" w:color="auto" w:fill="auto"/>
              </w:rPr>
              <w:t>（</w:t>
            </w:r>
            <w:r>
              <w:rPr>
                <w:rFonts w:hint="eastAsia" w:ascii="方正楷体_GB2312" w:hAnsi="方正楷体_GB2312" w:eastAsia="方正楷体_GB2312" w:cs="方正楷体_GB2312"/>
                <w:b w:val="0"/>
                <w:bCs/>
                <w:color w:val="auto"/>
                <w:highlight w:val="none"/>
                <w:shd w:val="clear" w:color="auto" w:fill="auto"/>
                <w:lang w:eastAsia="zh-CN"/>
              </w:rPr>
              <w:t>备注：</w:t>
            </w:r>
            <w:r>
              <w:rPr>
                <w:rFonts w:hint="eastAsia" w:ascii="方正楷体_GB2312" w:hAnsi="方正楷体_GB2312" w:eastAsia="方正楷体_GB2312" w:cs="方正楷体_GB2312"/>
                <w:b w:val="0"/>
                <w:bCs/>
                <w:color w:val="auto"/>
                <w:highlight w:val="none"/>
                <w:shd w:val="clear" w:color="auto" w:fill="auto"/>
                <w:lang w:val="en-US" w:eastAsia="zh-CN"/>
              </w:rPr>
              <w:t>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color w:val="auto"/>
                <w:highlight w:val="none"/>
                <w:u w:val="single"/>
                <w:shd w:val="clear" w:color="auto" w:fill="auto"/>
              </w:rPr>
              <w:t xml:space="preserve">         </w:t>
            </w:r>
            <w:r>
              <w:rPr>
                <w:rFonts w:hint="eastAsia" w:ascii="方正楷体_GB2312" w:hAnsi="方正楷体_GB2312" w:eastAsia="方正楷体_GB2312" w:cs="方正楷体_GB2312"/>
                <w:b/>
                <w:color w:val="auto"/>
                <w:highlight w:val="none"/>
                <w:shd w:val="clear" w:color="auto" w:fill="auto"/>
              </w:rPr>
              <w:t>）</w:t>
            </w:r>
            <w:r>
              <w:rPr>
                <w:rFonts w:hint="eastAsia" w:ascii="宋体" w:hAnsi="宋体" w:eastAsia="宋体" w:cs="宋体"/>
                <w:b/>
                <w:color w:val="auto"/>
                <w:highlight w:val="none"/>
                <w:shd w:val="clear" w:color="auto" w:fill="auto"/>
              </w:rPr>
              <w:t>：</w:t>
            </w:r>
          </w:p>
          <w:p w14:paraId="3E28E284">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企业信誉实力得分=根据实时公布的</w:t>
            </w:r>
            <w:r>
              <w:rPr>
                <w:rFonts w:hint="eastAsia" w:ascii="宋体" w:hAnsi="宋体" w:eastAsia="宋体" w:cs="宋体"/>
                <w:b/>
                <w:color w:val="auto"/>
                <w:highlight w:val="none"/>
              </w:rPr>
              <w:t>自治区级</w:t>
            </w:r>
            <w:r>
              <w:rPr>
                <w:rFonts w:hint="eastAsia" w:ascii="宋体" w:hAnsi="宋体" w:eastAsia="宋体" w:cs="宋体"/>
                <w:color w:val="auto"/>
                <w:highlight w:val="none"/>
              </w:rPr>
              <w:t>诚信综合评价分（百分制）×</w:t>
            </w:r>
            <w:r>
              <w:rPr>
                <w:rFonts w:hint="default" w:ascii="Calibri" w:hAnsi="Calibri" w:eastAsia="宋体" w:cs="Times New Roman"/>
                <w:color w:val="auto"/>
                <w:highlight w:val="none"/>
                <w:u w:val="single"/>
              </w:rPr>
              <w:t xml:space="preserve">    </w:t>
            </w:r>
            <w:r>
              <w:rPr>
                <w:rFonts w:hint="default" w:ascii="宋体" w:hAnsi="宋体" w:eastAsia="宋体" w:cs="宋体"/>
                <w:color w:val="auto"/>
                <w:highlight w:val="none"/>
              </w:rPr>
              <w:t xml:space="preserve">  %</w:t>
            </w:r>
            <w:r>
              <w:rPr>
                <w:rFonts w:hint="eastAsia" w:ascii="宋体" w:hAnsi="宋体" w:eastAsia="宋体" w:cs="宋体"/>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50%-100%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r>
              <w:rPr>
                <w:rFonts w:hint="default" w:ascii="宋体" w:hAnsi="宋体" w:eastAsia="宋体" w:cs="宋体"/>
                <w:color w:val="auto"/>
                <w:highlight w:val="none"/>
              </w:rPr>
              <w:t>%</w:t>
            </w:r>
            <w:r>
              <w:rPr>
                <w:rFonts w:hint="eastAsia" w:ascii="宋体" w:hAnsi="宋体" w:eastAsia="宋体" w:cs="宋体"/>
                <w:color w:val="auto"/>
                <w:highlight w:val="none"/>
              </w:rPr>
              <w:t>）</w:t>
            </w:r>
            <w:r>
              <w:rPr>
                <w:rFonts w:hint="eastAsia" w:ascii="Calibri" w:hAnsi="Calibri" w:eastAsia="宋体" w:cs="Times New Roman"/>
                <w:color w:val="auto"/>
                <w:highlight w:val="none"/>
              </w:rPr>
              <w:t>+根据实时公布的项目所在地设区市级诚信综合评价分（百分制）×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p>
          <w:p w14:paraId="6A57A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方正楷体_GB2312" w:hAnsi="方正楷体_GB2312" w:eastAsia="方正楷体_GB2312" w:cs="方正楷体_GB2312"/>
                <w:b/>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【备注：自治区级诚信综合评价分占比与设区市级诚信综合评价分占比之和为100%，具体权重由各设区市在</w:t>
            </w:r>
            <w:r>
              <w:rPr>
                <w:rFonts w:hint="eastAsia" w:ascii="方正楷体_GB2312" w:hAnsi="方正楷体_GB2312" w:eastAsia="方正楷体_GB2312" w:cs="方正楷体_GB2312"/>
                <w:color w:val="auto"/>
                <w:highlight w:val="none"/>
                <w:shd w:val="clear" w:color="auto" w:fill="auto"/>
                <w:lang w:eastAsia="zh-CN"/>
              </w:rPr>
              <w:t>规定</w:t>
            </w:r>
            <w:r>
              <w:rPr>
                <w:rFonts w:hint="eastAsia" w:ascii="方正楷体_GB2312" w:hAnsi="方正楷体_GB2312" w:eastAsia="方正楷体_GB2312" w:cs="方正楷体_GB2312"/>
                <w:color w:val="auto"/>
                <w:highlight w:val="none"/>
                <w:shd w:val="clear" w:color="auto" w:fill="auto"/>
              </w:rPr>
              <w:t>比例范围内自行</w:t>
            </w:r>
            <w:r>
              <w:rPr>
                <w:rFonts w:hint="eastAsia" w:ascii="方正楷体_GB2312" w:hAnsi="方正楷体_GB2312" w:eastAsia="方正楷体_GB2312" w:cs="方正楷体_GB2312"/>
                <w:color w:val="auto"/>
                <w:highlight w:val="none"/>
                <w:shd w:val="clear" w:color="auto" w:fill="auto"/>
                <w:lang w:eastAsia="zh-CN"/>
              </w:rPr>
              <w:t>确</w:t>
            </w:r>
            <w:r>
              <w:rPr>
                <w:rFonts w:hint="eastAsia" w:ascii="方正楷体_GB2312" w:hAnsi="方正楷体_GB2312" w:eastAsia="方正楷体_GB2312" w:cs="方正楷体_GB2312"/>
                <w:color w:val="auto"/>
                <w:highlight w:val="none"/>
                <w:shd w:val="clear" w:color="auto" w:fill="auto"/>
              </w:rPr>
              <w:t>定，</w:t>
            </w:r>
            <w:r>
              <w:rPr>
                <w:rFonts w:hint="eastAsia" w:ascii="方正楷体_GB2312" w:hAnsi="方正楷体_GB2312" w:eastAsia="方正楷体_GB2312" w:cs="方正楷体_GB2312"/>
                <w:color w:val="auto"/>
                <w:highlight w:val="none"/>
                <w:shd w:val="clear" w:color="auto" w:fill="auto"/>
                <w:lang w:eastAsia="zh-CN"/>
              </w:rPr>
              <w:t>招标代理</w:t>
            </w:r>
            <w:r>
              <w:rPr>
                <w:rFonts w:hint="eastAsia" w:ascii="方正楷体_GB2312" w:hAnsi="方正楷体_GB2312" w:eastAsia="方正楷体_GB2312" w:cs="方正楷体_GB2312"/>
                <w:color w:val="auto"/>
                <w:highlight w:val="none"/>
                <w:shd w:val="clear" w:color="auto" w:fill="auto"/>
              </w:rPr>
              <w:t>在发出招标文件前把确定后的比例填入招标文件内】</w:t>
            </w:r>
          </w:p>
          <w:p w14:paraId="75F80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Calibri" w:hAnsi="Calibri" w:eastAsia="宋体" w:cs="Times New Roman"/>
                <w:b/>
                <w:bCs/>
                <w:color w:val="auto"/>
                <w:highlight w:val="none"/>
              </w:rPr>
            </w:pPr>
            <w:r>
              <w:rPr>
                <w:rFonts w:hint="eastAsia" w:ascii="方正楷体_GB2312" w:hAnsi="方正楷体_GB2312" w:eastAsia="方正楷体_GB2312" w:cs="方正楷体_GB2312"/>
                <w:color w:val="auto"/>
                <w:kern w:val="0"/>
                <w:highlight w:val="none"/>
              </w:rPr>
              <w:t>注：自治区级诚信综合评价分由系统自动</w:t>
            </w:r>
            <w:r>
              <w:rPr>
                <w:rFonts w:hint="default" w:ascii="方正楷体_GB2312" w:hAnsi="方正楷体_GB2312" w:eastAsia="方正楷体_GB2312" w:cs="方正楷体_GB2312"/>
                <w:color w:val="auto"/>
                <w:kern w:val="0"/>
                <w:highlight w:val="none"/>
              </w:rPr>
              <w:t>读取，</w:t>
            </w:r>
            <w:r>
              <w:rPr>
                <w:rFonts w:hint="eastAsia" w:ascii="方正楷体_GB2312" w:hAnsi="方正楷体_GB2312" w:eastAsia="方正楷体_GB2312" w:cs="方正楷体_GB2312"/>
                <w:color w:val="auto"/>
                <w:kern w:val="0"/>
                <w:highlight w:val="none"/>
              </w:rPr>
              <w:t>评委在“桂建云”信息发布的诚信评分公示栏目中查询、</w:t>
            </w:r>
            <w:r>
              <w:rPr>
                <w:rFonts w:hint="default" w:ascii="方正楷体_GB2312" w:hAnsi="方正楷体_GB2312" w:eastAsia="方正楷体_GB2312" w:cs="方正楷体_GB2312"/>
                <w:color w:val="auto"/>
                <w:kern w:val="0"/>
                <w:highlight w:val="none"/>
              </w:rPr>
              <w:t>复核</w:t>
            </w:r>
            <w:r>
              <w:rPr>
                <w:rFonts w:hint="eastAsia" w:ascii="方正楷体_GB2312" w:hAnsi="方正楷体_GB2312" w:eastAsia="方正楷体_GB2312" w:cs="方正楷体_GB2312"/>
                <w:color w:val="auto"/>
                <w:kern w:val="0"/>
                <w:highlight w:val="none"/>
              </w:rPr>
              <w:t>。项目所在地设区市级诚信综合评价分由评委在</w:t>
            </w:r>
            <w:r>
              <w:rPr>
                <w:rFonts w:hint="eastAsia" w:ascii="方正楷体_GB2312" w:hAnsi="方正楷体_GB2312" w:eastAsia="方正楷体_GB2312" w:cs="方正楷体_GB2312"/>
                <w:color w:val="auto"/>
                <w:kern w:val="0"/>
                <w:highlight w:val="none"/>
                <w:u w:val="single"/>
              </w:rPr>
              <w:t xml:space="preserve">               </w:t>
            </w:r>
            <w:r>
              <w:rPr>
                <w:rFonts w:hint="eastAsia" w:ascii="方正楷体_GB2312" w:hAnsi="方正楷体_GB2312" w:eastAsia="方正楷体_GB2312" w:cs="方正楷体_GB2312"/>
                <w:color w:val="auto"/>
                <w:kern w:val="0"/>
                <w:highlight w:val="none"/>
              </w:rPr>
              <w:t>中查询。</w:t>
            </w:r>
          </w:p>
        </w:tc>
      </w:tr>
      <w:tr w14:paraId="1DF0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332" w:type="dxa"/>
            <w:gridSpan w:val="4"/>
            <w:noWrap w:val="0"/>
            <w:vAlign w:val="center"/>
          </w:tcPr>
          <w:p w14:paraId="660D9023">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投标人最终得分</w:t>
            </w:r>
          </w:p>
        </w:tc>
        <w:tc>
          <w:tcPr>
            <w:tcW w:w="7202" w:type="dxa"/>
            <w:gridSpan w:val="3"/>
            <w:noWrap w:val="0"/>
            <w:vAlign w:val="center"/>
          </w:tcPr>
          <w:p w14:paraId="7671F7C1">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color w:val="auto"/>
                <w:highlight w:val="none"/>
              </w:rPr>
              <w:t>投标人最终得分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该投标人的商务标得分（有小微企业、残疾人、监狱企业加分时</w:t>
            </w:r>
            <w:r>
              <w:rPr>
                <w:rFonts w:hint="default" w:ascii="Calibri" w:hAnsi="Calibri" w:eastAsia="宋体" w:cs="宋体"/>
                <w:color w:val="auto"/>
                <w:highlight w:val="none"/>
              </w:rPr>
              <w:t>为</w:t>
            </w:r>
            <w:r>
              <w:rPr>
                <w:rFonts w:hint="eastAsia" w:ascii="Calibri" w:hAnsi="Calibri" w:eastAsia="宋体" w:cs="宋体"/>
                <w:color w:val="auto"/>
                <w:highlight w:val="none"/>
              </w:rPr>
              <w:t>商务标</w:t>
            </w:r>
            <w:r>
              <w:rPr>
                <w:rFonts w:hint="eastAsia" w:ascii="Calibri" w:hAnsi="Calibri" w:eastAsia="宋体" w:cs="宋体"/>
                <w:color w:val="auto"/>
                <w:highlight w:val="none"/>
                <w:lang w:eastAsia="zh-CN"/>
              </w:rPr>
              <w:t>最后</w:t>
            </w:r>
            <w:r>
              <w:rPr>
                <w:rFonts w:hint="eastAsia" w:ascii="Calibri" w:hAnsi="Calibri" w:eastAsia="宋体" w:cs="宋体"/>
                <w:color w:val="auto"/>
                <w:highlight w:val="none"/>
              </w:rPr>
              <w:t>得分）+企业信誉实力得分</w:t>
            </w:r>
          </w:p>
        </w:tc>
      </w:tr>
      <w:tr w14:paraId="0EF5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863" w:type="dxa"/>
            <w:noWrap w:val="0"/>
            <w:vAlign w:val="center"/>
          </w:tcPr>
          <w:p w14:paraId="7079BC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1469" w:type="dxa"/>
            <w:gridSpan w:val="3"/>
            <w:noWrap w:val="0"/>
            <w:vAlign w:val="center"/>
          </w:tcPr>
          <w:p w14:paraId="6248AC7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评标程序</w:t>
            </w:r>
          </w:p>
        </w:tc>
        <w:tc>
          <w:tcPr>
            <w:tcW w:w="7202" w:type="dxa"/>
            <w:gridSpan w:val="3"/>
            <w:noWrap w:val="0"/>
            <w:vAlign w:val="center"/>
          </w:tcPr>
          <w:p w14:paraId="544127A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详见本章附件</w:t>
            </w:r>
            <w:r>
              <w:rPr>
                <w:rFonts w:hint="default" w:ascii="Calibri" w:hAnsi="Calibri" w:eastAsia="宋体" w:cs="Times New Roman"/>
                <w:color w:val="auto"/>
                <w:highlight w:val="none"/>
              </w:rPr>
              <w:t>A</w:t>
            </w:r>
            <w:r>
              <w:rPr>
                <w:rFonts w:hint="eastAsia" w:ascii="Calibri" w:hAnsi="Calibri" w:eastAsia="宋体" w:cs="宋体"/>
                <w:color w:val="auto"/>
                <w:highlight w:val="none"/>
              </w:rPr>
              <w:t>：评标详细程序</w:t>
            </w:r>
          </w:p>
        </w:tc>
      </w:tr>
      <w:tr w14:paraId="5F3A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63" w:type="dxa"/>
            <w:noWrap w:val="0"/>
            <w:vAlign w:val="center"/>
          </w:tcPr>
          <w:p w14:paraId="70DBC3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3.1.2</w:t>
            </w:r>
          </w:p>
        </w:tc>
        <w:tc>
          <w:tcPr>
            <w:tcW w:w="1469" w:type="dxa"/>
            <w:gridSpan w:val="3"/>
            <w:noWrap w:val="0"/>
            <w:vAlign w:val="center"/>
          </w:tcPr>
          <w:p w14:paraId="3523DB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否决投标条件</w:t>
            </w:r>
          </w:p>
        </w:tc>
        <w:tc>
          <w:tcPr>
            <w:tcW w:w="7202" w:type="dxa"/>
            <w:gridSpan w:val="3"/>
            <w:noWrap w:val="0"/>
            <w:vAlign w:val="center"/>
          </w:tcPr>
          <w:p w14:paraId="36071D0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详见本章附件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w:t>
            </w:r>
          </w:p>
        </w:tc>
      </w:tr>
    </w:tbl>
    <w:p w14:paraId="4A5718E3">
      <w:pPr>
        <w:spacing w:line="360" w:lineRule="auto"/>
        <w:rPr>
          <w:rFonts w:cs="宋体"/>
          <w:color w:val="auto"/>
          <w:highlight w:val="none"/>
        </w:rPr>
      </w:pPr>
    </w:p>
    <w:p w14:paraId="2C4EE97B">
      <w:pPr>
        <w:spacing w:line="360" w:lineRule="auto"/>
        <w:rPr>
          <w:rFonts w:cs="宋体"/>
          <w:color w:val="auto"/>
          <w:highlight w:val="none"/>
        </w:rPr>
      </w:pPr>
      <w:r>
        <w:rPr>
          <w:rFonts w:hint="eastAsia" w:cs="宋体"/>
          <w:color w:val="auto"/>
          <w:highlight w:val="none"/>
        </w:rPr>
        <w:t>备注：</w:t>
      </w:r>
    </w:p>
    <w:p w14:paraId="6B375932">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w:t>
      </w:r>
      <w:r>
        <w:rPr>
          <w:rFonts w:hint="eastAsia" w:ascii="方正楷体_GB2312" w:hAnsi="方正楷体_GB2312" w:eastAsia="方正楷体_GB2312" w:cs="方正楷体_GB2312"/>
          <w:color w:val="auto"/>
          <w:highlight w:val="none"/>
          <w:lang w:val="en-US" w:eastAsia="zh-CN"/>
        </w:rPr>
        <w:t>.</w:t>
      </w:r>
      <w:r>
        <w:rPr>
          <w:rFonts w:hint="eastAsia" w:ascii="方正楷体_GB2312" w:hAnsi="方正楷体_GB2312" w:eastAsia="方正楷体_GB2312" w:cs="方正楷体_GB2312"/>
          <w:color w:val="auto"/>
          <w:highlight w:val="none"/>
        </w:rPr>
        <w:t>招标项目所需企业资质等级已是最低级别的，不应设置业绩要求。</w:t>
      </w:r>
    </w:p>
    <w:p w14:paraId="65C0460F">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w:t>
      </w:r>
      <w:r>
        <w:rPr>
          <w:rFonts w:hint="eastAsia" w:ascii="方正楷体_GB2312" w:hAnsi="方正楷体_GB2312" w:eastAsia="方正楷体_GB2312" w:cs="方正楷体_GB2312"/>
          <w:color w:val="auto"/>
          <w:highlight w:val="none"/>
          <w:lang w:val="en-US" w:eastAsia="zh-CN"/>
        </w:rPr>
        <w:t>.</w:t>
      </w:r>
      <w:r>
        <w:rPr>
          <w:rFonts w:hint="eastAsia" w:ascii="方正楷体_GB2312" w:hAnsi="方正楷体_GB2312" w:eastAsia="方正楷体_GB2312" w:cs="方正楷体_GB2312"/>
          <w:color w:val="auto"/>
          <w:highlight w:val="none"/>
        </w:rPr>
        <w:t>人员资格岗位、职称、业绩、奖项等需与“桂建云”上信息一致，否则评审时不予承认。</w:t>
      </w:r>
    </w:p>
    <w:p w14:paraId="27C49F17">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经评审的合理低价法</w:t>
      </w:r>
      <w:r>
        <w:rPr>
          <w:rFonts w:hint="eastAsia" w:ascii="方正楷体_GB2312" w:hAnsi="方正楷体_GB2312" w:eastAsia="方正楷体_GB2312" w:cs="方正楷体_GB2312"/>
          <w:color w:val="auto"/>
          <w:highlight w:val="none"/>
          <w:lang w:eastAsia="zh-CN"/>
        </w:rPr>
        <w:t>建议</w:t>
      </w:r>
      <w:r>
        <w:rPr>
          <w:rFonts w:hint="eastAsia" w:ascii="方正楷体_GB2312" w:hAnsi="方正楷体_GB2312" w:eastAsia="方正楷体_GB2312" w:cs="方正楷体_GB2312"/>
          <w:color w:val="auto"/>
          <w:highlight w:val="none"/>
        </w:rPr>
        <w:t>用于</w:t>
      </w:r>
      <w:r>
        <w:rPr>
          <w:rFonts w:hint="eastAsia" w:ascii="方正楷体_GB2312" w:hAnsi="方正楷体_GB2312" w:eastAsia="方正楷体_GB2312" w:cs="方正楷体_GB2312"/>
          <w:color w:val="auto"/>
          <w:highlight w:val="none"/>
          <w:lang w:val="en-US" w:eastAsia="zh-CN"/>
        </w:rPr>
        <w:t>最高投标限价</w:t>
      </w:r>
      <w:r>
        <w:rPr>
          <w:rFonts w:hint="eastAsia" w:ascii="方正楷体_GB2312" w:hAnsi="方正楷体_GB2312" w:eastAsia="方正楷体_GB2312" w:cs="方正楷体_GB2312"/>
          <w:color w:val="auto"/>
          <w:highlight w:val="none"/>
        </w:rPr>
        <w:t>1000万元（含）以下项目；1000万元</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不含</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-5000万元（含）项目，业主可自行选择是否采用。</w:t>
      </w:r>
    </w:p>
    <w:p w14:paraId="45631815">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val="en-US" w:eastAsia="zh-CN"/>
        </w:rPr>
        <w:t>4.</w:t>
      </w:r>
      <w:r>
        <w:rPr>
          <w:rFonts w:hint="eastAsia" w:ascii="方正楷体_GB2312" w:hAnsi="方正楷体_GB2312" w:eastAsia="方正楷体_GB2312" w:cs="方正楷体_GB2312"/>
          <w:color w:val="auto"/>
          <w:highlight w:val="none"/>
        </w:rPr>
        <w:t>表2.2.1中施工组织设计为暗标。</w:t>
      </w:r>
    </w:p>
    <w:p w14:paraId="588CB97C">
      <w:pPr>
        <w:spacing w:line="360" w:lineRule="auto"/>
        <w:ind w:firstLine="420" w:firstLineChars="200"/>
        <w:rPr>
          <w:rFonts w:hint="eastAsia" w:cs="宋体"/>
          <w:color w:val="auto"/>
          <w:highlight w:val="none"/>
        </w:rPr>
      </w:pPr>
    </w:p>
    <w:p w14:paraId="0EAA0411">
      <w:pPr>
        <w:spacing w:line="360" w:lineRule="auto"/>
        <w:rPr>
          <w:color w:val="auto"/>
          <w:highlight w:val="none"/>
        </w:rPr>
      </w:pPr>
    </w:p>
    <w:p w14:paraId="39092963">
      <w:pPr>
        <w:spacing w:line="360" w:lineRule="auto"/>
        <w:rPr>
          <w:color w:val="auto"/>
          <w:highlight w:val="none"/>
        </w:rPr>
      </w:pPr>
    </w:p>
    <w:p w14:paraId="1AF0A596">
      <w:pPr>
        <w:spacing w:line="360" w:lineRule="auto"/>
        <w:rPr>
          <w:color w:val="auto"/>
          <w:highlight w:val="none"/>
        </w:rPr>
      </w:pPr>
    </w:p>
    <w:p w14:paraId="76105444">
      <w:pPr>
        <w:spacing w:line="360" w:lineRule="auto"/>
        <w:rPr>
          <w:color w:val="auto"/>
          <w:highlight w:val="none"/>
        </w:rPr>
        <w:sectPr>
          <w:pgSz w:w="11906" w:h="16838"/>
          <w:pgMar w:top="1440" w:right="1440" w:bottom="1440" w:left="1797" w:header="851" w:footer="851" w:gutter="0"/>
          <w:cols w:space="720" w:num="1"/>
          <w:docGrid w:linePitch="312" w:charSpace="0"/>
        </w:sectPr>
      </w:pPr>
    </w:p>
    <w:p w14:paraId="1C78C68A">
      <w:pPr>
        <w:pStyle w:val="2"/>
        <w:jc w:val="center"/>
        <w:rPr>
          <w:color w:val="auto"/>
          <w:highlight w:val="none"/>
        </w:rPr>
      </w:pPr>
      <w:bookmarkStart w:id="486" w:name="_Toc407135146"/>
      <w:bookmarkStart w:id="487" w:name="_Toc23410"/>
      <w:bookmarkStart w:id="488" w:name="_Toc78449693"/>
      <w:bookmarkStart w:id="489" w:name="_Toc226408801"/>
      <w:bookmarkStart w:id="490" w:name="_Toc389065200"/>
      <w:r>
        <w:rPr>
          <w:rFonts w:hint="eastAsia" w:cs="黑体"/>
          <w:color w:val="auto"/>
          <w:highlight w:val="none"/>
        </w:rPr>
        <w:t>评标办法（经评审的合理低价法）正文部分</w:t>
      </w:r>
      <w:bookmarkEnd w:id="486"/>
      <w:bookmarkEnd w:id="487"/>
      <w:bookmarkEnd w:id="488"/>
      <w:bookmarkEnd w:id="489"/>
      <w:bookmarkEnd w:id="490"/>
    </w:p>
    <w:p w14:paraId="113DA5F3">
      <w:pPr>
        <w:pStyle w:val="3"/>
        <w:rPr>
          <w:color w:val="auto"/>
          <w:highlight w:val="none"/>
        </w:rPr>
      </w:pPr>
      <w:bookmarkStart w:id="491" w:name="_Toc184635089"/>
      <w:bookmarkStart w:id="492" w:name="_Toc31316"/>
      <w:bookmarkStart w:id="493" w:name="_Toc407135147"/>
      <w:bookmarkStart w:id="494" w:name="_Toc78449694"/>
      <w:bookmarkStart w:id="495" w:name="_Toc389065201"/>
      <w:bookmarkStart w:id="496" w:name="_Toc1620562730"/>
      <w:r>
        <w:rPr>
          <w:color w:val="auto"/>
          <w:highlight w:val="none"/>
        </w:rPr>
        <w:t xml:space="preserve">1 </w:t>
      </w:r>
      <w:r>
        <w:rPr>
          <w:rFonts w:hint="eastAsia" w:cs="黑体"/>
          <w:color w:val="auto"/>
          <w:highlight w:val="none"/>
        </w:rPr>
        <w:t>评标方法</w:t>
      </w:r>
      <w:bookmarkEnd w:id="491"/>
      <w:bookmarkEnd w:id="492"/>
      <w:bookmarkEnd w:id="493"/>
      <w:bookmarkEnd w:id="494"/>
      <w:bookmarkEnd w:id="495"/>
      <w:bookmarkEnd w:id="496"/>
    </w:p>
    <w:p w14:paraId="31DC9A74">
      <w:pPr>
        <w:spacing w:line="360" w:lineRule="auto"/>
        <w:ind w:firstLine="420" w:firstLineChars="200"/>
        <w:rPr>
          <w:color w:val="auto"/>
          <w:highlight w:val="none"/>
        </w:rPr>
      </w:pPr>
      <w:r>
        <w:rPr>
          <w:rFonts w:hint="eastAsia" w:cs="宋体"/>
          <w:color w:val="auto"/>
          <w:highlight w:val="none"/>
        </w:rPr>
        <w:t>本次评标采用经评审的合理低价法。评标委员会对满足招标文件实质要求的投标文件，按照本章</w:t>
      </w:r>
      <w:r>
        <w:rPr>
          <w:color w:val="auto"/>
          <w:highlight w:val="none"/>
        </w:rPr>
        <w:t>2.2</w:t>
      </w:r>
      <w:r>
        <w:rPr>
          <w:rFonts w:hint="eastAsia" w:cs="宋体"/>
          <w:color w:val="auto"/>
          <w:highlight w:val="none"/>
        </w:rPr>
        <w:t>条款进行评审，并按得分由高到低的顺序推荐中标候选人，或根据招标人授权直接确定中标人，但投标报价低于其成本的除外。经评审的商务标得分相等时，以投标报价低的优先；投标报价也相等的，以企业用于该工程投标的资质高的优先；企业用于该工程投标的资质也同等的，由评标委员会采用记名投票方式确定。</w:t>
      </w:r>
    </w:p>
    <w:p w14:paraId="76F34BC6">
      <w:pPr>
        <w:pStyle w:val="3"/>
        <w:rPr>
          <w:color w:val="auto"/>
          <w:highlight w:val="none"/>
        </w:rPr>
      </w:pPr>
      <w:bookmarkStart w:id="497" w:name="_Toc407135148"/>
      <w:bookmarkStart w:id="498" w:name="_Toc78449695"/>
      <w:bookmarkStart w:id="499" w:name="_Toc12"/>
      <w:bookmarkStart w:id="500" w:name="_Toc184635090"/>
      <w:bookmarkStart w:id="501" w:name="_Toc2065435859"/>
      <w:bookmarkStart w:id="502" w:name="_Toc389065202"/>
      <w:r>
        <w:rPr>
          <w:color w:val="auto"/>
          <w:highlight w:val="none"/>
        </w:rPr>
        <w:t xml:space="preserve">2 </w:t>
      </w:r>
      <w:r>
        <w:rPr>
          <w:rFonts w:hint="eastAsia" w:cs="黑体"/>
          <w:color w:val="auto"/>
          <w:highlight w:val="none"/>
        </w:rPr>
        <w:t>评审标准</w:t>
      </w:r>
      <w:bookmarkEnd w:id="497"/>
      <w:bookmarkEnd w:id="498"/>
      <w:bookmarkEnd w:id="499"/>
      <w:bookmarkEnd w:id="500"/>
      <w:bookmarkEnd w:id="501"/>
      <w:bookmarkEnd w:id="502"/>
    </w:p>
    <w:p w14:paraId="0DBA0E26">
      <w:pPr>
        <w:pStyle w:val="4"/>
        <w:rPr>
          <w:color w:val="auto"/>
          <w:highlight w:val="none"/>
        </w:rPr>
      </w:pPr>
      <w:bookmarkStart w:id="503" w:name="_Toc78449696"/>
      <w:bookmarkStart w:id="504" w:name="_Toc2056153788"/>
      <w:bookmarkStart w:id="505" w:name="_Toc23034"/>
      <w:bookmarkStart w:id="506" w:name="_Toc407135149"/>
      <w:bookmarkStart w:id="507" w:name="_Toc389065203"/>
      <w:r>
        <w:rPr>
          <w:color w:val="auto"/>
          <w:highlight w:val="none"/>
        </w:rPr>
        <w:t xml:space="preserve">2.1 </w:t>
      </w:r>
      <w:r>
        <w:rPr>
          <w:rFonts w:hint="eastAsia" w:cs="黑体"/>
          <w:color w:val="auto"/>
          <w:highlight w:val="none"/>
        </w:rPr>
        <w:t>初步评审标准</w:t>
      </w:r>
      <w:bookmarkEnd w:id="503"/>
      <w:bookmarkEnd w:id="504"/>
      <w:bookmarkEnd w:id="505"/>
      <w:bookmarkEnd w:id="506"/>
      <w:bookmarkEnd w:id="507"/>
    </w:p>
    <w:p w14:paraId="46242C16">
      <w:pPr>
        <w:spacing w:line="360" w:lineRule="auto"/>
        <w:ind w:firstLine="420" w:firstLineChars="200"/>
        <w:rPr>
          <w:color w:val="auto"/>
          <w:highlight w:val="none"/>
        </w:rPr>
      </w:pPr>
      <w:r>
        <w:rPr>
          <w:color w:val="auto"/>
          <w:highlight w:val="none"/>
        </w:rPr>
        <w:t>2.1.1</w:t>
      </w:r>
      <w:r>
        <w:rPr>
          <w:rFonts w:hint="eastAsia" w:cs="宋体"/>
          <w:color w:val="auto"/>
          <w:highlight w:val="none"/>
        </w:rPr>
        <w:t>形式评审标准：见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303F8904">
      <w:pPr>
        <w:spacing w:line="360" w:lineRule="auto"/>
        <w:ind w:firstLine="420" w:firstLineChars="200"/>
        <w:rPr>
          <w:color w:val="auto"/>
          <w:highlight w:val="none"/>
        </w:rPr>
      </w:pPr>
      <w:r>
        <w:rPr>
          <w:color w:val="auto"/>
          <w:highlight w:val="none"/>
        </w:rPr>
        <w:t>2.1.2</w:t>
      </w:r>
      <w:r>
        <w:rPr>
          <w:rFonts w:hint="eastAsia" w:cs="宋体"/>
          <w:color w:val="auto"/>
          <w:highlight w:val="none"/>
        </w:rPr>
        <w:t>响应性评审标准：见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2E826623">
      <w:pPr>
        <w:spacing w:line="360" w:lineRule="auto"/>
        <w:ind w:firstLine="420" w:firstLineChars="200"/>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2.1.3 </w:t>
      </w:r>
      <w:r>
        <w:rPr>
          <w:rFonts w:hint="default" w:ascii="Times New Roman" w:hAnsi="Times New Roman" w:eastAsia="宋体" w:cs="Times New Roman"/>
          <w:color w:val="auto"/>
          <w:highlight w:val="none"/>
        </w:rPr>
        <w:t>资格评审标准：见</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评标办法前附表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p w14:paraId="77141E4E">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ascii="Times New Roman" w:hAnsi="Times New Roman" w:eastAsia="宋体" w:cs="Times New Roman"/>
          <w:b w:val="0"/>
          <w:i w:val="0"/>
          <w:caps w:val="0"/>
          <w:color w:val="auto"/>
          <w:spacing w:val="0"/>
          <w:sz w:val="21"/>
          <w:szCs w:val="21"/>
          <w:highlight w:val="none"/>
          <w:shd w:val="clear" w:color="auto" w:fill="auto"/>
        </w:rPr>
        <w:t>当开标会上确认的各有效投标文件数</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小于等</w:t>
      </w:r>
      <w:r>
        <w:rPr>
          <w:rFonts w:ascii="Times New Roman" w:hAnsi="Times New Roman" w:eastAsia="宋体" w:cs="Times New Roman"/>
          <w:b w:val="0"/>
          <w:i w:val="0"/>
          <w:caps w:val="0"/>
          <w:color w:val="auto"/>
          <w:spacing w:val="0"/>
          <w:sz w:val="21"/>
          <w:szCs w:val="21"/>
          <w:highlight w:val="none"/>
          <w:shd w:val="clear" w:color="auto" w:fill="auto"/>
        </w:rPr>
        <w:t>于</w:t>
      </w:r>
      <w:r>
        <w:rPr>
          <w:rFonts w:hint="eastAsia" w:ascii="Times New Roman" w:hAnsi="Times New Roman" w:eastAsia="宋体" w:cs="Times New Roman"/>
          <w:b w:val="0"/>
          <w:i w:val="0"/>
          <w:caps w:val="0"/>
          <w:color w:val="auto"/>
          <w:spacing w:val="0"/>
          <w:sz w:val="21"/>
          <w:szCs w:val="21"/>
          <w:highlight w:val="none"/>
          <w:shd w:val="clear" w:color="auto" w:fill="auto"/>
          <w:lang w:val="en-US" w:eastAsia="zh-CN"/>
        </w:rPr>
        <w:t>15</w:t>
      </w:r>
      <w:r>
        <w:rPr>
          <w:rFonts w:ascii="Times New Roman" w:hAnsi="Times New Roman" w:eastAsia="宋体" w:cs="Times New Roman"/>
          <w:b w:val="0"/>
          <w:i w:val="0"/>
          <w:caps w:val="0"/>
          <w:color w:val="auto"/>
          <w:spacing w:val="0"/>
          <w:sz w:val="21"/>
          <w:szCs w:val="21"/>
          <w:highlight w:val="none"/>
          <w:shd w:val="clear" w:color="auto" w:fill="auto"/>
        </w:rPr>
        <w:t>个时</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w:t>
      </w:r>
      <w:r>
        <w:rPr>
          <w:rFonts w:hint="default" w:ascii="Times New Roman" w:hAnsi="Times New Roman" w:eastAsia="宋体" w:cs="Times New Roman"/>
          <w:color w:val="auto"/>
          <w:highlight w:val="none"/>
        </w:rPr>
        <w:t>所有在投标截止时间前提交</w:t>
      </w:r>
      <w:r>
        <w:rPr>
          <w:rFonts w:hint="eastAsia" w:ascii="Times New Roman" w:hAnsi="Times New Roman" w:eastAsia="宋体" w:cs="Times New Roman"/>
          <w:color w:val="auto"/>
          <w:highlight w:val="none"/>
          <w:lang w:eastAsia="zh-CN"/>
        </w:rPr>
        <w:t>的有效</w:t>
      </w:r>
      <w:r>
        <w:rPr>
          <w:rFonts w:hint="default" w:ascii="Times New Roman" w:hAnsi="Times New Roman" w:eastAsia="宋体" w:cs="Times New Roman"/>
          <w:color w:val="auto"/>
          <w:highlight w:val="none"/>
        </w:rPr>
        <w:t>投标文件均有资格参加资格评审</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w:t>
      </w:r>
      <w:r>
        <w:rPr>
          <w:rFonts w:ascii="Times New Roman" w:hAnsi="Times New Roman" w:eastAsia="宋体" w:cs="Times New Roman"/>
          <w:b w:val="0"/>
          <w:i w:val="0"/>
          <w:caps w:val="0"/>
          <w:color w:val="auto"/>
          <w:spacing w:val="0"/>
          <w:sz w:val="21"/>
          <w:szCs w:val="21"/>
          <w:highlight w:val="none"/>
          <w:shd w:val="clear" w:color="auto" w:fill="auto"/>
        </w:rPr>
        <w:t>大于</w:t>
      </w:r>
      <w:r>
        <w:rPr>
          <w:rFonts w:hint="eastAsia" w:ascii="Times New Roman" w:hAnsi="Times New Roman" w:eastAsia="宋体" w:cs="Times New Roman"/>
          <w:b w:val="0"/>
          <w:i w:val="0"/>
          <w:caps w:val="0"/>
          <w:color w:val="auto"/>
          <w:spacing w:val="0"/>
          <w:sz w:val="21"/>
          <w:szCs w:val="21"/>
          <w:highlight w:val="none"/>
          <w:shd w:val="clear" w:color="auto" w:fill="auto"/>
          <w:lang w:val="en-US" w:eastAsia="zh-CN"/>
        </w:rPr>
        <w:t>15</w:t>
      </w:r>
      <w:r>
        <w:rPr>
          <w:rFonts w:ascii="Times New Roman" w:hAnsi="Times New Roman" w:eastAsia="宋体" w:cs="Times New Roman"/>
          <w:b w:val="0"/>
          <w:i w:val="0"/>
          <w:caps w:val="0"/>
          <w:color w:val="auto"/>
          <w:spacing w:val="0"/>
          <w:sz w:val="21"/>
          <w:szCs w:val="21"/>
          <w:highlight w:val="none"/>
          <w:shd w:val="clear" w:color="auto" w:fill="auto"/>
        </w:rPr>
        <w:t>个时，</w:t>
      </w:r>
      <w:r>
        <w:rPr>
          <w:rFonts w:ascii="Times New Roman" w:hAnsi="Times New Roman" w:eastAsia="宋体" w:cs="Times New Roman"/>
          <w:color w:val="auto"/>
          <w:highlight w:val="none"/>
        </w:rPr>
        <w:t>按</w:t>
      </w:r>
      <w:r>
        <w:rPr>
          <w:rFonts w:cs="宋体"/>
          <w:color w:val="auto"/>
          <w:highlight w:val="none"/>
        </w:rPr>
        <w:t>投标总价</w:t>
      </w:r>
      <w:r>
        <w:rPr>
          <w:rFonts w:ascii="Times New Roman" w:hAnsi="Times New Roman" w:eastAsia="宋体" w:cs="Times New Roman"/>
          <w:color w:val="auto"/>
          <w:highlight w:val="none"/>
        </w:rPr>
        <w:t>由低到高的顺序依次排出名次</w:t>
      </w:r>
      <w:r>
        <w:rPr>
          <w:rFonts w:hint="default" w:ascii="Times New Roman" w:hAnsi="Times New Roman" w:eastAsia="宋体" w:cs="Times New Roman"/>
          <w:color w:val="auto"/>
          <w:highlight w:val="none"/>
          <w:lang w:eastAsia="zh-CN"/>
        </w:rPr>
        <w:t>，选排名前</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名参加资格评审</w:t>
      </w:r>
      <w:r>
        <w:rPr>
          <w:rFonts w:hint="eastAsia" w:ascii="Times New Roman" w:hAnsi="Times New Roman" w:eastAsia="宋体" w:cs="Times New Roman"/>
          <w:color w:val="auto"/>
          <w:highlight w:val="none"/>
          <w:lang w:val="en-US" w:eastAsia="zh-CN"/>
        </w:rPr>
        <w:t>（最后一名并列的，则一同参加资格评审）</w:t>
      </w:r>
      <w:r>
        <w:rPr>
          <w:rFonts w:ascii="Times New Roman" w:hAnsi="Times New Roman" w:eastAsia="宋体" w:cs="Times New Roman"/>
          <w:color w:val="auto"/>
          <w:highlight w:val="none"/>
        </w:rPr>
        <w:t>。</w:t>
      </w:r>
    </w:p>
    <w:p w14:paraId="20B8A7C9">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ascii="Times New Roman" w:hAnsi="Times New Roman" w:eastAsia="宋体" w:cs="Times New Roman"/>
          <w:b w:val="0"/>
          <w:i w:val="0"/>
          <w:caps w:val="0"/>
          <w:color w:val="auto"/>
          <w:spacing w:val="0"/>
          <w:sz w:val="21"/>
          <w:szCs w:val="21"/>
          <w:highlight w:val="none"/>
          <w:shd w:val="clear" w:color="auto" w:fill="auto"/>
        </w:rPr>
        <w:t>只有在评审过程中出现</w:t>
      </w:r>
      <w:r>
        <w:rPr>
          <w:rFonts w:hint="eastAsia"/>
          <w:color w:val="auto"/>
          <w:highlight w:val="none"/>
          <w:lang w:val="en-US" w:eastAsia="zh-CN"/>
        </w:rPr>
        <w:t>否决投标</w:t>
      </w:r>
      <w:r>
        <w:rPr>
          <w:rFonts w:ascii="Times New Roman" w:hAnsi="Times New Roman" w:eastAsia="宋体" w:cs="Times New Roman"/>
          <w:b w:val="0"/>
          <w:i w:val="0"/>
          <w:caps w:val="0"/>
          <w:color w:val="auto"/>
          <w:spacing w:val="0"/>
          <w:sz w:val="21"/>
          <w:szCs w:val="21"/>
          <w:highlight w:val="none"/>
          <w:shd w:val="clear" w:color="auto" w:fill="auto"/>
        </w:rPr>
        <w:t>致使有效投标文件数小于3时，才增</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补剩下的</w:t>
      </w:r>
      <w:r>
        <w:rPr>
          <w:rFonts w:cs="宋体"/>
          <w:color w:val="auto"/>
          <w:highlight w:val="none"/>
        </w:rPr>
        <w:t>投标总价</w:t>
      </w:r>
      <w:r>
        <w:rPr>
          <w:rFonts w:ascii="Times New Roman" w:hAnsi="Times New Roman" w:eastAsia="宋体" w:cs="Times New Roman"/>
          <w:b w:val="0"/>
          <w:i w:val="0"/>
          <w:caps w:val="0"/>
          <w:color w:val="auto"/>
          <w:spacing w:val="0"/>
          <w:sz w:val="21"/>
          <w:szCs w:val="21"/>
          <w:highlight w:val="none"/>
          <w:shd w:val="clear" w:color="auto" w:fill="auto"/>
        </w:rPr>
        <w:t>排序前3名的未评审的有效投标文件</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（若增补也出现</w:t>
      </w:r>
      <w:r>
        <w:rPr>
          <w:rFonts w:hint="eastAsia"/>
          <w:color w:val="auto"/>
          <w:highlight w:val="none"/>
          <w:lang w:val="en-US" w:eastAsia="zh-CN"/>
        </w:rPr>
        <w:t>否决投标</w:t>
      </w:r>
      <w:r>
        <w:rPr>
          <w:rFonts w:hint="eastAsia" w:ascii="Times New Roman" w:hAnsi="Times New Roman" w:eastAsia="宋体" w:cs="Times New Roman"/>
          <w:b w:val="0"/>
          <w:i w:val="0"/>
          <w:caps w:val="0"/>
          <w:color w:val="auto"/>
          <w:spacing w:val="0"/>
          <w:sz w:val="21"/>
          <w:szCs w:val="21"/>
          <w:highlight w:val="none"/>
          <w:shd w:val="clear" w:color="auto" w:fill="auto"/>
          <w:lang w:eastAsia="zh-CN"/>
        </w:rPr>
        <w:t>，增补次数不限）</w:t>
      </w:r>
      <w:r>
        <w:rPr>
          <w:rFonts w:ascii="Times New Roman" w:hAnsi="Times New Roman" w:eastAsia="宋体" w:cs="Times New Roman"/>
          <w:b w:val="0"/>
          <w:i w:val="0"/>
          <w:caps w:val="0"/>
          <w:color w:val="auto"/>
          <w:spacing w:val="0"/>
          <w:sz w:val="21"/>
          <w:szCs w:val="21"/>
          <w:highlight w:val="none"/>
          <w:shd w:val="clear" w:color="auto" w:fill="auto"/>
        </w:rPr>
        <w:t>。若仅有2份未评审的有效投标文件时则增加评审2份有效投标文件，若未评审的有效投标文件数小于2时则不再增加评审投标文件。</w:t>
      </w:r>
    </w:p>
    <w:p w14:paraId="0F2B9C81">
      <w:pPr>
        <w:pStyle w:val="4"/>
        <w:rPr>
          <w:color w:val="auto"/>
          <w:highlight w:val="none"/>
        </w:rPr>
      </w:pPr>
      <w:bookmarkStart w:id="508" w:name="_Toc389065204"/>
      <w:bookmarkStart w:id="509" w:name="_Toc78449697"/>
      <w:bookmarkStart w:id="510" w:name="_Toc819180589"/>
      <w:bookmarkStart w:id="511" w:name="_Toc5220"/>
      <w:bookmarkStart w:id="512" w:name="_Toc407135150"/>
      <w:r>
        <w:rPr>
          <w:color w:val="auto"/>
          <w:highlight w:val="none"/>
        </w:rPr>
        <w:t xml:space="preserve">2.2 </w:t>
      </w:r>
      <w:r>
        <w:rPr>
          <w:rFonts w:hint="eastAsia" w:cs="黑体"/>
          <w:color w:val="auto"/>
          <w:highlight w:val="none"/>
        </w:rPr>
        <w:t>详细评审标准</w:t>
      </w:r>
      <w:bookmarkEnd w:id="508"/>
      <w:bookmarkEnd w:id="509"/>
      <w:bookmarkEnd w:id="510"/>
      <w:bookmarkEnd w:id="511"/>
      <w:bookmarkEnd w:id="512"/>
    </w:p>
    <w:p w14:paraId="51517BC8">
      <w:pPr>
        <w:spacing w:line="360" w:lineRule="auto"/>
        <w:ind w:firstLine="420" w:firstLineChars="200"/>
        <w:rPr>
          <w:rFonts w:hint="eastAsia"/>
          <w:color w:val="auto"/>
          <w:highlight w:val="none"/>
        </w:rPr>
      </w:pPr>
      <w:r>
        <w:rPr>
          <w:color w:val="auto"/>
          <w:highlight w:val="none"/>
        </w:rPr>
        <w:t xml:space="preserve">2.2.1 </w:t>
      </w:r>
      <w:r>
        <w:rPr>
          <w:rFonts w:hint="eastAsia" w:cs="宋体"/>
          <w:color w:val="auto"/>
          <w:highlight w:val="none"/>
        </w:rPr>
        <w:t>技术标评分标准：见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64729D50">
      <w:pPr>
        <w:spacing w:line="360" w:lineRule="auto"/>
        <w:ind w:firstLine="420" w:firstLineChars="200"/>
        <w:rPr>
          <w:rFonts w:hint="eastAsia" w:cs="宋体"/>
          <w:color w:val="auto"/>
          <w:highlight w:val="none"/>
        </w:rPr>
      </w:pPr>
      <w:r>
        <w:rPr>
          <w:color w:val="auto"/>
          <w:highlight w:val="none"/>
        </w:rPr>
        <w:t xml:space="preserve">2.2.2 </w:t>
      </w:r>
      <w:r>
        <w:rPr>
          <w:rFonts w:hint="eastAsia" w:cs="宋体"/>
          <w:color w:val="auto"/>
          <w:highlight w:val="none"/>
        </w:rPr>
        <w:t>商务标评分标准：见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283D3E79">
      <w:pPr>
        <w:spacing w:line="360" w:lineRule="auto"/>
        <w:ind w:firstLine="420" w:firstLineChars="200"/>
        <w:rPr>
          <w:rFonts w:cs="宋体"/>
          <w:color w:val="auto"/>
          <w:highlight w:val="none"/>
        </w:rPr>
      </w:pPr>
      <w:r>
        <w:rPr>
          <w:rFonts w:hint="eastAsia" w:cs="宋体"/>
          <w:color w:val="auto"/>
          <w:highlight w:val="none"/>
        </w:rPr>
        <w:t>2.2.3企业信誉实力分评分标准：见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0B0EAE93">
      <w:pPr>
        <w:pStyle w:val="3"/>
        <w:rPr>
          <w:rFonts w:cs="黑体"/>
          <w:color w:val="auto"/>
          <w:highlight w:val="none"/>
        </w:rPr>
      </w:pPr>
      <w:bookmarkStart w:id="513" w:name="_Toc389065205"/>
      <w:bookmarkStart w:id="514" w:name="_Toc78449698"/>
      <w:bookmarkStart w:id="515" w:name="_Toc423738589"/>
      <w:bookmarkStart w:id="516" w:name="_Toc407135151"/>
      <w:bookmarkStart w:id="517" w:name="_Toc184635091"/>
      <w:bookmarkStart w:id="518" w:name="_Toc12342"/>
      <w:r>
        <w:rPr>
          <w:color w:val="auto"/>
          <w:highlight w:val="none"/>
        </w:rPr>
        <w:t xml:space="preserve">3 </w:t>
      </w:r>
      <w:r>
        <w:rPr>
          <w:rFonts w:hint="eastAsia" w:cs="黑体"/>
          <w:color w:val="auto"/>
          <w:highlight w:val="none"/>
        </w:rPr>
        <w:t>评标程序</w:t>
      </w:r>
      <w:bookmarkEnd w:id="513"/>
      <w:bookmarkEnd w:id="514"/>
      <w:bookmarkEnd w:id="515"/>
      <w:bookmarkEnd w:id="516"/>
      <w:bookmarkEnd w:id="517"/>
      <w:bookmarkEnd w:id="518"/>
    </w:p>
    <w:p w14:paraId="6BCD432A">
      <w:pPr>
        <w:pStyle w:val="4"/>
        <w:rPr>
          <w:color w:val="auto"/>
          <w:highlight w:val="none"/>
        </w:rPr>
      </w:pPr>
      <w:bookmarkStart w:id="519" w:name="_Toc407135152"/>
      <w:bookmarkStart w:id="520" w:name="_Toc78449699"/>
      <w:bookmarkStart w:id="521" w:name="_Toc2141602302"/>
      <w:bookmarkStart w:id="522" w:name="_Toc389065206"/>
      <w:bookmarkStart w:id="523" w:name="_Toc20607"/>
      <w:r>
        <w:rPr>
          <w:color w:val="auto"/>
          <w:highlight w:val="none"/>
        </w:rPr>
        <w:t xml:space="preserve">3.1 </w:t>
      </w:r>
      <w:r>
        <w:rPr>
          <w:rFonts w:hint="eastAsia" w:cs="黑体"/>
          <w:color w:val="auto"/>
          <w:highlight w:val="none"/>
        </w:rPr>
        <w:t>初步评审</w:t>
      </w:r>
      <w:bookmarkEnd w:id="519"/>
      <w:bookmarkEnd w:id="520"/>
      <w:bookmarkEnd w:id="521"/>
      <w:bookmarkEnd w:id="522"/>
      <w:bookmarkEnd w:id="523"/>
    </w:p>
    <w:p w14:paraId="3D602225">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1E4433DB">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14:paraId="198A30A3">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1.4.3</w:t>
      </w:r>
      <w:r>
        <w:rPr>
          <w:rFonts w:hint="eastAsia" w:cs="宋体"/>
          <w:color w:val="auto"/>
          <w:highlight w:val="none"/>
        </w:rPr>
        <w:t>项及第1.4.4项规定的任何一种情形的；</w:t>
      </w:r>
    </w:p>
    <w:p w14:paraId="4239FDC7">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14:paraId="6813B12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14:paraId="04E50418">
      <w:pPr>
        <w:pStyle w:val="4"/>
        <w:rPr>
          <w:color w:val="auto"/>
          <w:highlight w:val="none"/>
        </w:rPr>
      </w:pPr>
      <w:bookmarkStart w:id="524" w:name="_Toc78449700"/>
      <w:bookmarkStart w:id="525" w:name="_Toc21913"/>
      <w:bookmarkStart w:id="526" w:name="_Toc407135153"/>
      <w:bookmarkStart w:id="527" w:name="_Toc1639401615"/>
      <w:r>
        <w:rPr>
          <w:color w:val="auto"/>
          <w:highlight w:val="none"/>
        </w:rPr>
        <w:t xml:space="preserve">3.2 </w:t>
      </w:r>
      <w:r>
        <w:rPr>
          <w:rFonts w:hint="eastAsia" w:cs="黑体"/>
          <w:color w:val="auto"/>
          <w:highlight w:val="none"/>
        </w:rPr>
        <w:t>详细评审</w:t>
      </w:r>
      <w:bookmarkEnd w:id="524"/>
      <w:bookmarkEnd w:id="525"/>
      <w:bookmarkEnd w:id="526"/>
      <w:bookmarkEnd w:id="527"/>
    </w:p>
    <w:p w14:paraId="1EB39555">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评标委员会按本章第</w:t>
      </w:r>
      <w:r>
        <w:rPr>
          <w:color w:val="auto"/>
          <w:highlight w:val="none"/>
        </w:rPr>
        <w:t>2.2.1</w:t>
      </w:r>
      <w:r>
        <w:rPr>
          <w:rFonts w:hint="eastAsia" w:cs="宋体"/>
          <w:color w:val="auto"/>
          <w:highlight w:val="none"/>
        </w:rPr>
        <w:t>款的规定进行技术标评审。</w:t>
      </w:r>
    </w:p>
    <w:p w14:paraId="69EF7D5F">
      <w:pPr>
        <w:spacing w:line="360" w:lineRule="auto"/>
        <w:ind w:firstLine="420" w:firstLineChars="200"/>
        <w:rPr>
          <w:rFonts w:hint="eastAsia"/>
          <w:color w:val="auto"/>
          <w:highlight w:val="none"/>
        </w:rPr>
      </w:pPr>
      <w:r>
        <w:rPr>
          <w:color w:val="auto"/>
          <w:highlight w:val="none"/>
        </w:rPr>
        <w:t xml:space="preserve">3.2.2 </w:t>
      </w:r>
      <w:r>
        <w:rPr>
          <w:rFonts w:hint="eastAsia" w:cs="宋体"/>
          <w:color w:val="auto"/>
          <w:highlight w:val="none"/>
        </w:rPr>
        <w:t>评标委员会按本章第</w:t>
      </w:r>
      <w:r>
        <w:rPr>
          <w:color w:val="auto"/>
          <w:highlight w:val="none"/>
        </w:rPr>
        <w:t>2.2.2</w:t>
      </w:r>
      <w:r>
        <w:rPr>
          <w:rFonts w:hint="eastAsia" w:cs="宋体"/>
          <w:color w:val="auto"/>
          <w:highlight w:val="none"/>
        </w:rPr>
        <w:t>款的规定计算出投标人的商务标得分。</w:t>
      </w:r>
    </w:p>
    <w:p w14:paraId="50AB0489">
      <w:pPr>
        <w:spacing w:line="360" w:lineRule="auto"/>
        <w:ind w:firstLine="420" w:firstLineChars="200"/>
        <w:rPr>
          <w:color w:val="auto"/>
          <w:highlight w:val="none"/>
        </w:rPr>
      </w:pPr>
      <w:r>
        <w:rPr>
          <w:color w:val="auto"/>
          <w:highlight w:val="none"/>
        </w:rPr>
        <w:t>3.2.3</w:t>
      </w:r>
      <w:r>
        <w:rPr>
          <w:rFonts w:hint="eastAsia" w:cs="宋体"/>
          <w:color w:val="auto"/>
          <w:highlight w:val="none"/>
        </w:rPr>
        <w:t>投标人最终得分</w:t>
      </w:r>
      <w:r>
        <w:rPr>
          <w:color w:val="auto"/>
          <w:highlight w:val="none"/>
        </w:rPr>
        <w:t>=</w:t>
      </w:r>
      <w:r>
        <w:rPr>
          <w:rFonts w:hint="eastAsia" w:cs="宋体"/>
          <w:color w:val="auto"/>
          <w:highlight w:val="none"/>
        </w:rPr>
        <w:t>投标人的商务标得分（有小微企业、残疾人、监狱企业加分时为最终得分的商务标得分）+</w:t>
      </w:r>
      <w:r>
        <w:rPr>
          <w:rFonts w:hint="eastAsia" w:ascii="宋体" w:hAnsi="宋体" w:cs="宋体"/>
          <w:color w:val="auto"/>
          <w:highlight w:val="none"/>
        </w:rPr>
        <w:t>企业信誉实力得分</w:t>
      </w:r>
      <w:r>
        <w:rPr>
          <w:rFonts w:hint="eastAsia" w:cs="宋体"/>
          <w:color w:val="auto"/>
          <w:highlight w:val="none"/>
        </w:rPr>
        <w:t>。</w:t>
      </w:r>
    </w:p>
    <w:p w14:paraId="7C4CA83D">
      <w:pPr>
        <w:spacing w:line="360" w:lineRule="auto"/>
        <w:ind w:firstLine="420" w:firstLineChars="200"/>
        <w:rPr>
          <w:color w:val="auto"/>
          <w:highlight w:val="none"/>
        </w:rPr>
      </w:pPr>
      <w:r>
        <w:rPr>
          <w:color w:val="auto"/>
          <w:highlight w:val="none"/>
        </w:rPr>
        <w:t>3.2.4</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评分分值计算保留小数点后四位，投标人最终得分保留小数点后两位，小数点后第三位</w:t>
      </w:r>
      <w:r>
        <w:rPr>
          <w:color w:val="auto"/>
          <w:highlight w:val="none"/>
        </w:rPr>
        <w:t>“</w:t>
      </w:r>
      <w:r>
        <w:rPr>
          <w:rFonts w:hint="eastAsia" w:cs="宋体"/>
          <w:color w:val="auto"/>
          <w:highlight w:val="none"/>
        </w:rPr>
        <w:t>四舍五入</w:t>
      </w:r>
      <w:r>
        <w:rPr>
          <w:color w:val="auto"/>
          <w:highlight w:val="none"/>
        </w:rPr>
        <w:t>”</w:t>
      </w:r>
      <w:r>
        <w:rPr>
          <w:rFonts w:hint="eastAsia"/>
          <w:color w:val="auto"/>
          <w:highlight w:val="none"/>
        </w:rPr>
        <w:t>。</w:t>
      </w:r>
    </w:p>
    <w:p w14:paraId="04DAA822">
      <w:pPr>
        <w:pStyle w:val="4"/>
        <w:rPr>
          <w:color w:val="auto"/>
          <w:highlight w:val="none"/>
        </w:rPr>
      </w:pPr>
      <w:bookmarkStart w:id="528" w:name="_Toc78449701"/>
      <w:bookmarkStart w:id="529" w:name="_Toc407135154"/>
      <w:bookmarkStart w:id="530" w:name="_Toc389065207"/>
      <w:bookmarkStart w:id="531" w:name="_Toc4318"/>
      <w:bookmarkStart w:id="532" w:name="_Toc1786783444"/>
      <w:r>
        <w:rPr>
          <w:color w:val="auto"/>
          <w:highlight w:val="none"/>
        </w:rPr>
        <w:t xml:space="preserve">3.3 </w:t>
      </w:r>
      <w:r>
        <w:rPr>
          <w:rFonts w:hint="eastAsia" w:cs="黑体"/>
          <w:color w:val="auto"/>
          <w:highlight w:val="none"/>
        </w:rPr>
        <w:t>投标文件的澄清、说明和补正</w:t>
      </w:r>
      <w:bookmarkEnd w:id="528"/>
      <w:bookmarkEnd w:id="529"/>
      <w:bookmarkEnd w:id="530"/>
      <w:bookmarkEnd w:id="531"/>
      <w:bookmarkEnd w:id="532"/>
    </w:p>
    <w:p w14:paraId="1B94EA4E">
      <w:pPr>
        <w:spacing w:line="360" w:lineRule="auto"/>
        <w:ind w:firstLine="420" w:firstLineChars="200"/>
        <w:rPr>
          <w:rFonts w:cs="宋体"/>
          <w:color w:val="auto"/>
          <w:highlight w:val="none"/>
        </w:rPr>
      </w:pPr>
      <w:r>
        <w:rPr>
          <w:rFonts w:cs="宋体"/>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2BA18E33">
      <w:pPr>
        <w:spacing w:line="360" w:lineRule="auto"/>
        <w:ind w:firstLine="420" w:firstLineChars="200"/>
        <w:rPr>
          <w:rFonts w:cs="宋体"/>
          <w:color w:val="auto"/>
          <w:highlight w:val="none"/>
        </w:rPr>
      </w:pPr>
      <w:r>
        <w:rPr>
          <w:rFonts w:cs="宋体"/>
          <w:color w:val="auto"/>
          <w:highlight w:val="none"/>
        </w:rPr>
        <w:t xml:space="preserve">3.3.2 </w:t>
      </w:r>
      <w:r>
        <w:rPr>
          <w:rFonts w:hint="eastAsia" w:cs="宋体"/>
          <w:color w:val="auto"/>
          <w:highlight w:val="none"/>
        </w:rPr>
        <w:t>澄清、说明和补正不得改变投标文件的实质性内容。投标人的书面澄清、说明和补正属于投标文件的组成部分。</w:t>
      </w:r>
    </w:p>
    <w:p w14:paraId="1ADCF2EA">
      <w:pPr>
        <w:spacing w:line="360" w:lineRule="auto"/>
        <w:ind w:firstLine="420" w:firstLineChars="200"/>
        <w:rPr>
          <w:rFonts w:cs="宋体"/>
          <w:color w:val="auto"/>
          <w:highlight w:val="none"/>
        </w:rPr>
      </w:pPr>
      <w:r>
        <w:rPr>
          <w:rFonts w:cs="宋体"/>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14:paraId="0A20566B">
      <w:pPr>
        <w:spacing w:line="360" w:lineRule="auto"/>
        <w:ind w:firstLine="420" w:firstLineChars="200"/>
        <w:rPr>
          <w:rFonts w:cs="宋体"/>
          <w:color w:val="auto"/>
          <w:highlight w:val="none"/>
        </w:rPr>
      </w:pPr>
      <w:r>
        <w:rPr>
          <w:rFonts w:cs="宋体"/>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5B0520DB">
      <w:pPr>
        <w:pStyle w:val="4"/>
        <w:rPr>
          <w:color w:val="auto"/>
          <w:highlight w:val="none"/>
        </w:rPr>
      </w:pPr>
      <w:bookmarkStart w:id="533" w:name="_Toc407135155"/>
      <w:bookmarkStart w:id="534" w:name="_Toc389065208"/>
      <w:bookmarkStart w:id="535" w:name="_Toc78449702"/>
      <w:bookmarkStart w:id="536" w:name="_Toc1830473422"/>
      <w:bookmarkStart w:id="537" w:name="_Toc18949"/>
      <w:r>
        <w:rPr>
          <w:color w:val="auto"/>
          <w:highlight w:val="none"/>
        </w:rPr>
        <w:t xml:space="preserve">3.4 </w:t>
      </w:r>
      <w:r>
        <w:rPr>
          <w:rFonts w:hint="eastAsia" w:cs="黑体"/>
          <w:color w:val="auto"/>
          <w:highlight w:val="none"/>
        </w:rPr>
        <w:t>评标结果</w:t>
      </w:r>
      <w:bookmarkEnd w:id="533"/>
      <w:bookmarkEnd w:id="534"/>
      <w:bookmarkEnd w:id="535"/>
      <w:bookmarkEnd w:id="536"/>
      <w:bookmarkEnd w:id="537"/>
    </w:p>
    <w:p w14:paraId="5EB68F77">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授权直接确定中标人外，评标委员会按照本章规定的顺序推荐中标候选人。</w:t>
      </w:r>
    </w:p>
    <w:p w14:paraId="2CCB5B65">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评标委员会完成评标后，应当向招标人提交书面评标报告。</w:t>
      </w:r>
    </w:p>
    <w:p w14:paraId="3DFEFCAF">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评标委员会应将评标过程中使用的文件、表格以及其他材料即时归还招标人。招标人应当按照“投标人须知前附表”规定的封存方式封存评标资料。</w:t>
      </w:r>
    </w:p>
    <w:p w14:paraId="663D8BC2">
      <w:pPr>
        <w:widowControl/>
        <w:jc w:val="left"/>
        <w:rPr>
          <w:color w:val="auto"/>
          <w:highlight w:val="none"/>
        </w:rPr>
      </w:pPr>
      <w:r>
        <w:rPr>
          <w:color w:val="auto"/>
          <w:highlight w:val="none"/>
        </w:rPr>
        <w:br w:type="page"/>
      </w:r>
    </w:p>
    <w:p w14:paraId="239E17EE">
      <w:pPr>
        <w:pStyle w:val="2"/>
        <w:jc w:val="center"/>
        <w:rPr>
          <w:color w:val="auto"/>
          <w:highlight w:val="none"/>
        </w:rPr>
      </w:pPr>
      <w:bookmarkStart w:id="538" w:name="_Toc389065209"/>
      <w:bookmarkStart w:id="539" w:name="_Toc15771"/>
      <w:bookmarkStart w:id="540" w:name="_Toc407135156"/>
      <w:bookmarkStart w:id="541" w:name="_Toc1857731160"/>
      <w:bookmarkStart w:id="542" w:name="_Toc78449703"/>
      <w:r>
        <w:rPr>
          <w:rFonts w:hint="eastAsia" w:cs="黑体"/>
          <w:color w:val="auto"/>
          <w:highlight w:val="none"/>
        </w:rPr>
        <w:t>附件</w:t>
      </w:r>
      <w:r>
        <w:rPr>
          <w:color w:val="auto"/>
          <w:highlight w:val="none"/>
        </w:rPr>
        <w:t>A</w:t>
      </w:r>
      <w:bookmarkEnd w:id="538"/>
      <w:r>
        <w:rPr>
          <w:color w:val="auto"/>
          <w:highlight w:val="none"/>
        </w:rPr>
        <w:t xml:space="preserve">  </w:t>
      </w:r>
      <w:r>
        <w:rPr>
          <w:rFonts w:hint="eastAsia" w:cs="黑体"/>
          <w:color w:val="auto"/>
          <w:highlight w:val="none"/>
        </w:rPr>
        <w:t>评标详细程序</w:t>
      </w:r>
      <w:bookmarkEnd w:id="539"/>
      <w:bookmarkEnd w:id="540"/>
      <w:bookmarkEnd w:id="541"/>
      <w:bookmarkEnd w:id="542"/>
      <w:bookmarkStart w:id="543" w:name="_Toc389065210"/>
    </w:p>
    <w:p w14:paraId="086B4F76">
      <w:pPr>
        <w:pStyle w:val="3"/>
        <w:rPr>
          <w:color w:val="auto"/>
          <w:highlight w:val="none"/>
        </w:rPr>
      </w:pPr>
      <w:bookmarkStart w:id="544" w:name="_Toc13340"/>
      <w:bookmarkStart w:id="545" w:name="_Toc407135157"/>
      <w:bookmarkStart w:id="546" w:name="_Toc1151556646"/>
      <w:bookmarkStart w:id="547" w:name="_Toc9706"/>
      <w:bookmarkStart w:id="548" w:name="_Toc78449704"/>
      <w:bookmarkStart w:id="549" w:name="_Toc879611645"/>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543"/>
      <w:bookmarkEnd w:id="544"/>
      <w:bookmarkEnd w:id="545"/>
      <w:bookmarkEnd w:id="546"/>
      <w:bookmarkEnd w:id="547"/>
      <w:bookmarkEnd w:id="548"/>
      <w:bookmarkEnd w:id="549"/>
    </w:p>
    <w:p w14:paraId="12CBD593">
      <w:pPr>
        <w:spacing w:line="360" w:lineRule="auto"/>
        <w:ind w:firstLine="420" w:firstLineChars="200"/>
        <w:rPr>
          <w:color w:val="auto"/>
          <w:highlight w:val="none"/>
        </w:rPr>
      </w:pPr>
      <w:r>
        <w:rPr>
          <w:rFonts w:hint="eastAsia" w:cs="宋体"/>
          <w:color w:val="auto"/>
          <w:highlight w:val="none"/>
        </w:rPr>
        <w:t>本附件是本章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p>
    <w:p w14:paraId="60B75BF6">
      <w:pPr>
        <w:pStyle w:val="3"/>
        <w:rPr>
          <w:color w:val="auto"/>
          <w:highlight w:val="none"/>
        </w:rPr>
      </w:pPr>
      <w:bookmarkStart w:id="550" w:name="_Toc290778110"/>
      <w:bookmarkStart w:id="551" w:name="_Toc825"/>
      <w:bookmarkStart w:id="552" w:name="_Toc2065610056"/>
      <w:bookmarkStart w:id="553" w:name="_Toc78449705"/>
      <w:bookmarkStart w:id="554" w:name="_Toc389065211"/>
      <w:bookmarkStart w:id="555" w:name="_Toc20758"/>
      <w:bookmarkStart w:id="556" w:name="_Toc407135158"/>
      <w:r>
        <w:rPr>
          <w:color w:val="auto"/>
          <w:highlight w:val="none"/>
        </w:rPr>
        <w:t xml:space="preserve">A1 </w:t>
      </w:r>
      <w:r>
        <w:rPr>
          <w:rFonts w:hint="eastAsia" w:cs="黑体"/>
          <w:color w:val="auto"/>
          <w:highlight w:val="none"/>
        </w:rPr>
        <w:t>基本程序</w:t>
      </w:r>
      <w:bookmarkEnd w:id="550"/>
      <w:bookmarkEnd w:id="551"/>
      <w:bookmarkEnd w:id="552"/>
      <w:bookmarkEnd w:id="553"/>
      <w:bookmarkEnd w:id="554"/>
      <w:bookmarkEnd w:id="555"/>
      <w:bookmarkEnd w:id="556"/>
    </w:p>
    <w:p w14:paraId="426CDCA1">
      <w:pPr>
        <w:spacing w:line="360" w:lineRule="auto"/>
        <w:ind w:firstLine="420" w:firstLineChars="200"/>
        <w:rPr>
          <w:color w:val="auto"/>
          <w:highlight w:val="none"/>
        </w:rPr>
      </w:pPr>
      <w:r>
        <w:rPr>
          <w:rFonts w:hint="eastAsia" w:cs="宋体"/>
          <w:color w:val="auto"/>
          <w:highlight w:val="none"/>
        </w:rPr>
        <w:t>评标活动将按以下五个步骤进行：</w:t>
      </w:r>
    </w:p>
    <w:p w14:paraId="7140485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14:paraId="1389A69C">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14:paraId="6FAFDF2D">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14:paraId="39486645">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14:paraId="644864DA">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14:paraId="0F624B9E">
      <w:pPr>
        <w:pStyle w:val="3"/>
        <w:rPr>
          <w:color w:val="auto"/>
          <w:highlight w:val="none"/>
        </w:rPr>
      </w:pPr>
      <w:bookmarkStart w:id="557" w:name="_Toc407135159"/>
      <w:bookmarkStart w:id="558" w:name="_Toc19014"/>
      <w:bookmarkStart w:id="559" w:name="_Toc389065212"/>
      <w:bookmarkStart w:id="560" w:name="_Toc2059154462"/>
      <w:bookmarkStart w:id="561" w:name="_Toc597446469"/>
      <w:bookmarkStart w:id="562" w:name="_Toc78449706"/>
      <w:bookmarkStart w:id="563" w:name="_Toc183"/>
      <w:r>
        <w:rPr>
          <w:color w:val="auto"/>
          <w:highlight w:val="none"/>
        </w:rPr>
        <w:t xml:space="preserve">A2 </w:t>
      </w:r>
      <w:r>
        <w:rPr>
          <w:rFonts w:hint="eastAsia" w:cs="黑体"/>
          <w:color w:val="auto"/>
          <w:highlight w:val="none"/>
        </w:rPr>
        <w:t>评标准备</w:t>
      </w:r>
      <w:bookmarkEnd w:id="557"/>
      <w:bookmarkEnd w:id="558"/>
      <w:bookmarkEnd w:id="559"/>
      <w:bookmarkEnd w:id="560"/>
      <w:bookmarkEnd w:id="561"/>
      <w:bookmarkEnd w:id="562"/>
      <w:bookmarkEnd w:id="563"/>
    </w:p>
    <w:p w14:paraId="11EDE36E">
      <w:pPr>
        <w:spacing w:line="360" w:lineRule="auto"/>
        <w:ind w:firstLine="420" w:firstLineChars="200"/>
        <w:outlineLvl w:val="0"/>
        <w:rPr>
          <w:color w:val="auto"/>
          <w:highlight w:val="none"/>
        </w:rPr>
      </w:pPr>
      <w:r>
        <w:rPr>
          <w:color w:val="auto"/>
          <w:highlight w:val="none"/>
        </w:rPr>
        <w:t xml:space="preserve">A2.1 </w:t>
      </w:r>
      <w:r>
        <w:rPr>
          <w:rFonts w:hint="eastAsia" w:cs="宋体"/>
          <w:color w:val="auto"/>
          <w:highlight w:val="none"/>
        </w:rPr>
        <w:t>评标委员会成员签到</w:t>
      </w:r>
    </w:p>
    <w:p w14:paraId="3620809F">
      <w:pPr>
        <w:spacing w:line="360" w:lineRule="auto"/>
        <w:ind w:firstLine="420" w:firstLineChars="200"/>
        <w:rPr>
          <w:color w:val="auto"/>
          <w:highlight w:val="none"/>
        </w:rPr>
      </w:pPr>
      <w:r>
        <w:rPr>
          <w:rFonts w:hint="eastAsia" w:cs="宋体"/>
          <w:color w:val="auto"/>
          <w:highlight w:val="none"/>
        </w:rPr>
        <w:t>评标委员会成员到达评标现场时应在签到表上签到以证明其出席。</w:t>
      </w:r>
    </w:p>
    <w:p w14:paraId="58D298B4">
      <w:pPr>
        <w:spacing w:line="360" w:lineRule="auto"/>
        <w:ind w:firstLine="420" w:firstLineChars="200"/>
        <w:rPr>
          <w:color w:val="auto"/>
          <w:highlight w:val="none"/>
        </w:rPr>
      </w:pPr>
      <w:r>
        <w:rPr>
          <w:color w:val="auto"/>
          <w:highlight w:val="none"/>
        </w:rPr>
        <w:t xml:space="preserve">A2.2 </w:t>
      </w:r>
      <w:r>
        <w:rPr>
          <w:rFonts w:hint="eastAsia" w:cs="宋体"/>
          <w:color w:val="auto"/>
          <w:highlight w:val="none"/>
        </w:rPr>
        <w:t>评标委员会的组建和分工</w:t>
      </w:r>
    </w:p>
    <w:p w14:paraId="5355204B">
      <w:pPr>
        <w:spacing w:line="360" w:lineRule="auto"/>
        <w:ind w:firstLine="420" w:firstLineChars="200"/>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应通过电子评标系统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6692CFDC">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0C842C62">
      <w:pPr>
        <w:spacing w:line="360" w:lineRule="auto"/>
        <w:ind w:firstLine="420" w:firstLineChars="200"/>
        <w:outlineLvl w:val="0"/>
        <w:rPr>
          <w:color w:val="auto"/>
          <w:highlight w:val="none"/>
        </w:rPr>
      </w:pPr>
      <w:bookmarkStart w:id="564" w:name="_Toc389065213"/>
      <w:r>
        <w:rPr>
          <w:color w:val="auto"/>
          <w:highlight w:val="none"/>
        </w:rPr>
        <w:t xml:space="preserve">A2.3 </w:t>
      </w:r>
      <w:r>
        <w:rPr>
          <w:rFonts w:hint="eastAsia" w:cs="宋体"/>
          <w:color w:val="auto"/>
          <w:highlight w:val="none"/>
        </w:rPr>
        <w:t>熟悉文件资料</w:t>
      </w:r>
      <w:bookmarkEnd w:id="564"/>
    </w:p>
    <w:p w14:paraId="693437B8">
      <w:pPr>
        <w:spacing w:line="360" w:lineRule="auto"/>
        <w:ind w:firstLine="420" w:firstLineChars="200"/>
        <w:rPr>
          <w:color w:val="auto"/>
          <w:highlight w:val="none"/>
        </w:rPr>
      </w:pPr>
      <w:r>
        <w:rPr>
          <w:color w:val="auto"/>
          <w:highlight w:val="none"/>
        </w:rPr>
        <w:t xml:space="preserve">A2.3.1 </w:t>
      </w:r>
      <w:r>
        <w:rPr>
          <w:rFonts w:hint="eastAsia" w:cs="宋体"/>
          <w:color w:val="auto"/>
          <w:highlight w:val="none"/>
        </w:rPr>
        <w:t>评标委员会主任应组织评标委员会成员认真研究招标文件，了解和熟悉招标目的、招标范围、主要合同条件、技术标准和要求、质量标准和工期要求等，掌握评标标准和方法，熟悉本章及附件中包括的评标表格的使用。</w:t>
      </w:r>
    </w:p>
    <w:p w14:paraId="49103612">
      <w:pPr>
        <w:spacing w:line="360" w:lineRule="auto"/>
        <w:ind w:firstLine="420" w:firstLineChars="200"/>
        <w:rPr>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w:t>
      </w:r>
    </w:p>
    <w:p w14:paraId="6F90035E">
      <w:pPr>
        <w:pStyle w:val="3"/>
        <w:rPr>
          <w:color w:val="auto"/>
          <w:highlight w:val="none"/>
        </w:rPr>
      </w:pPr>
      <w:bookmarkStart w:id="565" w:name="_Toc5015"/>
      <w:bookmarkStart w:id="566" w:name="_Toc13090"/>
      <w:bookmarkStart w:id="567" w:name="_Toc389065214"/>
      <w:bookmarkStart w:id="568" w:name="_Toc1205762849"/>
      <w:bookmarkStart w:id="569" w:name="_Toc78449707"/>
      <w:bookmarkStart w:id="570" w:name="_Toc407135160"/>
      <w:bookmarkStart w:id="571" w:name="_Toc649150026"/>
      <w:r>
        <w:rPr>
          <w:color w:val="auto"/>
          <w:highlight w:val="none"/>
        </w:rPr>
        <w:t xml:space="preserve">A3 </w:t>
      </w:r>
      <w:r>
        <w:rPr>
          <w:rFonts w:hint="eastAsia" w:cs="黑体"/>
          <w:color w:val="auto"/>
          <w:highlight w:val="none"/>
        </w:rPr>
        <w:t>初步评审</w:t>
      </w:r>
      <w:bookmarkEnd w:id="565"/>
      <w:bookmarkEnd w:id="566"/>
      <w:bookmarkEnd w:id="567"/>
      <w:bookmarkEnd w:id="568"/>
      <w:bookmarkEnd w:id="569"/>
      <w:bookmarkEnd w:id="570"/>
      <w:bookmarkEnd w:id="571"/>
    </w:p>
    <w:p w14:paraId="073FFBA5">
      <w:pPr>
        <w:spacing w:line="360" w:lineRule="auto"/>
        <w:ind w:firstLine="420" w:firstLineChars="200"/>
        <w:rPr>
          <w:color w:val="auto"/>
          <w:highlight w:val="none"/>
        </w:rPr>
      </w:pPr>
      <w:bookmarkStart w:id="572" w:name="_Toc389065215"/>
      <w:r>
        <w:rPr>
          <w:color w:val="auto"/>
          <w:highlight w:val="none"/>
        </w:rPr>
        <w:t xml:space="preserve">A3.1 </w:t>
      </w:r>
      <w:r>
        <w:rPr>
          <w:rFonts w:hint="eastAsia" w:cs="宋体"/>
          <w:color w:val="auto"/>
          <w:highlight w:val="none"/>
        </w:rPr>
        <w:t>形式评审</w:t>
      </w:r>
      <w:bookmarkEnd w:id="572"/>
    </w:p>
    <w:p w14:paraId="7BBB47C5">
      <w:pPr>
        <w:spacing w:line="360" w:lineRule="auto"/>
        <w:ind w:firstLine="420" w:firstLineChars="200"/>
        <w:rPr>
          <w:color w:val="auto"/>
          <w:highlight w:val="none"/>
        </w:rPr>
      </w:pPr>
      <w:r>
        <w:rPr>
          <w:rFonts w:hint="eastAsia" w:cs="宋体"/>
          <w:color w:val="auto"/>
          <w:highlight w:val="none"/>
        </w:rPr>
        <w:t>评标委员会所有评委根据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中规定的评审因素和评审标准，对投标人的投标文件进行形式评审。</w:t>
      </w:r>
    </w:p>
    <w:p w14:paraId="03206E9D">
      <w:pPr>
        <w:spacing w:line="360" w:lineRule="auto"/>
        <w:ind w:firstLine="420" w:firstLineChars="200"/>
        <w:rPr>
          <w:color w:val="auto"/>
          <w:highlight w:val="none"/>
        </w:rPr>
      </w:pPr>
      <w:bookmarkStart w:id="573" w:name="_Toc389065216"/>
      <w:r>
        <w:rPr>
          <w:color w:val="auto"/>
          <w:highlight w:val="none"/>
        </w:rPr>
        <w:t xml:space="preserve">A3.2 </w:t>
      </w:r>
      <w:r>
        <w:rPr>
          <w:rFonts w:hint="eastAsia" w:cs="宋体"/>
          <w:color w:val="auto"/>
          <w:highlight w:val="none"/>
        </w:rPr>
        <w:t>响应性评审</w:t>
      </w:r>
      <w:bookmarkEnd w:id="573"/>
    </w:p>
    <w:p w14:paraId="181F0AC9">
      <w:pPr>
        <w:spacing w:line="360" w:lineRule="auto"/>
        <w:ind w:firstLine="420" w:firstLineChars="200"/>
        <w:rPr>
          <w:color w:val="auto"/>
          <w:highlight w:val="none"/>
        </w:rPr>
      </w:pPr>
      <w:r>
        <w:rPr>
          <w:color w:val="auto"/>
          <w:highlight w:val="none"/>
        </w:rPr>
        <w:t xml:space="preserve">A3.2.1 </w:t>
      </w:r>
      <w:r>
        <w:rPr>
          <w:rFonts w:hint="eastAsia" w:cs="宋体"/>
          <w:color w:val="auto"/>
          <w:highlight w:val="none"/>
        </w:rPr>
        <w:t>评标委员会所有评委根据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中规定的评审因素和评审标准，对投标人的投标文件进行响应性评审。</w:t>
      </w:r>
      <w:r>
        <w:rPr>
          <w:rFonts w:hint="eastAsia" w:cs="宋体"/>
          <w:color w:val="auto"/>
          <w:highlight w:val="none"/>
          <w:lang w:eastAsia="zh-CN"/>
        </w:rPr>
        <w:t>详见附表</w:t>
      </w:r>
      <w:r>
        <w:rPr>
          <w:rFonts w:hint="eastAsia" w:cs="宋体"/>
          <w:color w:val="auto"/>
          <w:highlight w:val="none"/>
          <w:lang w:val="en-US" w:eastAsia="zh-CN"/>
        </w:rPr>
        <w:t>A-7响应性评审记录表（商务标）。</w:t>
      </w:r>
    </w:p>
    <w:p w14:paraId="3CC7F77C">
      <w:pPr>
        <w:spacing w:line="360" w:lineRule="auto"/>
        <w:ind w:firstLine="420" w:firstLineChars="200"/>
        <w:rPr>
          <w:rFonts w:cs="宋体"/>
          <w:color w:val="auto"/>
          <w:highlight w:val="none"/>
        </w:rPr>
      </w:pPr>
      <w:r>
        <w:rPr>
          <w:color w:val="auto"/>
          <w:highlight w:val="none"/>
        </w:rPr>
        <w:t xml:space="preserve">A3.2.2 </w:t>
      </w:r>
      <w:r>
        <w:rPr>
          <w:rFonts w:hint="eastAsia" w:cs="宋体"/>
          <w:color w:val="auto"/>
          <w:highlight w:val="none"/>
        </w:rPr>
        <w:t>投标人投标总价不得超出（不含等于）招标人公布的</w:t>
      </w:r>
      <w:r>
        <w:rPr>
          <w:rFonts w:hint="eastAsia" w:cs="宋体"/>
          <w:color w:val="auto"/>
          <w:highlight w:val="none"/>
          <w:lang w:eastAsia="zh-CN"/>
        </w:rPr>
        <w:t>最高投标限价</w:t>
      </w:r>
      <w:r>
        <w:rPr>
          <w:rFonts w:hint="eastAsia" w:cs="宋体"/>
          <w:color w:val="auto"/>
          <w:highlight w:val="none"/>
        </w:rPr>
        <w:t>。凡投标人的投标总价超出</w:t>
      </w:r>
      <w:r>
        <w:rPr>
          <w:rFonts w:hint="eastAsia" w:cs="宋体"/>
          <w:color w:val="auto"/>
          <w:highlight w:val="none"/>
          <w:lang w:eastAsia="zh-CN"/>
        </w:rPr>
        <w:t>最高投标限价</w:t>
      </w:r>
      <w:r>
        <w:rPr>
          <w:rFonts w:hint="eastAsia" w:cs="宋体"/>
          <w:color w:val="auto"/>
          <w:highlight w:val="none"/>
        </w:rPr>
        <w:t>的，该投标人的投标文件不能通过响应性评审。</w:t>
      </w:r>
    </w:p>
    <w:p w14:paraId="32845910">
      <w:pPr>
        <w:spacing w:line="360" w:lineRule="auto"/>
        <w:ind w:firstLine="420" w:firstLineChars="200"/>
        <w:outlineLvl w:val="0"/>
        <w:rPr>
          <w:color w:val="auto"/>
          <w:highlight w:val="none"/>
        </w:rPr>
      </w:pPr>
      <w:r>
        <w:rPr>
          <w:color w:val="auto"/>
          <w:highlight w:val="none"/>
        </w:rPr>
        <w:t xml:space="preserve">A3.3 </w:t>
      </w:r>
      <w:r>
        <w:rPr>
          <w:rFonts w:hint="eastAsia" w:cs="宋体"/>
          <w:color w:val="auto"/>
          <w:highlight w:val="none"/>
        </w:rPr>
        <w:t>资格评审</w:t>
      </w:r>
    </w:p>
    <w:p w14:paraId="7ECB0CB1">
      <w:pPr>
        <w:spacing w:line="360" w:lineRule="auto"/>
        <w:ind w:firstLine="420" w:firstLineChars="200"/>
        <w:rPr>
          <w:rFonts w:hint="eastAsia"/>
          <w:color w:val="auto"/>
          <w:highlight w:val="none"/>
        </w:rPr>
      </w:pPr>
      <w:r>
        <w:rPr>
          <w:rFonts w:hint="eastAsia" w:cs="宋体"/>
          <w:color w:val="auto"/>
          <w:highlight w:val="none"/>
        </w:rPr>
        <w:t>评标委员会所有评委根据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中规定的评审因素和评审标准，对投标人的投标文件进行资格评审。</w:t>
      </w:r>
    </w:p>
    <w:p w14:paraId="5097E10E">
      <w:pPr>
        <w:spacing w:line="360" w:lineRule="auto"/>
        <w:ind w:firstLine="420" w:firstLineChars="200"/>
        <w:rPr>
          <w:color w:val="auto"/>
          <w:highlight w:val="none"/>
        </w:rPr>
      </w:pPr>
      <w:bookmarkStart w:id="574" w:name="_Toc389065217"/>
      <w:r>
        <w:rPr>
          <w:color w:val="auto"/>
          <w:highlight w:val="none"/>
        </w:rPr>
        <w:t xml:space="preserve">A3.4 </w:t>
      </w:r>
      <w:r>
        <w:rPr>
          <w:rFonts w:hint="eastAsia" w:cs="宋体"/>
          <w:color w:val="auto"/>
          <w:highlight w:val="none"/>
        </w:rPr>
        <w:t>判断投标是否为否决投标</w:t>
      </w:r>
      <w:bookmarkEnd w:id="574"/>
    </w:p>
    <w:p w14:paraId="55A11E8D">
      <w:pPr>
        <w:spacing w:line="360" w:lineRule="auto"/>
        <w:ind w:firstLine="420" w:firstLineChars="200"/>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14:paraId="740EB094">
      <w:pPr>
        <w:spacing w:line="360" w:lineRule="auto"/>
        <w:ind w:firstLine="420" w:firstLineChars="200"/>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和本章正文部分包括的否决投标条件抵触，如果出现相互矛盾的情况，以第二章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14:paraId="275AA3FC">
      <w:pPr>
        <w:spacing w:line="360" w:lineRule="auto"/>
        <w:ind w:firstLine="420" w:firstLineChars="200"/>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14:paraId="1D331CDF">
      <w:pPr>
        <w:spacing w:line="360" w:lineRule="auto"/>
        <w:ind w:firstLine="420" w:firstLineChars="200"/>
        <w:outlineLvl w:val="0"/>
        <w:rPr>
          <w:color w:val="auto"/>
          <w:highlight w:val="none"/>
        </w:rPr>
      </w:pPr>
      <w:bookmarkStart w:id="575" w:name="_Toc373227527"/>
      <w:bookmarkStart w:id="576" w:name="_Toc368945498"/>
      <w:bookmarkStart w:id="577" w:name="_Toc373478175"/>
      <w:bookmarkStart w:id="578" w:name="_Toc368940638"/>
      <w:bookmarkStart w:id="579" w:name="_Toc368939871"/>
      <w:bookmarkStart w:id="580" w:name="_Toc368930207"/>
      <w:r>
        <w:rPr>
          <w:color w:val="auto"/>
          <w:highlight w:val="none"/>
        </w:rPr>
        <w:t xml:space="preserve">A3.5 </w:t>
      </w:r>
      <w:r>
        <w:rPr>
          <w:rFonts w:hint="eastAsia" w:cs="宋体"/>
          <w:color w:val="auto"/>
          <w:highlight w:val="none"/>
        </w:rPr>
        <w:t>澄清、说明或补正</w:t>
      </w:r>
      <w:bookmarkEnd w:id="575"/>
      <w:bookmarkEnd w:id="576"/>
      <w:bookmarkEnd w:id="577"/>
      <w:bookmarkEnd w:id="578"/>
      <w:bookmarkEnd w:id="579"/>
      <w:bookmarkEnd w:id="580"/>
    </w:p>
    <w:p w14:paraId="334E0482">
      <w:pPr>
        <w:spacing w:line="360" w:lineRule="auto"/>
        <w:ind w:firstLine="420" w:firstLineChars="200"/>
        <w:rPr>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14:paraId="7126E42F">
      <w:pPr>
        <w:pStyle w:val="3"/>
        <w:rPr>
          <w:color w:val="auto"/>
          <w:highlight w:val="none"/>
        </w:rPr>
      </w:pPr>
      <w:bookmarkStart w:id="581" w:name="_Toc389065218"/>
      <w:bookmarkStart w:id="582" w:name="_Toc1221495937"/>
      <w:bookmarkStart w:id="583" w:name="_Toc28087"/>
      <w:bookmarkStart w:id="584" w:name="_Toc78449708"/>
      <w:bookmarkStart w:id="585" w:name="_Toc407135161"/>
      <w:bookmarkStart w:id="586" w:name="_Toc5467"/>
      <w:bookmarkStart w:id="587" w:name="_Toc1235486646"/>
      <w:r>
        <w:rPr>
          <w:color w:val="auto"/>
          <w:highlight w:val="none"/>
        </w:rPr>
        <w:t xml:space="preserve">A4 </w:t>
      </w:r>
      <w:r>
        <w:rPr>
          <w:rFonts w:hint="eastAsia" w:cs="黑体"/>
          <w:color w:val="auto"/>
          <w:highlight w:val="none"/>
        </w:rPr>
        <w:t>详细评审</w:t>
      </w:r>
      <w:bookmarkEnd w:id="581"/>
      <w:bookmarkEnd w:id="582"/>
      <w:bookmarkEnd w:id="583"/>
      <w:bookmarkEnd w:id="584"/>
      <w:bookmarkEnd w:id="585"/>
      <w:bookmarkEnd w:id="586"/>
      <w:bookmarkEnd w:id="587"/>
    </w:p>
    <w:p w14:paraId="62041A82">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14:paraId="0738C97D">
      <w:pPr>
        <w:spacing w:line="360" w:lineRule="auto"/>
        <w:ind w:firstLine="420" w:firstLineChars="200"/>
        <w:rPr>
          <w:color w:val="auto"/>
          <w:highlight w:val="none"/>
        </w:rPr>
      </w:pPr>
      <w:bookmarkStart w:id="588" w:name="_Toc389065221"/>
      <w:r>
        <w:rPr>
          <w:color w:val="auto"/>
          <w:highlight w:val="none"/>
        </w:rPr>
        <w:t>A4.</w:t>
      </w:r>
      <w:r>
        <w:rPr>
          <w:rFonts w:hint="eastAsia"/>
          <w:color w:val="auto"/>
          <w:highlight w:val="none"/>
          <w:lang w:val="en-US" w:eastAsia="zh-CN"/>
        </w:rPr>
        <w:t>1</w:t>
      </w:r>
      <w:r>
        <w:rPr>
          <w:color w:val="auto"/>
          <w:highlight w:val="none"/>
        </w:rPr>
        <w:t xml:space="preserve"> </w:t>
      </w:r>
      <w:r>
        <w:rPr>
          <w:rFonts w:hint="eastAsia" w:cs="宋体"/>
          <w:color w:val="auto"/>
          <w:highlight w:val="none"/>
        </w:rPr>
        <w:t>详细评审的程序</w:t>
      </w:r>
    </w:p>
    <w:p w14:paraId="366BECE0">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14:paraId="0AC9010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）技术标评审（或评分）；</w:t>
      </w:r>
    </w:p>
    <w:p w14:paraId="64D5F1D7">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14:paraId="75ABB832">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）汇总评分结果。</w:t>
      </w:r>
    </w:p>
    <w:p w14:paraId="5C64299C">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2</w:t>
      </w:r>
      <w:r>
        <w:rPr>
          <w:color w:val="auto"/>
          <w:highlight w:val="none"/>
        </w:rPr>
        <w:t xml:space="preserve"> </w:t>
      </w:r>
      <w:r>
        <w:rPr>
          <w:rFonts w:hint="eastAsia" w:cs="宋体"/>
          <w:color w:val="auto"/>
          <w:highlight w:val="none"/>
        </w:rPr>
        <w:t>技术标评审（或评分）</w:t>
      </w:r>
    </w:p>
    <w:p w14:paraId="315F07FD">
      <w:pPr>
        <w:spacing w:line="360" w:lineRule="auto"/>
        <w:ind w:firstLine="420" w:firstLineChars="200"/>
        <w:rPr>
          <w:color w:val="auto"/>
          <w:highlight w:val="none"/>
        </w:rPr>
      </w:pPr>
      <w:r>
        <w:rPr>
          <w:rFonts w:hint="eastAsia" w:cs="宋体"/>
          <w:color w:val="auto"/>
          <w:highlight w:val="none"/>
        </w:rPr>
        <w:t>按照“评标办法前附表”中规定的各项评分因素、评审标准，由技术组评委对施工组织设计进行评审（或评分）。</w:t>
      </w:r>
    </w:p>
    <w:p w14:paraId="5168775C">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 </w:t>
      </w:r>
      <w:r>
        <w:rPr>
          <w:rFonts w:hint="eastAsia" w:cs="宋体"/>
          <w:color w:val="auto"/>
          <w:highlight w:val="none"/>
        </w:rPr>
        <w:t>商务标评审和评分</w:t>
      </w:r>
    </w:p>
    <w:p w14:paraId="61A4BECF">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.1 </w:t>
      </w:r>
      <w:r>
        <w:rPr>
          <w:rFonts w:hint="eastAsia" w:cs="宋体"/>
          <w:color w:val="auto"/>
          <w:highlight w:val="none"/>
        </w:rPr>
        <w:t>经济组评委按照“评标办法前附表”中规定的方法计算</w:t>
      </w:r>
      <w:r>
        <w:rPr>
          <w:color w:val="auto"/>
          <w:highlight w:val="none"/>
        </w:rPr>
        <w:t>“</w:t>
      </w:r>
      <w:r>
        <w:rPr>
          <w:rFonts w:hint="eastAsia" w:cs="宋体"/>
          <w:color w:val="auto"/>
          <w:highlight w:val="none"/>
        </w:rPr>
        <w:t>经评审的合理低价</w:t>
      </w:r>
      <w:r>
        <w:rPr>
          <w:color w:val="auto"/>
          <w:highlight w:val="none"/>
        </w:rPr>
        <w:t>”</w:t>
      </w:r>
      <w:r>
        <w:rPr>
          <w:rFonts w:hint="eastAsia" w:cs="宋体"/>
          <w:color w:val="auto"/>
          <w:highlight w:val="none"/>
        </w:rPr>
        <w:t>。</w:t>
      </w:r>
    </w:p>
    <w:p w14:paraId="5F616638">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.2 </w:t>
      </w:r>
      <w:r>
        <w:rPr>
          <w:rFonts w:hint="eastAsia" w:cs="宋体"/>
          <w:color w:val="auto"/>
          <w:highlight w:val="none"/>
        </w:rPr>
        <w:t>按照“评标办法前附表”中规定的方法，计算各个已通过了初步评审和技术标评审的投标人商务标得分。</w:t>
      </w:r>
    </w:p>
    <w:p w14:paraId="1EAF3125">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4</w:t>
      </w:r>
      <w:r>
        <w:rPr>
          <w:color w:val="auto"/>
          <w:highlight w:val="none"/>
        </w:rPr>
        <w:t xml:space="preserve"> </w:t>
      </w:r>
      <w:r>
        <w:rPr>
          <w:rFonts w:hint="eastAsia" w:cs="宋体"/>
          <w:color w:val="auto"/>
          <w:highlight w:val="none"/>
        </w:rPr>
        <w:t>判断投标报价是否低于成本</w:t>
      </w:r>
      <w:bookmarkEnd w:id="588"/>
    </w:p>
    <w:p w14:paraId="6D643C18">
      <w:pPr>
        <w:spacing w:line="360" w:lineRule="auto"/>
        <w:ind w:firstLine="420" w:firstLineChars="200"/>
        <w:rPr>
          <w:rFonts w:hint="eastAsia" w:cs="宋体"/>
          <w:color w:val="auto"/>
          <w:highlight w:val="none"/>
        </w:rPr>
      </w:pPr>
      <w:r>
        <w:rPr>
          <w:rFonts w:hint="eastAsia" w:cs="宋体"/>
          <w:color w:val="auto"/>
          <w:highlight w:val="none"/>
        </w:rPr>
        <w:t>由评标委员会的经济组评委认定投标人是否以低于成本竞标。</w:t>
      </w:r>
    </w:p>
    <w:p w14:paraId="25B24096">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5</w:t>
      </w:r>
      <w:r>
        <w:rPr>
          <w:color w:val="auto"/>
          <w:highlight w:val="none"/>
        </w:rPr>
        <w:t xml:space="preserve"> </w:t>
      </w:r>
      <w:r>
        <w:rPr>
          <w:rFonts w:hint="eastAsia" w:cs="宋体"/>
          <w:color w:val="auto"/>
          <w:highlight w:val="none"/>
        </w:rPr>
        <w:t>澄清、说明或补正</w:t>
      </w:r>
    </w:p>
    <w:p w14:paraId="6CCA056E">
      <w:pPr>
        <w:spacing w:line="360" w:lineRule="auto"/>
        <w:ind w:firstLine="420" w:firstLineChars="200"/>
        <w:rPr>
          <w:rFonts w:hint="eastAsia" w:cs="宋体"/>
          <w:color w:val="auto"/>
          <w:highlight w:val="none"/>
        </w:rPr>
      </w:pPr>
      <w:r>
        <w:rPr>
          <w:rFonts w:hint="eastAsia" w:cs="宋体"/>
          <w:color w:val="auto"/>
          <w:highlight w:val="none"/>
        </w:rPr>
        <w:t>在评审过程中，评标委员会应当就投标文件中不明确的内容要求投标人进行澄清、说明或者补正。投标人应当根据问题澄清通知要求，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以书面形式予以澄清、说明或者补正。澄清、说明或补正根据本章第</w:t>
      </w:r>
      <w:r>
        <w:rPr>
          <w:color w:val="auto"/>
          <w:highlight w:val="none"/>
        </w:rPr>
        <w:t>3.3</w:t>
      </w:r>
      <w:r>
        <w:rPr>
          <w:rFonts w:hint="eastAsia" w:cs="宋体"/>
          <w:color w:val="auto"/>
          <w:highlight w:val="none"/>
        </w:rPr>
        <w:t>款的规定进行。</w:t>
      </w:r>
      <w:bookmarkStart w:id="589" w:name="_Toc373227532"/>
      <w:bookmarkStart w:id="590" w:name="_Toc368945503"/>
      <w:bookmarkStart w:id="591" w:name="_Toc373478179"/>
      <w:bookmarkStart w:id="592" w:name="_Toc358569502"/>
    </w:p>
    <w:p w14:paraId="48172D9B">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cs="宋体"/>
          <w:color w:val="auto"/>
          <w:highlight w:val="none"/>
          <w:lang w:val="en-US" w:eastAsia="zh-CN"/>
        </w:rPr>
      </w:pPr>
      <w:r>
        <w:rPr>
          <w:rFonts w:hint="eastAsia" w:cs="宋体"/>
          <w:color w:val="auto"/>
          <w:highlight w:val="none"/>
          <w:lang w:val="en-US" w:eastAsia="zh-CN"/>
        </w:rPr>
        <w:t>对投标报价的</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r>
        <w:rPr>
          <w:rFonts w:hint="eastAsia" w:cs="宋体"/>
          <w:color w:val="auto"/>
          <w:highlight w:val="none"/>
          <w:lang w:val="en-US" w:eastAsia="zh-CN"/>
        </w:rPr>
        <w:t xml:space="preserve">  </w:t>
      </w:r>
    </w:p>
    <w:p w14:paraId="1C83A040">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hint="eastAsia" w:ascii="Times New Roman" w:hAnsi="Times New Roman" w:cs="Times New Roman"/>
          <w:color w:val="auto"/>
          <w:highlight w:val="none"/>
          <w:lang w:val="en-US" w:eastAsia="zh-CN"/>
        </w:rPr>
        <w:t>A4</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2BCB37AB">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eastAsia="宋体" w:cs="宋体"/>
          <w:b w:val="0"/>
          <w:bCs w:val="0"/>
          <w:color w:val="auto"/>
          <w:sz w:val="21"/>
          <w:szCs w:val="21"/>
          <w:highlight w:val="none"/>
          <w:lang w:val="en-US" w:eastAsia="zh-CN"/>
        </w:rPr>
        <w:t>存在下列报价合理性疑问的，可要求投标人作出相应的澄清或说明：</w:t>
      </w:r>
    </w:p>
    <w:p w14:paraId="50019330">
      <w:pPr>
        <w:widowControl/>
        <w:tabs>
          <w:tab w:val="left" w:pos="8647"/>
        </w:tabs>
        <w:spacing w:before="87" w:line="360" w:lineRule="auto"/>
        <w:ind w:right="82" w:firstLine="420" w:firstLineChars="20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分部分项工程清单项目的综合单价与同类工程的同期市场竞争合理价格</w:t>
      </w:r>
      <w:r>
        <w:rPr>
          <w:rFonts w:hint="eastAsia" w:ascii="宋体" w:hAnsi="宋体" w:eastAsia="宋体" w:cs="宋体"/>
          <w:color w:val="auto"/>
          <w:spacing w:val="0"/>
          <w:sz w:val="21"/>
          <w:szCs w:val="21"/>
          <w:highlight w:val="none"/>
          <w:lang w:eastAsia="zh-CN"/>
        </w:rPr>
        <w:t>（如无法确认同期市场竞争合理价格的，可与</w:t>
      </w:r>
      <w:r>
        <w:rPr>
          <w:rFonts w:hint="eastAsia" w:ascii="宋体" w:hAnsi="宋体" w:cs="宋体"/>
          <w:color w:val="auto"/>
          <w:spacing w:val="0"/>
          <w:sz w:val="21"/>
          <w:szCs w:val="21"/>
          <w:highlight w:val="none"/>
          <w:lang w:eastAsia="zh-CN"/>
        </w:rPr>
        <w:t>最高投标限价</w:t>
      </w:r>
      <w:r>
        <w:rPr>
          <w:rFonts w:hint="eastAsia" w:ascii="宋体" w:hAnsi="宋体" w:eastAsia="宋体" w:cs="宋体"/>
          <w:color w:val="auto"/>
          <w:spacing w:val="0"/>
          <w:sz w:val="21"/>
          <w:szCs w:val="21"/>
          <w:highlight w:val="none"/>
          <w:lang w:eastAsia="zh-CN"/>
        </w:rPr>
        <w:t>对比）</w:t>
      </w:r>
      <w:r>
        <w:rPr>
          <w:rFonts w:hint="eastAsia" w:ascii="宋体" w:hAnsi="宋体" w:eastAsia="宋体" w:cs="宋体"/>
          <w:color w:val="auto"/>
          <w:spacing w:val="0"/>
          <w:sz w:val="21"/>
          <w:szCs w:val="21"/>
          <w:highlight w:val="none"/>
        </w:rPr>
        <w:t>相比非合理性偏低或偏高</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非合理性偏低或偏高</w:t>
      </w:r>
      <w:r>
        <w:rPr>
          <w:rFonts w:hint="eastAsia" w:ascii="宋体" w:hAnsi="宋体" w:eastAsia="宋体" w:cs="宋体"/>
          <w:color w:val="auto"/>
          <w:spacing w:val="0"/>
          <w:sz w:val="21"/>
          <w:szCs w:val="21"/>
          <w:highlight w:val="none"/>
          <w:lang w:eastAsia="zh-CN"/>
        </w:rPr>
        <w:t>值设定为</w:t>
      </w:r>
      <w:r>
        <w:rPr>
          <w:rFonts w:hint="eastAsia" w:ascii="宋体" w:hAnsi="宋体" w:eastAsia="宋体" w:cs="宋体"/>
          <w:color w:val="auto"/>
          <w:spacing w:val="0"/>
          <w:sz w:val="21"/>
          <w:szCs w:val="21"/>
          <w:highlight w:val="none"/>
          <w:lang w:val="en-US" w:eastAsia="zh-CN"/>
        </w:rPr>
        <w:t>50%以上</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可要求投标人提供证明其所报综合单价不低于成本价或报价合理的支持资料。并可要求投标人在不改变投标总价的前提下，提供用于已标价工程量清单所列清单项目数量增减的计价和工程变更计价的合理修正综合单价。</w:t>
      </w:r>
    </w:p>
    <w:p w14:paraId="37980637">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5D3FD30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6244FBE5">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64908B3A">
      <w:pPr>
        <w:widowControl/>
        <w:tabs>
          <w:tab w:val="left" w:pos="8647"/>
        </w:tabs>
        <w:spacing w:before="0" w:line="360" w:lineRule="auto"/>
        <w:ind w:right="0" w:firstLine="420" w:firstLineChars="200"/>
        <w:jc w:val="left"/>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单价合同中分部分项工程清单项目的综合单价及合价的，该清单项目价格视为包含在其他分部分项工程清单项目中，并要求投标人在不改变投标总价的前提下，提供用于已标价工程量清单所列清单项目数量增减的计价及工程变更计价的合理修正综合单价。</w:t>
      </w:r>
    </w:p>
    <w:p w14:paraId="4C593A84">
      <w:pPr>
        <w:spacing w:line="400" w:lineRule="exact"/>
        <w:ind w:firstLine="42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A4.5.4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4353E028">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621D5996">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（2）投标函内填报的投标总价与已标价工程量清单项目填报的价格累计总额不一致的，应以投标函内投标总价为准，修正工程量清单项目报价累计总额；</w:t>
      </w:r>
    </w:p>
    <w:p w14:paraId="0CADAEAB">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与招标工程量清单内提供的金额不一致的，应以招标工程量清单内提供的金额为准，参照本章第3.3.1款第（1）条规定处理。如不作为无效投标处理的，应按招标工程量清单内提供的金额修正其报价；</w:t>
      </w:r>
    </w:p>
    <w:p w14:paraId="0ED7F517">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290DCB45">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4BC73A7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6A773EDD">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.5</w:t>
      </w:r>
      <w:r>
        <w:rPr>
          <w:rFonts w:hint="eastAsia" w:ascii="宋体" w:hAnsi="宋体" w:cs="宋体"/>
          <w:b w:val="0"/>
          <w:bCs w:val="0"/>
          <w:color w:val="auto"/>
          <w:sz w:val="21"/>
          <w:szCs w:val="21"/>
          <w:highlight w:val="none"/>
          <w:lang w:val="en-US" w:eastAsia="zh-CN"/>
        </w:rPr>
        <w:t>要求澄清或说明的文件应以书面形式发出给相关投标人，投标人应以书面形式予以回复，要求澄清或说明的文件及回复文件在评标、定标过程中应严格保密。</w:t>
      </w:r>
    </w:p>
    <w:p w14:paraId="52F42863">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.6</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7545486B">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.7</w:t>
      </w:r>
      <w:r>
        <w:rPr>
          <w:rFonts w:hint="eastAsia" w:ascii="宋体" w:hAnsi="宋体" w:cs="宋体"/>
          <w:b w:val="0"/>
          <w:bCs w:val="0"/>
          <w:color w:val="auto"/>
          <w:sz w:val="21"/>
          <w:szCs w:val="21"/>
          <w:highlight w:val="none"/>
          <w:lang w:val="en-US" w:eastAsia="zh-CN"/>
        </w:rPr>
        <w:t>评标委员会宜结合要求澄清或说明的文件和投标人提交的澄清或说明回复文件进行评标。如响应要求澄清或说明的文件，提交回复文件的投标人中标，则中标人接收的要求澄清或说明的文件和回复文件可构成合同文件的组成部分，其已标价工程量清单的综合单价及其修正综合单价作为合同单价，应用于合同价款调整的计价。</w:t>
      </w:r>
    </w:p>
    <w:p w14:paraId="28E19024">
      <w:pPr>
        <w:spacing w:line="360" w:lineRule="auto"/>
        <w:ind w:firstLine="420" w:firstLineChars="200"/>
        <w:rPr>
          <w:color w:val="auto"/>
          <w:highlight w:val="none"/>
        </w:rPr>
      </w:pPr>
      <w:r>
        <w:rPr>
          <w:rFonts w:hint="eastAsia" w:ascii="Times New Roman" w:hAnsi="Times New Roman" w:cs="Times New Roman"/>
          <w:color w:val="auto"/>
          <w:highlight w:val="none"/>
          <w:lang w:val="en-US" w:eastAsia="zh-CN"/>
        </w:rPr>
        <w:t>A4.5</w:t>
      </w:r>
      <w:r>
        <w:rPr>
          <w:rFonts w:hint="eastAsia" w:ascii="Times New Roman" w:hAnsi="Times New Roman"/>
          <w:color w:val="auto"/>
          <w:highlight w:val="none"/>
          <w:lang w:val="en-US" w:eastAsia="zh-CN"/>
        </w:rPr>
        <w:t>.8</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5391AAE1">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FC0C753">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6</w:t>
      </w:r>
      <w:r>
        <w:rPr>
          <w:color w:val="auto"/>
          <w:highlight w:val="none"/>
        </w:rPr>
        <w:t xml:space="preserve"> </w:t>
      </w:r>
      <w:r>
        <w:rPr>
          <w:rFonts w:hint="eastAsia" w:cs="宋体"/>
          <w:color w:val="auto"/>
          <w:highlight w:val="none"/>
        </w:rPr>
        <w:t>汇总评分结果</w:t>
      </w:r>
      <w:bookmarkEnd w:id="589"/>
      <w:bookmarkEnd w:id="590"/>
      <w:bookmarkEnd w:id="591"/>
      <w:bookmarkEnd w:id="592"/>
    </w:p>
    <w:p w14:paraId="1015BC01">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bookmarkStart w:id="593" w:name="_Toc389065222"/>
    </w:p>
    <w:p w14:paraId="32440D71">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54829939">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1209DFD3">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14E737BC">
      <w:pPr>
        <w:spacing w:line="360" w:lineRule="auto"/>
        <w:ind w:firstLine="420" w:firstLineChars="200"/>
        <w:rPr>
          <w:rFonts w:hint="eastAsia"/>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12583F98">
      <w:pPr>
        <w:spacing w:line="360" w:lineRule="auto"/>
        <w:ind w:firstLine="420" w:firstLineChars="200"/>
        <w:rPr>
          <w:rFonts w:hint="eastAsia"/>
          <w:color w:val="auto"/>
          <w:highlight w:val="none"/>
        </w:rPr>
      </w:pPr>
    </w:p>
    <w:p w14:paraId="2A95F439">
      <w:pPr>
        <w:pStyle w:val="3"/>
        <w:rPr>
          <w:color w:val="auto"/>
          <w:highlight w:val="none"/>
        </w:rPr>
      </w:pPr>
      <w:bookmarkStart w:id="594" w:name="_Toc407135162"/>
      <w:bookmarkStart w:id="595" w:name="_Toc4330"/>
      <w:bookmarkStart w:id="596" w:name="_Toc16853"/>
      <w:bookmarkStart w:id="597" w:name="_Toc1378288209"/>
      <w:bookmarkStart w:id="598" w:name="_Toc78449709"/>
      <w:bookmarkStart w:id="599" w:name="_Toc1865149619"/>
      <w:r>
        <w:rPr>
          <w:color w:val="auto"/>
          <w:highlight w:val="none"/>
        </w:rPr>
        <w:t xml:space="preserve">A5 </w:t>
      </w:r>
      <w:r>
        <w:rPr>
          <w:rFonts w:hint="eastAsia" w:cs="黑体"/>
          <w:color w:val="auto"/>
          <w:highlight w:val="none"/>
        </w:rPr>
        <w:t>推荐中标候选人或者直接确定中标人</w:t>
      </w:r>
      <w:bookmarkEnd w:id="593"/>
      <w:bookmarkEnd w:id="594"/>
      <w:bookmarkEnd w:id="595"/>
      <w:bookmarkEnd w:id="596"/>
      <w:bookmarkEnd w:id="597"/>
      <w:bookmarkEnd w:id="598"/>
      <w:bookmarkEnd w:id="599"/>
    </w:p>
    <w:p w14:paraId="2411D526">
      <w:pPr>
        <w:spacing w:line="360" w:lineRule="auto"/>
        <w:ind w:firstLine="420" w:firstLineChars="200"/>
        <w:outlineLvl w:val="0"/>
        <w:rPr>
          <w:color w:val="auto"/>
          <w:highlight w:val="none"/>
        </w:rPr>
      </w:pPr>
      <w:r>
        <w:rPr>
          <w:color w:val="auto"/>
          <w:highlight w:val="none"/>
        </w:rPr>
        <w:t xml:space="preserve">A5.1 </w:t>
      </w:r>
      <w:r>
        <w:rPr>
          <w:rFonts w:hint="eastAsia" w:cs="宋体"/>
          <w:color w:val="auto"/>
          <w:highlight w:val="none"/>
        </w:rPr>
        <w:t>汇总评标结果</w:t>
      </w:r>
    </w:p>
    <w:p w14:paraId="7235EE6E">
      <w:pPr>
        <w:spacing w:line="360" w:lineRule="auto"/>
        <w:ind w:firstLine="420" w:firstLineChars="200"/>
        <w:rPr>
          <w:color w:val="auto"/>
          <w:highlight w:val="none"/>
        </w:rPr>
      </w:pPr>
      <w:r>
        <w:rPr>
          <w:rFonts w:hint="eastAsia" w:cs="宋体"/>
          <w:color w:val="auto"/>
          <w:highlight w:val="none"/>
        </w:rPr>
        <w:t>初步评审和详细评审结束后，评标委员会对评标结果进行汇总。</w:t>
      </w:r>
    </w:p>
    <w:p w14:paraId="2FD36C5E">
      <w:pPr>
        <w:spacing w:line="360" w:lineRule="auto"/>
        <w:ind w:firstLine="420" w:firstLineChars="200"/>
        <w:rPr>
          <w:color w:val="auto"/>
          <w:highlight w:val="none"/>
        </w:rPr>
      </w:pPr>
      <w:r>
        <w:rPr>
          <w:color w:val="auto"/>
          <w:highlight w:val="none"/>
        </w:rPr>
        <w:t xml:space="preserve">A5.2 </w:t>
      </w:r>
      <w:r>
        <w:rPr>
          <w:rFonts w:hint="eastAsia" w:cs="宋体"/>
          <w:color w:val="auto"/>
          <w:highlight w:val="none"/>
        </w:rPr>
        <w:t>推荐中标候选人</w:t>
      </w:r>
    </w:p>
    <w:p w14:paraId="43797E16">
      <w:pPr>
        <w:spacing w:line="360" w:lineRule="auto"/>
        <w:ind w:firstLine="420" w:firstLineChars="200"/>
        <w:rPr>
          <w:color w:val="auto"/>
          <w:highlight w:val="none"/>
        </w:rPr>
      </w:pPr>
      <w:r>
        <w:rPr>
          <w:color w:val="auto"/>
          <w:highlight w:val="none"/>
        </w:rPr>
        <w:t xml:space="preserve">A5.2.1 </w:t>
      </w:r>
      <w:r>
        <w:rPr>
          <w:rFonts w:hint="eastAsia" w:cs="宋体"/>
          <w:color w:val="auto"/>
          <w:highlight w:val="none"/>
        </w:rPr>
        <w:t>除第二章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授权直接确定中标人外，评标委员会在推荐中标候选人时，应遵照以下原则：</w:t>
      </w:r>
    </w:p>
    <w:p w14:paraId="3755EC61">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）评标委员会按照最终得分由高到</w:t>
      </w:r>
      <w:r>
        <w:rPr>
          <w:rFonts w:hint="eastAsia" w:cs="宋体"/>
          <w:color w:val="auto"/>
          <w:highlight w:val="none"/>
          <w:lang w:val="en-US" w:eastAsia="zh-CN"/>
        </w:rPr>
        <w:t>低</w:t>
      </w:r>
      <w:r>
        <w:rPr>
          <w:rFonts w:hint="eastAsia" w:cs="宋体"/>
          <w:color w:val="auto"/>
          <w:highlight w:val="none"/>
        </w:rPr>
        <w:t>的次序排列，根据第二章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第</w:t>
      </w:r>
      <w:r>
        <w:rPr>
          <w:color w:val="auto"/>
          <w:highlight w:val="none"/>
        </w:rPr>
        <w:t>7.1</w:t>
      </w:r>
      <w:r>
        <w:rPr>
          <w:rFonts w:hint="eastAsia" w:cs="宋体"/>
          <w:color w:val="auto"/>
          <w:highlight w:val="none"/>
        </w:rPr>
        <w:t>款的规定及本章的规定推荐中标候选人。</w:t>
      </w:r>
    </w:p>
    <w:p w14:paraId="18367BCE">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第</w:t>
      </w:r>
      <w:r>
        <w:rPr>
          <w:color w:val="auto"/>
          <w:highlight w:val="none"/>
        </w:rPr>
        <w:t>7.1</w:t>
      </w:r>
      <w:r>
        <w:rPr>
          <w:rFonts w:hint="eastAsia" w:cs="宋体"/>
          <w:color w:val="auto"/>
          <w:highlight w:val="none"/>
        </w:rPr>
        <w:t>款规定的中标候选人数量的，如经评标委员会评定仍具备竞争性的，可以将所有有效投标按投标人最终得分由高至低的次序作为中标候选人向招标人推荐。如果因评标委员会否决投标后有效投标不足三个且评标委员会评定明显缺乏竞争的，评标委员会可以否决所有投标。</w:t>
      </w:r>
    </w:p>
    <w:p w14:paraId="6DA49C85">
      <w:pPr>
        <w:spacing w:line="360" w:lineRule="auto"/>
        <w:ind w:firstLine="420" w:firstLineChars="200"/>
        <w:rPr>
          <w:color w:val="auto"/>
          <w:highlight w:val="none"/>
        </w:rPr>
      </w:pPr>
      <w:r>
        <w:rPr>
          <w:color w:val="auto"/>
          <w:highlight w:val="none"/>
        </w:rPr>
        <w:t xml:space="preserve">A5.2.2 </w:t>
      </w:r>
      <w:r>
        <w:rPr>
          <w:rFonts w:hint="eastAsia" w:cs="宋体"/>
          <w:color w:val="auto"/>
          <w:highlight w:val="none"/>
        </w:rPr>
        <w:t>投标截止时间前递交投标文件的投标人数量少于三个或者所有投标被否决的，招标人应当依法重新招标。</w:t>
      </w:r>
      <w:bookmarkStart w:id="600" w:name="_Toc389065223"/>
    </w:p>
    <w:p w14:paraId="5656AD04">
      <w:pPr>
        <w:spacing w:line="360" w:lineRule="auto"/>
        <w:ind w:firstLine="420" w:firstLineChars="200"/>
        <w:rPr>
          <w:color w:val="auto"/>
          <w:highlight w:val="none"/>
        </w:rPr>
      </w:pPr>
      <w:r>
        <w:rPr>
          <w:color w:val="auto"/>
          <w:highlight w:val="none"/>
        </w:rPr>
        <w:t xml:space="preserve">A5.3 </w:t>
      </w:r>
      <w:r>
        <w:rPr>
          <w:rFonts w:hint="eastAsia" w:cs="宋体"/>
          <w:color w:val="auto"/>
          <w:highlight w:val="none"/>
        </w:rPr>
        <w:t>直接确定中标人</w:t>
      </w:r>
      <w:bookmarkEnd w:id="600"/>
    </w:p>
    <w:p w14:paraId="77FDFB1E">
      <w:pPr>
        <w:spacing w:line="360" w:lineRule="auto"/>
        <w:ind w:firstLine="420" w:firstLineChars="200"/>
        <w:rPr>
          <w:color w:val="auto"/>
          <w:highlight w:val="none"/>
        </w:rPr>
      </w:pPr>
      <w:r>
        <w:rPr>
          <w:rFonts w:hint="eastAsia" w:cs="宋体"/>
          <w:color w:val="auto"/>
          <w:highlight w:val="none"/>
        </w:rPr>
        <w:t>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授权评标委员会直接确定中标人的，评标委员会对有效的投标按照经济标评分得分由高至低的次序排列，按照本章的规定直接确定中标人。</w:t>
      </w:r>
      <w:bookmarkStart w:id="601" w:name="_Toc389065224"/>
    </w:p>
    <w:p w14:paraId="078126E5">
      <w:pPr>
        <w:spacing w:line="360" w:lineRule="auto"/>
        <w:ind w:firstLine="420" w:firstLineChars="200"/>
        <w:rPr>
          <w:color w:val="auto"/>
          <w:highlight w:val="none"/>
        </w:rPr>
      </w:pPr>
      <w:r>
        <w:rPr>
          <w:color w:val="auto"/>
          <w:highlight w:val="none"/>
        </w:rPr>
        <w:t xml:space="preserve">A5.4 </w:t>
      </w:r>
      <w:r>
        <w:rPr>
          <w:rFonts w:hint="eastAsia" w:cs="宋体"/>
          <w:color w:val="auto"/>
          <w:highlight w:val="none"/>
        </w:rPr>
        <w:t>编制及提交评标报告</w:t>
      </w:r>
      <w:bookmarkEnd w:id="601"/>
    </w:p>
    <w:p w14:paraId="0FA2A16E">
      <w:pPr>
        <w:spacing w:line="360" w:lineRule="auto"/>
        <w:ind w:firstLine="420" w:firstLineChars="200"/>
        <w:rPr>
          <w:color w:val="auto"/>
          <w:highlight w:val="none"/>
        </w:rPr>
      </w:pPr>
      <w:r>
        <w:rPr>
          <w:rFonts w:hint="eastAsia" w:cs="宋体"/>
          <w:color w:val="auto"/>
          <w:highlight w:val="none"/>
        </w:rPr>
        <w:t>评标委员会应向招标人提交评标报告。评标报告应当由全体评标委员会成员加盖个人电子印章，一式三份，招标人、招标代理人、招投标监督管理部门各一份。评标报告应当包括但不限于以下内容：</w:t>
      </w:r>
    </w:p>
    <w:p w14:paraId="6EB6638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14:paraId="1CCEF26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14:paraId="03802E43">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14:paraId="3AA5D537">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14:paraId="04DC2F35">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14:paraId="7A506B90">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14:paraId="249207FF">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bookmarkStart w:id="602" w:name="_Toc389065225"/>
    </w:p>
    <w:p w14:paraId="4B044BA0">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bookmarkEnd w:id="602"/>
    </w:p>
    <w:p w14:paraId="61C930EC">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前附表授权评标委员会直接确定中标人，则为</w:t>
      </w:r>
      <w:r>
        <w:rPr>
          <w:color w:val="auto"/>
          <w:highlight w:val="none"/>
        </w:rPr>
        <w:t>“</w:t>
      </w:r>
      <w:r>
        <w:rPr>
          <w:rFonts w:hint="eastAsia" w:cs="宋体"/>
          <w:color w:val="auto"/>
          <w:highlight w:val="none"/>
        </w:rPr>
        <w:t>确定的中标人</w:t>
      </w:r>
      <w:r>
        <w:rPr>
          <w:color w:val="auto"/>
          <w:highlight w:val="none"/>
        </w:rPr>
        <w:t>”</w:t>
      </w:r>
      <w:r>
        <w:rPr>
          <w:rFonts w:hint="eastAsia" w:cs="宋体"/>
          <w:color w:val="auto"/>
          <w:highlight w:val="none"/>
        </w:rPr>
        <w:t>）与签订合同前要处理的事宜；</w:t>
      </w:r>
    </w:p>
    <w:p w14:paraId="53521280">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）澄清、说明或补正事项纪要。</w:t>
      </w:r>
      <w:bookmarkStart w:id="603" w:name="_Toc389065226"/>
    </w:p>
    <w:p w14:paraId="57765C0A">
      <w:pPr>
        <w:pStyle w:val="3"/>
        <w:rPr>
          <w:color w:val="auto"/>
          <w:highlight w:val="none"/>
        </w:rPr>
      </w:pPr>
      <w:bookmarkStart w:id="604" w:name="_Toc17478"/>
      <w:bookmarkStart w:id="605" w:name="_Toc407135163"/>
      <w:bookmarkStart w:id="606" w:name="_Toc1516801591"/>
      <w:bookmarkStart w:id="607" w:name="_Toc22316"/>
      <w:bookmarkStart w:id="608" w:name="_Toc126230871"/>
      <w:bookmarkStart w:id="609" w:name="_Toc78449710"/>
      <w:r>
        <w:rPr>
          <w:color w:val="auto"/>
          <w:highlight w:val="none"/>
        </w:rPr>
        <w:t xml:space="preserve">A6 </w:t>
      </w:r>
      <w:r>
        <w:rPr>
          <w:rFonts w:hint="eastAsia" w:cs="黑体"/>
          <w:color w:val="auto"/>
          <w:highlight w:val="none"/>
        </w:rPr>
        <w:t>特殊情况的处置程序</w:t>
      </w:r>
      <w:bookmarkEnd w:id="603"/>
      <w:bookmarkEnd w:id="604"/>
      <w:bookmarkEnd w:id="605"/>
      <w:bookmarkEnd w:id="606"/>
      <w:bookmarkEnd w:id="607"/>
      <w:bookmarkEnd w:id="608"/>
      <w:bookmarkEnd w:id="609"/>
    </w:p>
    <w:p w14:paraId="61384782">
      <w:pPr>
        <w:spacing w:line="360" w:lineRule="auto"/>
        <w:ind w:firstLine="420" w:firstLineChars="200"/>
        <w:outlineLvl w:val="0"/>
        <w:rPr>
          <w:color w:val="auto"/>
          <w:highlight w:val="none"/>
        </w:rPr>
      </w:pPr>
      <w:r>
        <w:rPr>
          <w:color w:val="auto"/>
          <w:highlight w:val="none"/>
        </w:rPr>
        <w:t xml:space="preserve">A6.1 </w:t>
      </w:r>
      <w:r>
        <w:rPr>
          <w:rFonts w:hint="eastAsia" w:cs="宋体"/>
          <w:color w:val="auto"/>
          <w:highlight w:val="none"/>
        </w:rPr>
        <w:t>关于评标活动暂停</w:t>
      </w:r>
    </w:p>
    <w:p w14:paraId="52358278">
      <w:pPr>
        <w:spacing w:line="360" w:lineRule="auto"/>
        <w:ind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14:paraId="30434D7E">
      <w:pPr>
        <w:spacing w:line="360" w:lineRule="auto"/>
        <w:ind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bookmarkStart w:id="610" w:name="_Toc389065227"/>
    </w:p>
    <w:p w14:paraId="135651B8">
      <w:pPr>
        <w:spacing w:line="360" w:lineRule="auto"/>
        <w:ind w:firstLine="420" w:firstLineChars="200"/>
        <w:outlineLvl w:val="0"/>
        <w:rPr>
          <w:color w:val="auto"/>
          <w:highlight w:val="none"/>
        </w:rPr>
      </w:pPr>
      <w:r>
        <w:rPr>
          <w:color w:val="auto"/>
          <w:highlight w:val="none"/>
        </w:rPr>
        <w:t xml:space="preserve">A6.2 </w:t>
      </w:r>
      <w:r>
        <w:rPr>
          <w:rFonts w:hint="eastAsia" w:cs="宋体"/>
          <w:color w:val="auto"/>
          <w:highlight w:val="none"/>
        </w:rPr>
        <w:t>关于评标中途更换评标委员会成员</w:t>
      </w:r>
      <w:bookmarkEnd w:id="610"/>
    </w:p>
    <w:p w14:paraId="0B892DB9">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14:paraId="1516CEF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14:paraId="7B0B7836">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14:paraId="79BC5F0C">
      <w:pPr>
        <w:spacing w:line="360" w:lineRule="auto"/>
        <w:ind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退出评标的评标委员会成员，其已完成的评标行为无效。由招标人根据本招标文件规定的评标委员会成员产生方式另行确定替代者进行评标。</w:t>
      </w:r>
      <w:bookmarkStart w:id="611" w:name="_Toc389065228"/>
    </w:p>
    <w:p w14:paraId="03E55AA9">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bookmarkEnd w:id="611"/>
    </w:p>
    <w:p w14:paraId="096EF8F7">
      <w:pPr>
        <w:spacing w:line="360" w:lineRule="auto"/>
        <w:ind w:firstLine="420" w:firstLineChars="200"/>
        <w:rPr>
          <w:color w:val="auto"/>
          <w:highlight w:val="none"/>
        </w:rPr>
      </w:pPr>
      <w:r>
        <w:rPr>
          <w:rFonts w:hint="eastAsia" w:cs="宋体"/>
          <w:color w:val="auto"/>
          <w:highlight w:val="none"/>
        </w:rPr>
        <w:t>在任何评标环节中，需评标委员会就某项定性的评审结论做出表决的，由评标委员会全体成员按照少数服从多数的原则，以记名投票方式表决。</w:t>
      </w:r>
      <w:bookmarkStart w:id="612" w:name="_Toc389065229"/>
    </w:p>
    <w:p w14:paraId="22A45872">
      <w:pPr>
        <w:pStyle w:val="3"/>
        <w:rPr>
          <w:color w:val="auto"/>
          <w:highlight w:val="none"/>
        </w:rPr>
      </w:pPr>
      <w:bookmarkStart w:id="613" w:name="_Toc15052"/>
      <w:bookmarkStart w:id="614" w:name="_Toc78449711"/>
      <w:bookmarkStart w:id="615" w:name="_Toc407135164"/>
      <w:bookmarkStart w:id="616" w:name="_Toc3527"/>
      <w:bookmarkStart w:id="617" w:name="_Toc1465734383"/>
      <w:bookmarkStart w:id="618" w:name="_Toc1836311585"/>
      <w:r>
        <w:rPr>
          <w:color w:val="auto"/>
          <w:highlight w:val="none"/>
        </w:rPr>
        <w:t xml:space="preserve">A7 </w:t>
      </w:r>
      <w:r>
        <w:rPr>
          <w:rFonts w:hint="eastAsia" w:cs="黑体"/>
          <w:color w:val="auto"/>
          <w:highlight w:val="none"/>
        </w:rPr>
        <w:t>补充条款</w:t>
      </w:r>
      <w:bookmarkEnd w:id="612"/>
      <w:bookmarkEnd w:id="613"/>
      <w:bookmarkEnd w:id="614"/>
      <w:bookmarkEnd w:id="615"/>
      <w:bookmarkEnd w:id="616"/>
      <w:bookmarkEnd w:id="617"/>
      <w:bookmarkEnd w:id="618"/>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4DFD1475">
      <w:pPr>
        <w:spacing w:line="360" w:lineRule="auto"/>
        <w:ind w:firstLine="420" w:firstLineChars="200"/>
        <w:outlineLvl w:val="0"/>
        <w:rPr>
          <w:rFonts w:hint="eastAsia"/>
          <w:color w:val="auto"/>
          <w:highlight w:val="none"/>
        </w:rPr>
      </w:pPr>
      <w:r>
        <w:rPr>
          <w:rFonts w:hint="eastAsia" w:ascii="Calibri" w:hAnsi="Calibri" w:cs="Times New Roman"/>
          <w:color w:val="auto"/>
          <w:highlight w:val="none"/>
          <w:shd w:val="clear" w:color="auto" w:fill="auto"/>
          <w:lang w:val="en-US" w:eastAsia="zh-CN"/>
        </w:rPr>
        <w:t>A7.2</w:t>
      </w:r>
      <w:r>
        <w:rPr>
          <w:rFonts w:hint="eastAsia"/>
          <w:color w:val="auto"/>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31BBF485">
      <w:pPr>
        <w:spacing w:line="360" w:lineRule="auto"/>
        <w:ind w:firstLine="420" w:firstLineChars="200"/>
        <w:rPr>
          <w:rFonts w:hint="eastAsia"/>
          <w:color w:val="auto"/>
          <w:highlight w:val="none"/>
        </w:rPr>
        <w:sectPr>
          <w:pgSz w:w="11906" w:h="16838"/>
          <w:pgMar w:top="1440" w:right="1440" w:bottom="1440" w:left="1797" w:header="851" w:footer="850" w:gutter="0"/>
          <w:cols w:space="720" w:num="1"/>
          <w:docGrid w:linePitch="312" w:charSpace="0"/>
        </w:sectPr>
      </w:pPr>
    </w:p>
    <w:p w14:paraId="6E847537">
      <w:pPr>
        <w:pStyle w:val="2"/>
        <w:jc w:val="center"/>
        <w:rPr>
          <w:color w:val="auto"/>
          <w:highlight w:val="none"/>
        </w:rPr>
      </w:pPr>
      <w:bookmarkStart w:id="619" w:name="_Toc389065230"/>
      <w:bookmarkStart w:id="620" w:name="_Toc23274"/>
      <w:bookmarkStart w:id="621" w:name="_Toc78449712"/>
      <w:bookmarkStart w:id="622" w:name="_Toc807414692"/>
      <w:bookmarkStart w:id="623" w:name="_Toc407135165"/>
      <w:r>
        <w:rPr>
          <w:rFonts w:hint="eastAsia" w:cs="黑体"/>
          <w:color w:val="auto"/>
          <w:highlight w:val="none"/>
        </w:rPr>
        <w:t>附件</w:t>
      </w:r>
      <w:r>
        <w:rPr>
          <w:color w:val="auto"/>
          <w:highlight w:val="none"/>
        </w:rPr>
        <w:t>B</w:t>
      </w:r>
      <w:bookmarkEnd w:id="619"/>
      <w:r>
        <w:rPr>
          <w:color w:val="auto"/>
          <w:highlight w:val="none"/>
        </w:rPr>
        <w:t xml:space="preserve">  </w:t>
      </w:r>
      <w:r>
        <w:rPr>
          <w:rFonts w:hint="eastAsia" w:cs="黑体"/>
          <w:color w:val="auto"/>
          <w:highlight w:val="none"/>
        </w:rPr>
        <w:t>否决投标条件</w:t>
      </w:r>
      <w:bookmarkEnd w:id="620"/>
      <w:bookmarkEnd w:id="621"/>
      <w:bookmarkEnd w:id="622"/>
      <w:bookmarkEnd w:id="623"/>
    </w:p>
    <w:p w14:paraId="390165A7">
      <w:pPr>
        <w:pStyle w:val="3"/>
        <w:rPr>
          <w:color w:val="auto"/>
          <w:highlight w:val="none"/>
        </w:rPr>
      </w:pPr>
      <w:bookmarkStart w:id="624" w:name="_Toc78449713"/>
      <w:bookmarkStart w:id="625" w:name="_Toc3481"/>
      <w:bookmarkStart w:id="626" w:name="_Toc2122912343"/>
      <w:bookmarkStart w:id="627" w:name="_Toc3843"/>
      <w:bookmarkStart w:id="628" w:name="_Toc407135166"/>
      <w:bookmarkStart w:id="629" w:name="_Toc20035631"/>
      <w:bookmarkStart w:id="630" w:name="_Toc389065231"/>
      <w:r>
        <w:rPr>
          <w:color w:val="auto"/>
          <w:highlight w:val="none"/>
        </w:rPr>
        <w:t xml:space="preserve">B0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624"/>
      <w:bookmarkEnd w:id="625"/>
      <w:bookmarkEnd w:id="626"/>
      <w:bookmarkEnd w:id="627"/>
      <w:bookmarkEnd w:id="628"/>
      <w:bookmarkEnd w:id="629"/>
    </w:p>
    <w:p w14:paraId="47B03270">
      <w:pPr>
        <w:spacing w:line="360" w:lineRule="auto"/>
        <w:ind w:firstLine="420" w:firstLineChars="200"/>
        <w:rPr>
          <w:color w:val="auto"/>
          <w:highlight w:val="none"/>
        </w:rPr>
      </w:pPr>
      <w:r>
        <w:rPr>
          <w:rFonts w:hint="eastAsia" w:cs="宋体"/>
          <w:color w:val="auto"/>
          <w:highlight w:val="none"/>
        </w:rPr>
        <w:t>本附件所集中列示的否决投标条件，是本章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的组成部分，是对第二章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和本章正文部分所规定的否决投标条件的总结和补充，如果出现相互矛盾的情况，以第二章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14:paraId="01BAE85A">
      <w:pPr>
        <w:pStyle w:val="3"/>
        <w:rPr>
          <w:color w:val="auto"/>
          <w:highlight w:val="none"/>
        </w:rPr>
      </w:pPr>
      <w:bookmarkStart w:id="631" w:name="_Toc9140"/>
      <w:bookmarkStart w:id="632" w:name="_Toc1431002664"/>
      <w:bookmarkStart w:id="633" w:name="_Toc1047915022"/>
      <w:bookmarkStart w:id="634" w:name="_Toc5387"/>
      <w:bookmarkStart w:id="635" w:name="_Toc407135167"/>
      <w:bookmarkStart w:id="636" w:name="_Toc78449714"/>
      <w:r>
        <w:rPr>
          <w:color w:val="auto"/>
          <w:highlight w:val="none"/>
        </w:rPr>
        <w:t xml:space="preserve">B1 </w:t>
      </w:r>
      <w:r>
        <w:rPr>
          <w:rFonts w:hint="eastAsia" w:cs="黑体"/>
          <w:color w:val="auto"/>
          <w:highlight w:val="none"/>
        </w:rPr>
        <w:t>否决投标条件</w:t>
      </w:r>
      <w:bookmarkEnd w:id="631"/>
      <w:bookmarkEnd w:id="632"/>
      <w:bookmarkEnd w:id="633"/>
      <w:bookmarkEnd w:id="634"/>
      <w:bookmarkEnd w:id="635"/>
      <w:bookmarkEnd w:id="636"/>
    </w:p>
    <w:p w14:paraId="4703A228">
      <w:pPr>
        <w:spacing w:line="360" w:lineRule="auto"/>
        <w:ind w:firstLine="420" w:firstLineChars="200"/>
        <w:rPr>
          <w:color w:val="auto"/>
          <w:highlight w:val="none"/>
        </w:rPr>
      </w:pPr>
      <w:r>
        <w:rPr>
          <w:rFonts w:hint="eastAsia" w:cs="宋体"/>
          <w:color w:val="auto"/>
          <w:highlight w:val="none"/>
        </w:rPr>
        <w:t>投标人或其投标文件有下列情形之一的，其投标作否决投标处理：</w:t>
      </w:r>
    </w:p>
    <w:p w14:paraId="15E11541">
      <w:pPr>
        <w:spacing w:line="360" w:lineRule="auto"/>
        <w:ind w:firstLine="420" w:firstLineChars="200"/>
        <w:rPr>
          <w:color w:val="auto"/>
          <w:highlight w:val="none"/>
        </w:rPr>
      </w:pPr>
      <w:r>
        <w:rPr>
          <w:color w:val="auto"/>
          <w:highlight w:val="none"/>
        </w:rPr>
        <w:t xml:space="preserve">B1.1 </w:t>
      </w:r>
      <w:r>
        <w:rPr>
          <w:rFonts w:hint="eastAsia" w:cs="宋体"/>
          <w:color w:val="auto"/>
          <w:highlight w:val="none"/>
        </w:rPr>
        <w:t>有第二章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1.4.</w:t>
      </w:r>
      <w:r>
        <w:rPr>
          <w:rFonts w:hint="eastAsia"/>
          <w:color w:val="auto"/>
          <w:highlight w:val="none"/>
          <w:lang w:eastAsia="zh-CN"/>
        </w:rPr>
        <w:t>3.</w:t>
      </w:r>
      <w:r>
        <w:rPr>
          <w:rFonts w:hint="eastAsia"/>
          <w:color w:val="auto"/>
          <w:highlight w:val="none"/>
        </w:rPr>
        <w:t>1.4.4</w:t>
      </w:r>
      <w:r>
        <w:rPr>
          <w:rFonts w:hint="eastAsia" w:cs="宋体"/>
          <w:color w:val="auto"/>
          <w:highlight w:val="none"/>
        </w:rPr>
        <w:t>项规定的任何一种情形的；</w:t>
      </w:r>
    </w:p>
    <w:p w14:paraId="57B19F9A">
      <w:pPr>
        <w:spacing w:line="360" w:lineRule="auto"/>
        <w:ind w:firstLine="420" w:firstLineChars="200"/>
        <w:rPr>
          <w:color w:val="auto"/>
          <w:highlight w:val="none"/>
        </w:rPr>
      </w:pPr>
      <w:r>
        <w:rPr>
          <w:color w:val="auto"/>
          <w:highlight w:val="none"/>
        </w:rPr>
        <w:t xml:space="preserve">B1.2 </w:t>
      </w:r>
      <w:r>
        <w:rPr>
          <w:rFonts w:hint="eastAsia" w:cs="宋体"/>
          <w:color w:val="auto"/>
          <w:highlight w:val="none"/>
        </w:rPr>
        <w:t>有串通投标或弄虚作假或有其他违法行为的；</w:t>
      </w:r>
    </w:p>
    <w:p w14:paraId="3E9FB843">
      <w:pPr>
        <w:spacing w:line="360" w:lineRule="auto"/>
        <w:ind w:firstLine="420" w:firstLineChars="200"/>
        <w:rPr>
          <w:color w:val="auto"/>
          <w:highlight w:val="none"/>
        </w:rPr>
      </w:pPr>
      <w:r>
        <w:rPr>
          <w:color w:val="auto"/>
          <w:highlight w:val="none"/>
        </w:rPr>
        <w:t xml:space="preserve">B1.3 </w:t>
      </w:r>
      <w:r>
        <w:rPr>
          <w:rFonts w:hint="eastAsia" w:cs="宋体"/>
          <w:color w:val="auto"/>
          <w:highlight w:val="none"/>
        </w:rPr>
        <w:t>不按评标委员会要求澄清、说明或补正的；</w:t>
      </w:r>
    </w:p>
    <w:p w14:paraId="08920ED8">
      <w:pPr>
        <w:spacing w:line="360" w:lineRule="auto"/>
        <w:ind w:firstLine="420" w:firstLineChars="200"/>
        <w:rPr>
          <w:color w:val="auto"/>
          <w:highlight w:val="none"/>
        </w:rPr>
      </w:pPr>
      <w:r>
        <w:rPr>
          <w:color w:val="auto"/>
          <w:highlight w:val="none"/>
        </w:rPr>
        <w:t xml:space="preserve">B1.4 </w:t>
      </w:r>
      <w:r>
        <w:rPr>
          <w:rFonts w:hint="eastAsia" w:cs="宋体"/>
          <w:color w:val="auto"/>
          <w:highlight w:val="none"/>
        </w:rPr>
        <w:t>在形式评审、响应性评审、资格评审中，评标委员会认定投标人的投标文件不符合</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中规定的任何一项评审标准的</w:t>
      </w:r>
      <w:r>
        <w:rPr>
          <w:rFonts w:hint="eastAsia" w:ascii="方正楷体_GB2312" w:hAnsi="方正楷体_GB2312" w:eastAsia="方正楷体_GB2312" w:cs="方正楷体_GB2312"/>
          <w:color w:val="auto"/>
          <w:highlight w:val="none"/>
        </w:rPr>
        <w:t>【备注：如资格审查采用有限数量制时，资格审查的评审内容按打分制给予对应分值，无相关证明材料的给予0分，但不做否决投标处理，明确否决的除外</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w:t>
      </w:r>
    </w:p>
    <w:p w14:paraId="2B7F00A4">
      <w:pPr>
        <w:spacing w:line="360" w:lineRule="auto"/>
        <w:ind w:firstLine="420" w:firstLineChars="200"/>
        <w:rPr>
          <w:color w:val="auto"/>
          <w:highlight w:val="none"/>
        </w:rPr>
      </w:pPr>
      <w:r>
        <w:rPr>
          <w:color w:val="auto"/>
          <w:highlight w:val="none"/>
        </w:rPr>
        <w:t xml:space="preserve">B1.5 </w:t>
      </w:r>
      <w:r>
        <w:rPr>
          <w:rFonts w:hint="eastAsia" w:cs="宋体"/>
          <w:color w:val="auto"/>
          <w:highlight w:val="none"/>
        </w:rPr>
        <w:t>在技术标评审中，评标委员会认定投标人的投标未能通过此项评审的；</w:t>
      </w:r>
    </w:p>
    <w:p w14:paraId="0816B1DF">
      <w:pPr>
        <w:spacing w:line="360" w:lineRule="auto"/>
        <w:ind w:firstLine="420" w:firstLineChars="200"/>
        <w:rPr>
          <w:color w:val="auto"/>
          <w:highlight w:val="none"/>
        </w:rPr>
      </w:pPr>
      <w:r>
        <w:rPr>
          <w:color w:val="auto"/>
          <w:highlight w:val="none"/>
        </w:rPr>
        <w:t xml:space="preserve">B1.6 </w:t>
      </w:r>
      <w:r>
        <w:rPr>
          <w:rFonts w:hint="eastAsia" w:cs="宋体"/>
          <w:color w:val="auto"/>
          <w:highlight w:val="none"/>
        </w:rPr>
        <w:t>不按第二章投标须知前附表第</w:t>
      </w:r>
      <w:r>
        <w:rPr>
          <w:color w:val="auto"/>
          <w:highlight w:val="none"/>
        </w:rPr>
        <w:t>3.1.1</w:t>
      </w:r>
      <w:r>
        <w:rPr>
          <w:rFonts w:hint="eastAsia" w:cs="宋体"/>
          <w:color w:val="auto"/>
          <w:highlight w:val="none"/>
        </w:rPr>
        <w:t>条内容提供资料的；</w:t>
      </w:r>
    </w:p>
    <w:p w14:paraId="7272AA20">
      <w:pPr>
        <w:spacing w:line="360" w:lineRule="auto"/>
        <w:ind w:firstLine="420" w:firstLineChars="200"/>
        <w:rPr>
          <w:rFonts w:cs="宋体"/>
          <w:color w:val="auto"/>
          <w:highlight w:val="none"/>
        </w:rPr>
      </w:pPr>
      <w:r>
        <w:rPr>
          <w:color w:val="auto"/>
          <w:highlight w:val="none"/>
        </w:rPr>
        <w:t xml:space="preserve">B1.7 </w:t>
      </w:r>
      <w:r>
        <w:rPr>
          <w:rFonts w:hint="eastAsia" w:cs="宋体"/>
          <w:color w:val="auto"/>
          <w:highlight w:val="none"/>
        </w:rPr>
        <w:t>没有在招标文件规定的电子投标文件相关位置加盖投标人法人单位及法定代表人电子印章的；</w:t>
      </w:r>
    </w:p>
    <w:p w14:paraId="458F4A33">
      <w:pPr>
        <w:spacing w:line="360" w:lineRule="auto"/>
        <w:ind w:firstLine="420" w:firstLineChars="200"/>
        <w:rPr>
          <w:rFonts w:hint="eastAsia"/>
          <w:color w:val="auto"/>
          <w:highlight w:val="none"/>
        </w:rPr>
      </w:pPr>
      <w:r>
        <w:rPr>
          <w:color w:val="auto"/>
          <w:highlight w:val="none"/>
        </w:rPr>
        <w:t>B1.8</w:t>
      </w:r>
      <w:r>
        <w:rPr>
          <w:rFonts w:hint="eastAsia"/>
          <w:color w:val="auto"/>
          <w:highlight w:val="none"/>
          <w:lang w:eastAsia="zh-CN"/>
        </w:rPr>
        <w:t>开标验证中，</w:t>
      </w:r>
      <w:r>
        <w:rPr>
          <w:rFonts w:hint="eastAsia"/>
          <w:color w:val="auto"/>
          <w:highlight w:val="none"/>
        </w:rPr>
        <w:t>通过身份证验证的专职投标员与投标文件资格审核文件内的专职投标员非同一人的；</w:t>
      </w:r>
    </w:p>
    <w:p w14:paraId="26BA93C1">
      <w:pPr>
        <w:spacing w:line="360" w:lineRule="auto"/>
        <w:ind w:firstLine="420" w:firstLineChars="200"/>
        <w:rPr>
          <w:color w:val="auto"/>
          <w:highlight w:val="none"/>
        </w:rPr>
      </w:pPr>
      <w:r>
        <w:rPr>
          <w:color w:val="auto"/>
          <w:highlight w:val="none"/>
        </w:rPr>
        <w:t xml:space="preserve">B1.9 </w:t>
      </w:r>
      <w:r>
        <w:rPr>
          <w:rFonts w:hint="eastAsia" w:cs="宋体"/>
          <w:color w:val="auto"/>
          <w:highlight w:val="none"/>
        </w:rPr>
        <w:t>投标文件的关键内容字迹模糊、辨认不清的；</w:t>
      </w:r>
    </w:p>
    <w:p w14:paraId="3B7D63D3">
      <w:pPr>
        <w:spacing w:line="360" w:lineRule="auto"/>
        <w:ind w:firstLine="420" w:firstLineChars="200"/>
        <w:rPr>
          <w:color w:val="auto"/>
          <w:highlight w:val="none"/>
        </w:rPr>
      </w:pPr>
      <w:r>
        <w:rPr>
          <w:color w:val="auto"/>
          <w:highlight w:val="none"/>
        </w:rPr>
        <w:t>B1.10</w:t>
      </w:r>
      <w:r>
        <w:rPr>
          <w:rFonts w:hint="eastAsia" w:cs="宋体"/>
          <w:color w:val="auto"/>
          <w:highlight w:val="none"/>
        </w:rPr>
        <w:t>投标人不接受评标委员会按第三章</w:t>
      </w:r>
      <w:r>
        <w:rPr>
          <w:color w:val="auto"/>
          <w:highlight w:val="none"/>
        </w:rPr>
        <w:t>“</w:t>
      </w:r>
      <w:r>
        <w:rPr>
          <w:rFonts w:hint="eastAsia" w:cs="宋体"/>
          <w:color w:val="auto"/>
          <w:highlight w:val="none"/>
        </w:rPr>
        <w:t>评标办法</w:t>
      </w:r>
      <w:r>
        <w:rPr>
          <w:color w:val="auto"/>
          <w:highlight w:val="none"/>
        </w:rPr>
        <w:t>”</w:t>
      </w:r>
      <w:r>
        <w:rPr>
          <w:rFonts w:hint="eastAsia"/>
          <w:color w:val="auto"/>
          <w:highlight w:val="none"/>
          <w:lang w:eastAsia="zh-CN"/>
        </w:rPr>
        <w:t>正文</w:t>
      </w:r>
      <w:r>
        <w:rPr>
          <w:rFonts w:hint="eastAsia" w:cs="宋体"/>
          <w:color w:val="auto"/>
          <w:highlight w:val="none"/>
        </w:rPr>
        <w:t>第</w:t>
      </w:r>
      <w:r>
        <w:rPr>
          <w:color w:val="auto"/>
          <w:highlight w:val="none"/>
        </w:rPr>
        <w:t>3.1.3</w:t>
      </w:r>
      <w:r>
        <w:rPr>
          <w:rFonts w:hint="eastAsia" w:cs="宋体"/>
          <w:color w:val="auto"/>
          <w:highlight w:val="none"/>
        </w:rPr>
        <w:t>条的原则对投标报价进行修正的；</w:t>
      </w:r>
    </w:p>
    <w:p w14:paraId="6C362163">
      <w:pPr>
        <w:spacing w:line="360" w:lineRule="auto"/>
        <w:ind w:firstLine="420" w:firstLineChars="200"/>
        <w:rPr>
          <w:color w:val="auto"/>
          <w:highlight w:val="none"/>
        </w:rPr>
      </w:pPr>
      <w:r>
        <w:rPr>
          <w:color w:val="auto"/>
          <w:highlight w:val="none"/>
        </w:rPr>
        <w:t xml:space="preserve">B1.11 </w:t>
      </w:r>
      <w:r>
        <w:rPr>
          <w:rFonts w:hint="eastAsia" w:cs="宋体"/>
          <w:color w:val="auto"/>
          <w:highlight w:val="none"/>
        </w:rPr>
        <w:t>投标人不具备独立法人资格或作为独立法人资格但就本工程提交一个以上的投标文件的；</w:t>
      </w:r>
    </w:p>
    <w:p w14:paraId="4EA7D8DA">
      <w:pPr>
        <w:spacing w:line="360" w:lineRule="auto"/>
        <w:ind w:firstLine="420" w:firstLineChars="200"/>
        <w:rPr>
          <w:color w:val="auto"/>
          <w:highlight w:val="none"/>
        </w:rPr>
      </w:pPr>
      <w:r>
        <w:rPr>
          <w:color w:val="auto"/>
          <w:highlight w:val="none"/>
        </w:rPr>
        <w:t>B1.12</w:t>
      </w:r>
      <w:r>
        <w:rPr>
          <w:rFonts w:hint="eastAsia" w:cs="宋体"/>
          <w:color w:val="auto"/>
          <w:highlight w:val="none"/>
        </w:rPr>
        <w:t>在单价合同工程中投标人采用总价优惠或以总价百分比优惠的方式进行投标报价的；</w:t>
      </w:r>
    </w:p>
    <w:p w14:paraId="6F7A1D46">
      <w:pPr>
        <w:spacing w:line="360" w:lineRule="auto"/>
        <w:ind w:firstLine="420" w:firstLineChars="200"/>
        <w:rPr>
          <w:color w:val="auto"/>
          <w:highlight w:val="none"/>
        </w:rPr>
      </w:pPr>
      <w:r>
        <w:rPr>
          <w:color w:val="auto"/>
          <w:highlight w:val="none"/>
        </w:rPr>
        <w:t xml:space="preserve">B1.13  </w:t>
      </w:r>
      <w:r>
        <w:rPr>
          <w:rFonts w:hint="eastAsia" w:cs="宋体"/>
          <w:color w:val="auto"/>
          <w:highlight w:val="none"/>
        </w:rPr>
        <w:t>安全</w:t>
      </w:r>
      <w:r>
        <w:rPr>
          <w:rFonts w:hint="eastAsia" w:cs="宋体"/>
          <w:color w:val="auto"/>
          <w:highlight w:val="none"/>
          <w:lang w:eastAsia="zh-CN"/>
        </w:rPr>
        <w:t>生产费</w:t>
      </w:r>
      <w:r>
        <w:rPr>
          <w:rFonts w:hint="eastAsia" w:cs="宋体"/>
          <w:color w:val="auto"/>
          <w:highlight w:val="none"/>
        </w:rPr>
        <w:t>不按</w:t>
      </w:r>
      <w:r>
        <w:rPr>
          <w:rFonts w:hint="eastAsia" w:cs="宋体"/>
          <w:color w:val="auto"/>
          <w:highlight w:val="none"/>
          <w:lang w:eastAsia="zh-CN"/>
        </w:rPr>
        <w:t>自治区</w:t>
      </w:r>
      <w:r>
        <w:rPr>
          <w:rFonts w:hint="eastAsia" w:cs="宋体"/>
          <w:color w:val="auto"/>
          <w:highlight w:val="none"/>
          <w:lang w:val="en-US" w:eastAsia="zh-CN"/>
        </w:rPr>
        <w:t>建设主管部门颁发的相应规定费率计价</w:t>
      </w:r>
      <w:r>
        <w:rPr>
          <w:rFonts w:hint="eastAsia" w:cs="宋体"/>
          <w:color w:val="auto"/>
          <w:highlight w:val="none"/>
        </w:rPr>
        <w:t>的；</w:t>
      </w:r>
    </w:p>
    <w:p w14:paraId="2F503386">
      <w:pPr>
        <w:spacing w:line="360" w:lineRule="auto"/>
        <w:ind w:firstLine="420" w:firstLineChars="200"/>
        <w:rPr>
          <w:rFonts w:cs="宋体"/>
          <w:color w:val="auto"/>
          <w:highlight w:val="none"/>
        </w:rPr>
      </w:pPr>
      <w:r>
        <w:rPr>
          <w:color w:val="auto"/>
          <w:highlight w:val="none"/>
        </w:rPr>
        <w:t xml:space="preserve">B1.14 </w:t>
      </w:r>
      <w:r>
        <w:rPr>
          <w:rFonts w:hint="eastAsia" w:cs="宋体"/>
          <w:color w:val="auto"/>
          <w:highlight w:val="none"/>
        </w:rPr>
        <w:t>投标文件实质上没有响应招标文件的要求的</w:t>
      </w:r>
      <w:r>
        <w:rPr>
          <w:rFonts w:hint="eastAsia" w:cs="宋体"/>
          <w:color w:val="auto"/>
          <w:highlight w:val="none"/>
          <w:lang w:eastAsia="zh-CN"/>
        </w:rPr>
        <w:t>（</w:t>
      </w:r>
      <w:r>
        <w:rPr>
          <w:rFonts w:hint="eastAsia" w:cs="宋体"/>
          <w:color w:val="auto"/>
          <w:highlight w:val="none"/>
        </w:rPr>
        <w:t>包括</w:t>
      </w:r>
      <w:r>
        <w:rPr>
          <w:rFonts w:cs="宋体"/>
          <w:color w:val="auto"/>
          <w:highlight w:val="none"/>
        </w:rPr>
        <w:t>：质量要求、工期、技术标准和要求、合同</w:t>
      </w:r>
      <w:r>
        <w:rPr>
          <w:rFonts w:hint="eastAsia" w:cs="宋体"/>
          <w:color w:val="auto"/>
          <w:highlight w:val="none"/>
        </w:rPr>
        <w:t>价款</w:t>
      </w:r>
      <w:r>
        <w:rPr>
          <w:rFonts w:cs="宋体"/>
          <w:color w:val="auto"/>
          <w:highlight w:val="none"/>
        </w:rPr>
        <w:t>主要条款、投标有效期等</w:t>
      </w:r>
      <w:r>
        <w:rPr>
          <w:rFonts w:hint="eastAsia" w:cs="宋体"/>
          <w:color w:val="auto"/>
          <w:highlight w:val="none"/>
          <w:lang w:eastAsia="zh-CN"/>
        </w:rPr>
        <w:t>）</w:t>
      </w:r>
      <w:r>
        <w:rPr>
          <w:rFonts w:hint="eastAsia" w:cs="宋体"/>
          <w:color w:val="auto"/>
          <w:highlight w:val="none"/>
        </w:rPr>
        <w:t>；</w:t>
      </w:r>
    </w:p>
    <w:bookmarkEnd w:id="630"/>
    <w:p w14:paraId="30385B36">
      <w:pPr>
        <w:spacing w:line="360" w:lineRule="auto"/>
        <w:ind w:firstLine="420" w:firstLineChars="200"/>
        <w:rPr>
          <w:color w:val="auto"/>
          <w:highlight w:val="none"/>
        </w:rPr>
      </w:pPr>
      <w:r>
        <w:rPr>
          <w:color w:val="auto"/>
          <w:highlight w:val="none"/>
        </w:rPr>
        <w:t>B1.1</w:t>
      </w:r>
      <w:r>
        <w:rPr>
          <w:rFonts w:hint="eastAsia"/>
          <w:color w:val="auto"/>
          <w:highlight w:val="none"/>
          <w:lang w:val="en-US" w:eastAsia="zh-CN"/>
        </w:rPr>
        <w:t>5</w:t>
      </w:r>
      <w:r>
        <w:rPr>
          <w:color w:val="auto"/>
          <w:highlight w:val="none"/>
        </w:rPr>
        <w:t xml:space="preserve"> </w:t>
      </w:r>
      <w:r>
        <w:rPr>
          <w:rFonts w:hint="eastAsia" w:cs="宋体"/>
          <w:color w:val="auto"/>
          <w:highlight w:val="none"/>
        </w:rPr>
        <w:t>投标人未按照招标文件第二章投标人须知第</w:t>
      </w:r>
      <w:r>
        <w:rPr>
          <w:color w:val="auto"/>
          <w:highlight w:val="none"/>
        </w:rPr>
        <w:t>3.4</w:t>
      </w:r>
      <w:r>
        <w:rPr>
          <w:rFonts w:hint="eastAsia" w:cs="宋体"/>
          <w:color w:val="auto"/>
          <w:highlight w:val="none"/>
        </w:rPr>
        <w:t>条的要求提供投标保证金的或未按规定提交投标保证金证明材料的；</w:t>
      </w:r>
    </w:p>
    <w:p w14:paraId="2060694D">
      <w:pPr>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16</w:t>
      </w:r>
      <w:r>
        <w:rPr>
          <w:rFonts w:hint="eastAsia" w:cs="宋体"/>
          <w:color w:val="auto"/>
          <w:highlight w:val="none"/>
        </w:rPr>
        <w:t>（</w:t>
      </w:r>
      <w:r>
        <w:rPr>
          <w:color w:val="auto"/>
          <w:highlight w:val="none"/>
        </w:rPr>
        <w:t>1</w:t>
      </w:r>
      <w:r>
        <w:rPr>
          <w:rFonts w:hint="eastAsia" w:cs="宋体"/>
          <w:color w:val="auto"/>
          <w:highlight w:val="none"/>
        </w:rPr>
        <w:t>）投标人拟投入本工程的项目经理在在建项目或已中标未开工项目中任项目经理的（符合法规规定的特殊情况和</w:t>
      </w:r>
      <w:r>
        <w:rPr>
          <w:rFonts w:hint="eastAsia" w:ascii="宋体" w:hAnsi="宋体"/>
          <w:color w:val="auto"/>
          <w:highlight w:val="none"/>
        </w:rPr>
        <w:t>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cs="宋体"/>
          <w:color w:val="auto"/>
          <w:highlight w:val="none"/>
        </w:rPr>
        <w:t>文要求的除外）或已列为其他项目中标候选人第一名的项目经理或无有效安全生产考核合格证（</w:t>
      </w:r>
      <w:r>
        <w:rPr>
          <w:color w:val="auto"/>
          <w:highlight w:val="none"/>
        </w:rPr>
        <w:t>B</w:t>
      </w:r>
      <w:r>
        <w:rPr>
          <w:rFonts w:hint="eastAsia" w:cs="宋体"/>
          <w:color w:val="auto"/>
          <w:highlight w:val="none"/>
        </w:rPr>
        <w:t>类）的；</w:t>
      </w:r>
    </w:p>
    <w:p w14:paraId="0FCEE0A4">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）投标人拟投入本工程的项目专职安全人员在在建项目中任专职安全生产管理人员的（符合法规规定的特殊情况和</w:t>
      </w:r>
      <w:r>
        <w:rPr>
          <w:rFonts w:hint="eastAsia" w:ascii="宋体" w:hAnsi="宋体"/>
          <w:color w:val="auto"/>
          <w:highlight w:val="none"/>
        </w:rPr>
        <w:t>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cs="宋体"/>
          <w:color w:val="auto"/>
          <w:highlight w:val="none"/>
        </w:rPr>
        <w:t>文要求的除外）或无有效安全生产考核合格证（</w:t>
      </w:r>
      <w:r>
        <w:rPr>
          <w:color w:val="auto"/>
          <w:highlight w:val="none"/>
        </w:rPr>
        <w:t>C</w:t>
      </w:r>
      <w:r>
        <w:rPr>
          <w:rFonts w:hint="eastAsia" w:cs="宋体"/>
          <w:color w:val="auto"/>
          <w:highlight w:val="none"/>
        </w:rPr>
        <w:t>类）的；</w:t>
      </w:r>
    </w:p>
    <w:p w14:paraId="3702C71E">
      <w:pPr>
        <w:pStyle w:val="140"/>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17</w:t>
      </w:r>
      <w:r>
        <w:rPr>
          <w:rFonts w:hint="eastAsia" w:cs="宋体"/>
          <w:color w:val="auto"/>
          <w:highlight w:val="none"/>
        </w:rPr>
        <w:t>组成联合体投标的，投标文件未附联合体各方共同投标协议书的；</w:t>
      </w:r>
    </w:p>
    <w:p w14:paraId="4F6FFD5E">
      <w:pPr>
        <w:pStyle w:val="140"/>
        <w:spacing w:line="360" w:lineRule="auto"/>
        <w:ind w:firstLine="420" w:firstLineChars="200"/>
        <w:rPr>
          <w:color w:val="auto"/>
          <w:highlight w:val="none"/>
        </w:rPr>
      </w:pPr>
      <w:r>
        <w:rPr>
          <w:color w:val="auto"/>
          <w:highlight w:val="none"/>
        </w:rPr>
        <w:t>B1.</w:t>
      </w:r>
      <w:r>
        <w:rPr>
          <w:rFonts w:hint="eastAsia"/>
          <w:color w:val="auto"/>
          <w:highlight w:val="none"/>
          <w:lang w:val="en-US" w:eastAsia="zh-CN"/>
        </w:rPr>
        <w:t>18</w:t>
      </w:r>
      <w:r>
        <w:rPr>
          <w:rFonts w:hint="eastAsia" w:cs="宋体"/>
          <w:color w:val="auto"/>
          <w:highlight w:val="none"/>
        </w:rPr>
        <w:t>投标人的投标总价超出</w:t>
      </w:r>
      <w:r>
        <w:rPr>
          <w:rFonts w:hint="eastAsia" w:cs="宋体"/>
          <w:color w:val="auto"/>
          <w:highlight w:val="none"/>
          <w:lang w:eastAsia="zh-CN"/>
        </w:rPr>
        <w:t>最高投标限价</w:t>
      </w:r>
      <w:r>
        <w:rPr>
          <w:rFonts w:hint="eastAsia" w:cs="宋体"/>
          <w:color w:val="auto"/>
          <w:highlight w:val="none"/>
        </w:rPr>
        <w:t>的；</w:t>
      </w:r>
    </w:p>
    <w:p w14:paraId="494D28A0">
      <w:pPr>
        <w:pStyle w:val="140"/>
        <w:spacing w:line="360" w:lineRule="auto"/>
        <w:ind w:firstLine="420" w:firstLineChars="200"/>
        <w:rPr>
          <w:rFonts w:cs="宋体"/>
          <w:color w:val="auto"/>
          <w:highlight w:val="none"/>
        </w:rPr>
      </w:pPr>
      <w:r>
        <w:rPr>
          <w:color w:val="auto"/>
          <w:highlight w:val="none"/>
        </w:rPr>
        <w:t>B1.</w:t>
      </w:r>
      <w:r>
        <w:rPr>
          <w:rFonts w:hint="eastAsia"/>
          <w:color w:val="auto"/>
          <w:highlight w:val="none"/>
          <w:lang w:val="en-US" w:eastAsia="zh-CN"/>
        </w:rPr>
        <w:t>19</w:t>
      </w:r>
      <w:r>
        <w:rPr>
          <w:color w:val="auto"/>
          <w:highlight w:val="none"/>
        </w:rPr>
        <w:t xml:space="preserve"> </w:t>
      </w:r>
      <w:r>
        <w:rPr>
          <w:rFonts w:hint="eastAsia" w:cs="宋体"/>
          <w:color w:val="auto"/>
          <w:highlight w:val="none"/>
        </w:rPr>
        <w:t>开标时通过身份证验证的专职投标</w:t>
      </w:r>
      <w:r>
        <w:rPr>
          <w:rFonts w:cs="宋体"/>
          <w:color w:val="auto"/>
          <w:highlight w:val="none"/>
        </w:rPr>
        <w:t>员</w:t>
      </w:r>
      <w:r>
        <w:rPr>
          <w:rFonts w:hint="eastAsia" w:cs="宋体"/>
          <w:color w:val="auto"/>
          <w:highlight w:val="none"/>
        </w:rPr>
        <w:t>、项目经理、专职安全生产管理人员与投标文件中的专职投标</w:t>
      </w:r>
      <w:r>
        <w:rPr>
          <w:rFonts w:cs="宋体"/>
          <w:color w:val="auto"/>
          <w:highlight w:val="none"/>
        </w:rPr>
        <w:t>员</w:t>
      </w:r>
      <w:r>
        <w:rPr>
          <w:rFonts w:hint="eastAsia" w:cs="宋体"/>
          <w:color w:val="auto"/>
          <w:highlight w:val="none"/>
        </w:rPr>
        <w:t>、项目经理、专职安全生产管理人员不一致的；</w:t>
      </w:r>
    </w:p>
    <w:p w14:paraId="460D9D89">
      <w:pPr>
        <w:pStyle w:val="140"/>
        <w:spacing w:line="360" w:lineRule="auto"/>
        <w:ind w:firstLine="420" w:firstLineChars="200"/>
        <w:rPr>
          <w:color w:val="auto"/>
          <w:highlight w:val="none"/>
        </w:rPr>
      </w:pPr>
      <w:r>
        <w:rPr>
          <w:color w:val="auto"/>
          <w:highlight w:val="none"/>
        </w:rPr>
        <w:t>B1.2</w:t>
      </w:r>
      <w:r>
        <w:rPr>
          <w:rFonts w:hint="eastAsia"/>
          <w:color w:val="auto"/>
          <w:highlight w:val="none"/>
          <w:lang w:eastAsia="zh-CN"/>
        </w:rPr>
        <w:t>0</w:t>
      </w:r>
      <w:r>
        <w:rPr>
          <w:rFonts w:hint="eastAsia"/>
          <w:color w:val="auto"/>
          <w:highlight w:val="none"/>
        </w:rPr>
        <w:t>投标</w:t>
      </w:r>
      <w:r>
        <w:rPr>
          <w:color w:val="auto"/>
          <w:highlight w:val="none"/>
        </w:rPr>
        <w:t>人编制的投标文件技术暗标，</w:t>
      </w:r>
      <w:r>
        <w:rPr>
          <w:rFonts w:hint="eastAsia"/>
          <w:color w:val="auto"/>
          <w:highlight w:val="none"/>
        </w:rPr>
        <w:t>其</w:t>
      </w:r>
      <w:r>
        <w:rPr>
          <w:color w:val="auto"/>
          <w:highlight w:val="none"/>
        </w:rPr>
        <w:t>正文中出现投标人的名称和其他可识别投标人身份的字符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color w:val="auto"/>
          <w:highlight w:val="none"/>
        </w:rPr>
        <w:t>等。</w:t>
      </w:r>
    </w:p>
    <w:p w14:paraId="3DDC06D1">
      <w:pPr>
        <w:pStyle w:val="140"/>
        <w:spacing w:line="360" w:lineRule="auto"/>
        <w:ind w:firstLine="420" w:firstLineChars="200"/>
        <w:rPr>
          <w:rFonts w:hint="eastAsia"/>
          <w:b/>
          <w:bCs/>
          <w:color w:val="auto"/>
          <w:highlight w:val="none"/>
        </w:rPr>
      </w:pPr>
      <w:r>
        <w:rPr>
          <w:color w:val="auto"/>
          <w:highlight w:val="none"/>
        </w:rPr>
        <w:t>B1.2</w:t>
      </w:r>
      <w:r>
        <w:rPr>
          <w:rFonts w:hint="eastAsia"/>
          <w:color w:val="auto"/>
          <w:highlight w:val="none"/>
          <w:lang w:eastAsia="zh-CN"/>
        </w:rPr>
        <w:t>1</w:t>
      </w:r>
      <w:r>
        <w:rPr>
          <w:rFonts w:hint="eastAsia"/>
          <w:color w:val="auto"/>
          <w:highlight w:val="none"/>
        </w:rPr>
        <w:t>投标</w:t>
      </w:r>
      <w:r>
        <w:rPr>
          <w:color w:val="auto"/>
          <w:highlight w:val="none"/>
        </w:rPr>
        <w:t>人编制的投标文件技术暗标</w:t>
      </w:r>
      <w:r>
        <w:rPr>
          <w:rFonts w:hint="eastAsia"/>
          <w:color w:val="auto"/>
          <w:highlight w:val="none"/>
        </w:rPr>
        <w:t>部分未</w:t>
      </w:r>
      <w:r>
        <w:rPr>
          <w:color w:val="auto"/>
          <w:highlight w:val="none"/>
        </w:rPr>
        <w:t>按第九章投标文件格式</w:t>
      </w:r>
      <w:r>
        <w:rPr>
          <w:rFonts w:hint="eastAsia"/>
          <w:color w:val="auto"/>
          <w:highlight w:val="none"/>
        </w:rPr>
        <w:t>技术</w:t>
      </w:r>
      <w:r>
        <w:rPr>
          <w:color w:val="auto"/>
          <w:highlight w:val="none"/>
        </w:rPr>
        <w:t>标部分中（二）暗标的编制要求</w:t>
      </w:r>
      <w:r>
        <w:rPr>
          <w:rFonts w:hint="eastAsia"/>
          <w:color w:val="auto"/>
          <w:highlight w:val="none"/>
        </w:rPr>
        <w:t>编制</w:t>
      </w:r>
      <w:r>
        <w:rPr>
          <w:color w:val="auto"/>
          <w:highlight w:val="none"/>
        </w:rPr>
        <w:t>的。</w:t>
      </w:r>
    </w:p>
    <w:p w14:paraId="52E1F8B0">
      <w:pPr>
        <w:spacing w:line="360" w:lineRule="auto"/>
        <w:ind w:firstLine="420" w:firstLineChars="200"/>
        <w:rPr>
          <w:rFonts w:hint="eastAsia"/>
          <w:color w:val="auto"/>
          <w:highlight w:val="none"/>
        </w:rPr>
      </w:pPr>
      <w:r>
        <w:rPr>
          <w:rFonts w:hint="eastAsia"/>
          <w:color w:val="auto"/>
          <w:highlight w:val="none"/>
        </w:rPr>
        <w:t>B1.2</w:t>
      </w:r>
      <w:r>
        <w:rPr>
          <w:rFonts w:hint="eastAsia"/>
          <w:color w:val="auto"/>
          <w:highlight w:val="none"/>
          <w:lang w:val="en-US" w:eastAsia="zh-CN"/>
        </w:rPr>
        <w:t>2</w:t>
      </w:r>
      <w:r>
        <w:rPr>
          <w:rFonts w:hint="eastAsia"/>
          <w:color w:val="auto"/>
          <w:highlight w:val="none"/>
        </w:rPr>
        <w:t>投标报价被评标委员会认为低于成本价的；</w:t>
      </w:r>
    </w:p>
    <w:p w14:paraId="75776EB0">
      <w:pPr>
        <w:spacing w:line="360" w:lineRule="auto"/>
        <w:ind w:firstLine="420" w:firstLineChars="200"/>
        <w:rPr>
          <w:color w:val="auto"/>
          <w:highlight w:val="none"/>
        </w:rPr>
      </w:pPr>
      <w:r>
        <w:rPr>
          <w:rFonts w:hint="eastAsia"/>
          <w:color w:val="auto"/>
          <w:highlight w:val="none"/>
        </w:rPr>
        <w:t>B1.2</w:t>
      </w:r>
      <w:r>
        <w:rPr>
          <w:rFonts w:hint="eastAsia"/>
          <w:color w:val="auto"/>
          <w:highlight w:val="none"/>
          <w:lang w:val="en-US" w:eastAsia="zh-CN"/>
        </w:rPr>
        <w:t>3</w:t>
      </w:r>
      <w:r>
        <w:rPr>
          <w:rFonts w:hint="eastAsia" w:cs="宋体"/>
          <w:color w:val="auto"/>
          <w:highlight w:val="none"/>
        </w:rPr>
        <w:t>法规规定的其他否决投标条款。</w:t>
      </w:r>
    </w:p>
    <w:p w14:paraId="561CFC19">
      <w:pPr>
        <w:pStyle w:val="135"/>
        <w:spacing w:line="360" w:lineRule="auto"/>
        <w:rPr>
          <w:b/>
          <w:bCs/>
          <w:color w:val="auto"/>
          <w:highlight w:val="none"/>
        </w:rPr>
      </w:pPr>
      <w:r>
        <w:rPr>
          <w:rFonts w:hint="eastAsia" w:cs="宋体"/>
          <w:b/>
          <w:bCs/>
          <w:color w:val="auto"/>
          <w:highlight w:val="none"/>
        </w:rPr>
        <w:t>备注：</w:t>
      </w:r>
    </w:p>
    <w:p w14:paraId="4EDE63FF">
      <w:pPr>
        <w:pStyle w:val="135"/>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否决投标情况说明表”格式，否决投标情况说明应当对照招标文件规定的否决投标条件以及投标文件存在的具体问题，并在中标候选人公示时予以公开。</w:t>
      </w:r>
    </w:p>
    <w:p w14:paraId="4E72E04E">
      <w:pPr>
        <w:pStyle w:val="135"/>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36B5C295">
      <w:pPr>
        <w:pStyle w:val="135"/>
        <w:spacing w:line="360" w:lineRule="auto"/>
        <w:ind w:firstLine="420" w:firstLineChars="200"/>
        <w:rPr>
          <w:rFonts w:hint="eastAsia" w:cs="宋体"/>
          <w:color w:val="auto"/>
          <w:highlight w:val="none"/>
        </w:rPr>
      </w:pPr>
    </w:p>
    <w:p w14:paraId="64E50458">
      <w:pPr>
        <w:pStyle w:val="135"/>
        <w:spacing w:line="360" w:lineRule="auto"/>
        <w:ind w:firstLine="420" w:firstLineChars="200"/>
        <w:rPr>
          <w:rFonts w:hint="eastAsia" w:cs="宋体"/>
          <w:color w:val="auto"/>
          <w:highlight w:val="none"/>
        </w:rPr>
        <w:sectPr>
          <w:pgSz w:w="11906" w:h="16838"/>
          <w:pgMar w:top="1440" w:right="1440" w:bottom="1797" w:left="1440" w:header="851" w:footer="850" w:gutter="0"/>
          <w:cols w:space="0" w:num="1"/>
          <w:rtlGutter w:val="0"/>
          <w:docGrid w:linePitch="312" w:charSpace="0"/>
        </w:sectPr>
      </w:pPr>
    </w:p>
    <w:p w14:paraId="3EDC23F1">
      <w:pPr>
        <w:spacing w:line="440" w:lineRule="exact"/>
        <w:ind w:firstLine="420" w:firstLineChars="200"/>
        <w:rPr>
          <w:color w:val="auto"/>
          <w:highlight w:val="none"/>
        </w:rPr>
      </w:pPr>
      <w:bookmarkStart w:id="637" w:name="_Toc78449715"/>
      <w:bookmarkStart w:id="638" w:name="_Toc1887702582"/>
      <w:bookmarkStart w:id="639" w:name="_Toc2084098983"/>
    </w:p>
    <w:p w14:paraId="148D197E">
      <w:pPr>
        <w:pStyle w:val="4"/>
        <w:spacing w:line="240" w:lineRule="auto"/>
        <w:rPr>
          <w:rFonts w:hint="default" w:eastAsia="黑体"/>
          <w:color w:val="auto"/>
          <w:sz w:val="28"/>
          <w:szCs w:val="28"/>
          <w:highlight w:val="none"/>
          <w:lang w:val="en-US" w:eastAsia="zh-CN"/>
        </w:rPr>
      </w:pPr>
      <w:bookmarkStart w:id="640" w:name="_Toc8591"/>
      <w:bookmarkStart w:id="641" w:name="_Toc1559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：投标单位人员诚信状态核查情况记录表</w:t>
      </w:r>
      <w:bookmarkEnd w:id="637"/>
      <w:r>
        <w:rPr>
          <w:rFonts w:hint="default"/>
          <w:color w:val="auto"/>
          <w:sz w:val="28"/>
          <w:szCs w:val="28"/>
          <w:highlight w:val="none"/>
          <w:lang w:val="en"/>
        </w:rPr>
        <w:t>1</w:t>
      </w:r>
      <w:r>
        <w:rPr>
          <w:rFonts w:hint="eastAsia"/>
          <w:color w:val="auto"/>
          <w:sz w:val="28"/>
          <w:szCs w:val="28"/>
          <w:highlight w:val="none"/>
          <w:lang w:val="en-US" w:eastAsia="zh-CN"/>
        </w:rPr>
        <w:t>-1</w:t>
      </w:r>
      <w:bookmarkEnd w:id="638"/>
      <w:bookmarkEnd w:id="639"/>
      <w:bookmarkEnd w:id="640"/>
      <w:bookmarkEnd w:id="641"/>
    </w:p>
    <w:p w14:paraId="5901395C">
      <w:pPr>
        <w:adjustRightInd w:val="0"/>
        <w:snapToGrid w:val="0"/>
        <w:jc w:val="center"/>
        <w:rPr>
          <w:rFonts w:hint="default" w:eastAsia="黑体"/>
          <w:color w:val="auto"/>
          <w:sz w:val="28"/>
          <w:szCs w:val="28"/>
          <w:highlight w:val="none"/>
          <w:lang w:val="en-US" w:eastAsia="zh-CN"/>
        </w:rPr>
      </w:pPr>
      <w:r>
        <w:rPr>
          <w:rFonts w:hint="eastAsia"/>
          <w:color w:val="auto"/>
          <w:sz w:val="28"/>
          <w:szCs w:val="28"/>
          <w:highlight w:val="none"/>
        </w:rPr>
        <w:t>投标单位人员诚信状态核查情况记录表</w:t>
      </w:r>
      <w:r>
        <w:rPr>
          <w:rFonts w:hint="default" w:eastAsia="黑体" w:cs="黑体"/>
          <w:color w:val="auto"/>
          <w:sz w:val="28"/>
          <w:szCs w:val="28"/>
          <w:highlight w:val="none"/>
          <w:lang w:val="en"/>
        </w:rPr>
        <w:t>1</w:t>
      </w:r>
      <w:r>
        <w:rPr>
          <w:rFonts w:hint="eastAsia" w:eastAsia="黑体" w:cs="黑体"/>
          <w:color w:val="auto"/>
          <w:sz w:val="28"/>
          <w:szCs w:val="28"/>
          <w:highlight w:val="none"/>
          <w:lang w:val="en-US" w:eastAsia="zh-CN"/>
        </w:rPr>
        <w:t>-1</w:t>
      </w:r>
    </w:p>
    <w:p w14:paraId="249A6D91">
      <w:pPr>
        <w:adjustRightInd w:val="0"/>
        <w:snapToGrid w:val="0"/>
        <w:jc w:val="center"/>
        <w:rPr>
          <w:rFonts w:eastAsia="黑体"/>
          <w:color w:val="auto"/>
          <w:sz w:val="28"/>
          <w:szCs w:val="28"/>
          <w:highlight w:val="none"/>
        </w:rPr>
      </w:pPr>
    </w:p>
    <w:p w14:paraId="1B926889">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BC8CBE6">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lang w:val="en-US" w:eastAsia="zh-CN"/>
        </w:rPr>
        <w:t xml:space="preserve">         </w:t>
      </w:r>
      <w:r>
        <w:rPr>
          <w:rFonts w:hint="eastAsia" w:cs="宋体"/>
          <w:color w:val="auto"/>
          <w:highlight w:val="none"/>
        </w:rPr>
        <w:t>招标代理员身份证号：</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tbl>
      <w:tblPr>
        <w:tblStyle w:val="40"/>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5300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131FB1A2">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3E8B514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340" w:type="dxa"/>
            <w:gridSpan w:val="3"/>
            <w:noWrap w:val="0"/>
            <w:vAlign w:val="top"/>
          </w:tcPr>
          <w:p w14:paraId="161EDBB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821" w:type="dxa"/>
            <w:vMerge w:val="restart"/>
            <w:noWrap w:val="0"/>
            <w:vAlign w:val="center"/>
          </w:tcPr>
          <w:p w14:paraId="7A53ABF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5C9D646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559" w:type="dxa"/>
            <w:vMerge w:val="restart"/>
            <w:noWrap w:val="0"/>
            <w:vAlign w:val="center"/>
          </w:tcPr>
          <w:p w14:paraId="518C024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063C251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7D06F002">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0B7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exact"/>
        </w:trPr>
        <w:tc>
          <w:tcPr>
            <w:tcW w:w="586" w:type="dxa"/>
            <w:vMerge w:val="continue"/>
            <w:noWrap w:val="0"/>
            <w:vAlign w:val="center"/>
          </w:tcPr>
          <w:p w14:paraId="1F101CF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7A93F2F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5B6AC8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895" w:type="dxa"/>
            <w:noWrap w:val="0"/>
            <w:vAlign w:val="center"/>
          </w:tcPr>
          <w:p w14:paraId="24FFCA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85" w:type="dxa"/>
            <w:noWrap w:val="0"/>
            <w:vAlign w:val="center"/>
          </w:tcPr>
          <w:p w14:paraId="126A0F0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821" w:type="dxa"/>
            <w:vMerge w:val="continue"/>
            <w:noWrap w:val="0"/>
            <w:vAlign w:val="center"/>
          </w:tcPr>
          <w:p w14:paraId="48FF10D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559" w:type="dxa"/>
            <w:vMerge w:val="continue"/>
            <w:noWrap w:val="0"/>
            <w:vAlign w:val="center"/>
          </w:tcPr>
          <w:p w14:paraId="789E03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13264BE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6F9A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6D3E1E9C">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6A6ACDC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5FFCA99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056BD4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3301760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65DB13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01C3969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0441BF1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C18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86" w:type="dxa"/>
            <w:noWrap w:val="0"/>
            <w:vAlign w:val="center"/>
          </w:tcPr>
          <w:p w14:paraId="24CE017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68484A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02F7D1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7B6134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4658EC2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51294F9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196D40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253F14D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267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646D7BF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1F6FB99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56B0480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895" w:type="dxa"/>
            <w:noWrap w:val="0"/>
            <w:vAlign w:val="center"/>
          </w:tcPr>
          <w:p w14:paraId="02F3BF4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85" w:type="dxa"/>
            <w:noWrap w:val="0"/>
            <w:vAlign w:val="center"/>
          </w:tcPr>
          <w:p w14:paraId="2206125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821" w:type="dxa"/>
            <w:noWrap w:val="0"/>
            <w:vAlign w:val="center"/>
          </w:tcPr>
          <w:p w14:paraId="6AA6047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559" w:type="dxa"/>
            <w:noWrap w:val="0"/>
            <w:vAlign w:val="center"/>
          </w:tcPr>
          <w:p w14:paraId="36FF814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4ADD60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5074BF07">
      <w:pPr>
        <w:rPr>
          <w:rFonts w:ascii="宋体"/>
          <w:color w:val="auto"/>
          <w:highlight w:val="none"/>
        </w:rPr>
      </w:pPr>
    </w:p>
    <w:p w14:paraId="72DEBE6B">
      <w:pPr>
        <w:rPr>
          <w:rFonts w:hint="eastAsia" w:ascii="宋体" w:hAnsi="宋体" w:cs="宋体"/>
          <w:color w:val="auto"/>
          <w:highlight w:val="none"/>
        </w:rPr>
      </w:pPr>
    </w:p>
    <w:p w14:paraId="0BFCBC23">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781277DF">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2CFFD826">
      <w:pPr>
        <w:pStyle w:val="4"/>
        <w:spacing w:line="240" w:lineRule="auto"/>
        <w:rPr>
          <w:rFonts w:hint="default" w:cs="宋体"/>
          <w:b w:val="0"/>
          <w:bCs w:val="0"/>
          <w:color w:val="auto"/>
          <w:highlight w:val="none"/>
          <w:lang w:val="en"/>
        </w:rPr>
      </w:pPr>
      <w:r>
        <w:rPr>
          <w:color w:val="auto"/>
          <w:sz w:val="24"/>
          <w:szCs w:val="24"/>
          <w:highlight w:val="none"/>
        </w:rPr>
        <w:br w:type="page"/>
      </w:r>
      <w:bookmarkStart w:id="642" w:name="_Toc78449716"/>
      <w:bookmarkStart w:id="643" w:name="_Toc1690083109"/>
      <w:bookmarkStart w:id="644" w:name="_Toc29856"/>
      <w:bookmarkStart w:id="645" w:name="_Toc1323"/>
      <w:bookmarkStart w:id="646" w:name="_Toc71404443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：投标单位人员诚信状态核查情况记录表</w:t>
      </w:r>
      <w:bookmarkEnd w:id="642"/>
      <w:r>
        <w:rPr>
          <w:rFonts w:hint="eastAsia"/>
          <w:color w:val="auto"/>
          <w:sz w:val="28"/>
          <w:szCs w:val="28"/>
          <w:highlight w:val="none"/>
          <w:lang w:val="en-US" w:eastAsia="zh-CN"/>
        </w:rPr>
        <w:t>1-</w:t>
      </w:r>
      <w:r>
        <w:rPr>
          <w:rFonts w:hint="default"/>
          <w:color w:val="auto"/>
          <w:sz w:val="28"/>
          <w:szCs w:val="28"/>
          <w:highlight w:val="none"/>
          <w:lang w:val="en"/>
        </w:rPr>
        <w:t>2</w:t>
      </w:r>
      <w:bookmarkEnd w:id="643"/>
      <w:bookmarkEnd w:id="644"/>
      <w:bookmarkEnd w:id="645"/>
      <w:bookmarkEnd w:id="646"/>
    </w:p>
    <w:p w14:paraId="41E605C6">
      <w:pPr>
        <w:spacing w:line="440" w:lineRule="exact"/>
        <w:jc w:val="center"/>
        <w:rPr>
          <w:rFonts w:hint="default" w:cs="宋体"/>
          <w:b/>
          <w:bCs/>
          <w:color w:val="auto"/>
          <w:highlight w:val="none"/>
          <w:lang w:val="en"/>
        </w:rPr>
      </w:pPr>
      <w:r>
        <w:rPr>
          <w:rFonts w:hint="eastAsia" w:eastAsia="黑体" w:cs="黑体"/>
          <w:color w:val="auto"/>
          <w:sz w:val="28"/>
          <w:szCs w:val="28"/>
          <w:highlight w:val="none"/>
        </w:rPr>
        <w:t>投标单位人员诚信状态核查情况记录表</w:t>
      </w:r>
      <w:r>
        <w:rPr>
          <w:rFonts w:hint="eastAsia" w:eastAsia="黑体" w:cs="黑体"/>
          <w:color w:val="auto"/>
          <w:sz w:val="28"/>
          <w:szCs w:val="28"/>
          <w:highlight w:val="none"/>
          <w:lang w:val="en-US" w:eastAsia="zh-CN"/>
        </w:rPr>
        <w:t>1-</w:t>
      </w:r>
      <w:r>
        <w:rPr>
          <w:rFonts w:hint="default" w:eastAsia="黑体" w:cs="黑体"/>
          <w:color w:val="auto"/>
          <w:sz w:val="28"/>
          <w:szCs w:val="28"/>
          <w:highlight w:val="none"/>
          <w:lang w:val="en"/>
        </w:rPr>
        <w:t>2</w:t>
      </w:r>
    </w:p>
    <w:p w14:paraId="632C365D">
      <w:pPr>
        <w:spacing w:after="72" w:afterLines="30"/>
        <w:rPr>
          <w:color w:val="auto"/>
          <w:highlight w:val="none"/>
        </w:rPr>
      </w:pPr>
    </w:p>
    <w:p w14:paraId="209BB90F">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C69B657">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75530807">
      <w:pPr>
        <w:rPr>
          <w:rFonts w:ascii="宋体"/>
          <w:color w:val="auto"/>
          <w:highlight w:val="none"/>
        </w:rPr>
      </w:pPr>
    </w:p>
    <w:tbl>
      <w:tblPr>
        <w:tblStyle w:val="40"/>
        <w:tblpPr w:leftFromText="180" w:rightFromText="180" w:vertAnchor="text" w:horzAnchor="page" w:tblpX="1145"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1269"/>
        <w:gridCol w:w="1270"/>
        <w:gridCol w:w="793"/>
        <w:gridCol w:w="952"/>
        <w:gridCol w:w="1269"/>
        <w:gridCol w:w="1305"/>
        <w:gridCol w:w="1417"/>
        <w:gridCol w:w="2126"/>
      </w:tblGrid>
      <w:tr w14:paraId="05EF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2A0BD96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70A9652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4612" w:type="dxa"/>
            <w:gridSpan w:val="4"/>
            <w:noWrap w:val="0"/>
            <w:vAlign w:val="top"/>
          </w:tcPr>
          <w:p w14:paraId="14DE0B6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3014" w:type="dxa"/>
            <w:gridSpan w:val="3"/>
            <w:noWrap w:val="0"/>
            <w:vAlign w:val="top"/>
          </w:tcPr>
          <w:p w14:paraId="253A993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305" w:type="dxa"/>
            <w:vMerge w:val="restart"/>
            <w:noWrap w:val="0"/>
            <w:vAlign w:val="center"/>
          </w:tcPr>
          <w:p w14:paraId="6094D22A">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61F093F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417" w:type="dxa"/>
            <w:vMerge w:val="restart"/>
            <w:noWrap w:val="0"/>
            <w:vAlign w:val="center"/>
          </w:tcPr>
          <w:p w14:paraId="7B723104">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center"/>
          </w:tcPr>
          <w:p w14:paraId="22ABB2A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验证项目经理和专职安全生产管理人员与投标文件中拟投入者是否一致</w:t>
            </w:r>
          </w:p>
          <w:p w14:paraId="146984D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07B7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exact"/>
        </w:trPr>
        <w:tc>
          <w:tcPr>
            <w:tcW w:w="604" w:type="dxa"/>
            <w:vMerge w:val="continue"/>
            <w:noWrap w:val="0"/>
            <w:vAlign w:val="center"/>
          </w:tcPr>
          <w:p w14:paraId="1CE1F07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65C844B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5816283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7FD2D5B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686A65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存在在建工程及不良行为情况</w:t>
            </w:r>
          </w:p>
        </w:tc>
        <w:tc>
          <w:tcPr>
            <w:tcW w:w="1270" w:type="dxa"/>
            <w:noWrap w:val="0"/>
            <w:vAlign w:val="center"/>
          </w:tcPr>
          <w:p w14:paraId="43DA3D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93" w:type="dxa"/>
            <w:noWrap w:val="0"/>
            <w:vAlign w:val="center"/>
          </w:tcPr>
          <w:p w14:paraId="3077CC7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952" w:type="dxa"/>
            <w:noWrap w:val="0"/>
            <w:vAlign w:val="center"/>
          </w:tcPr>
          <w:p w14:paraId="09B1812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3E2DAB4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305" w:type="dxa"/>
            <w:vMerge w:val="continue"/>
            <w:noWrap w:val="0"/>
            <w:vAlign w:val="center"/>
          </w:tcPr>
          <w:p w14:paraId="454FA08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417" w:type="dxa"/>
            <w:vMerge w:val="continue"/>
            <w:noWrap w:val="0"/>
            <w:vAlign w:val="top"/>
          </w:tcPr>
          <w:p w14:paraId="7511132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center"/>
          </w:tcPr>
          <w:p w14:paraId="56E460C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6A0F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1408792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0B98BAC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CC5588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06F9743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0A4A1F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3AE370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49851C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5241D6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92E7FB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240F2F4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5CFDC1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0C4A3A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DB8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1B73216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44B6BF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E05C3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5281A4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09A84DB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6368B2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492C7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B2E561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3A5312B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314F1D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5EBF45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41B44BE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F0B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A1001F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852F2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D1DE69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4CBD4D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2764B3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0E515B0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FAC01E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0B0CE7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BF5648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7E38E7F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286FCF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700621C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D09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32BDCB14">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01CAFC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8C6F3E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0E7E334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035A533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794B21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AFABC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C603C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8D2126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279CC8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6BD9F1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4EB2AF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749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AE6BFC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C3EA2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63ECC0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3E42E4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6D37F49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5B4A59D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13FAB0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25D1E4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2B7A79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A6F89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5B4C27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36A2B8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C1E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21418C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C3456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635D68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1DA99AA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41C7A4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2C6D99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83BD6E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2CBF7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1839F7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AD8020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6C49CF6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7BE9749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D6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00275B8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533B10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571927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6F0EC6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2F3101E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578DD40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03661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9A635F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58433A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546C179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69470FC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4C204A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A14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37060D1D">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25E77A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B9A96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6E590A5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53A854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0246D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66CCB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4B4D28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7FC6173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6DFA9AE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2E4595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52F7F2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396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3C041475">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16959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FCCDC2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128D60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2A3309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C588E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F1ADD6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0B04F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7726C4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4EE1DC1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7BD0DCB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265596A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731C0083">
      <w:pPr>
        <w:rPr>
          <w:rFonts w:hint="eastAsia" w:ascii="宋体" w:hAnsi="宋体" w:cs="宋体"/>
          <w:color w:val="auto"/>
          <w:highlight w:val="none"/>
        </w:rPr>
      </w:pPr>
    </w:p>
    <w:p w14:paraId="6AE18870">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492ED00C">
      <w:pPr>
        <w:rPr>
          <w:rFonts w:cs="宋体"/>
          <w:color w:val="auto"/>
          <w:highlight w:val="none"/>
        </w:rPr>
      </w:pPr>
      <w:r>
        <w:rPr>
          <w:rFonts w:hint="eastAsia" w:cs="宋体"/>
          <w:color w:val="auto"/>
          <w:highlight w:val="none"/>
        </w:rPr>
        <w:t>评委签字（仅负责核查投标文件中拟投入的项目经理或专职安全生产管理人员与本记录表中的项目经理或专职安全生产管理人员是否相符）：</w:t>
      </w:r>
    </w:p>
    <w:p w14:paraId="6D5F64B3">
      <w:pPr>
        <w:rPr>
          <w:rFonts w:hint="eastAsia"/>
          <w:color w:val="auto"/>
          <w:highlight w:val="none"/>
        </w:rPr>
      </w:pPr>
    </w:p>
    <w:p w14:paraId="2FFCF0DF">
      <w:pPr>
        <w:spacing w:line="440" w:lineRule="exac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时对项目经理和专职安全生产管理人员进行身份证验证，如投标单位的项目经理和专职安全生产管理人员中有一人的诚信信息未处于有效状态，则为诚信信息未通过验证，则该投标文件投标无效；评标时，如评委发现投标单位投标文件中拟投入的项目经理或专职安全生产管理人员与开标时所验身份证的项目经理或专职安全生产管理人员不相符时，应视作该投标单位的诚信信息未通过验证。</w:t>
      </w:r>
    </w:p>
    <w:p w14:paraId="01651142">
      <w:pPr>
        <w:pStyle w:val="4"/>
        <w:spacing w:line="240" w:lineRule="auto"/>
        <w:rPr>
          <w:b w:val="0"/>
          <w:bCs w:val="0"/>
          <w:color w:val="auto"/>
          <w:highlight w:val="none"/>
        </w:rPr>
      </w:pPr>
      <w:r>
        <w:rPr>
          <w:rFonts w:cs="宋体"/>
          <w:color w:val="auto"/>
          <w:highlight w:val="none"/>
        </w:rPr>
        <w:br w:type="page"/>
      </w:r>
      <w:bookmarkStart w:id="647" w:name="_Toc78449717"/>
      <w:bookmarkStart w:id="648" w:name="_Toc62264950"/>
      <w:bookmarkStart w:id="649" w:name="_Toc10688"/>
      <w:bookmarkStart w:id="650" w:name="_Toc26621"/>
      <w:bookmarkStart w:id="651" w:name="_Toc41034005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：开标记录表</w:t>
      </w:r>
      <w:bookmarkEnd w:id="647"/>
      <w:bookmarkEnd w:id="648"/>
      <w:bookmarkEnd w:id="649"/>
      <w:bookmarkEnd w:id="650"/>
      <w:bookmarkEnd w:id="651"/>
    </w:p>
    <w:p w14:paraId="2D0F0D40">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5F10636F">
      <w:pPr>
        <w:adjustRightInd w:val="0"/>
        <w:snapToGrid w:val="0"/>
        <w:spacing w:line="420" w:lineRule="exact"/>
        <w:jc w:val="center"/>
        <w:rPr>
          <w:rFonts w:eastAsia="黑体"/>
          <w:color w:val="auto"/>
          <w:sz w:val="28"/>
          <w:szCs w:val="28"/>
          <w:highlight w:val="none"/>
        </w:rPr>
      </w:pPr>
    </w:p>
    <w:p w14:paraId="5BE1C3C9">
      <w:pPr>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val="en-US" w:eastAsia="zh-CN"/>
        </w:rPr>
        <w:t xml:space="preserve"> </w:t>
      </w:r>
      <w:r>
        <w:rPr>
          <w:color w:val="auto"/>
          <w:highlight w:val="none"/>
          <w:u w:val="singl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969F150">
      <w:pPr>
        <w:adjustRightInd w:val="0"/>
        <w:snapToGrid w:val="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080"/>
        <w:gridCol w:w="1060"/>
        <w:gridCol w:w="1064"/>
        <w:gridCol w:w="720"/>
        <w:gridCol w:w="1236"/>
        <w:gridCol w:w="1619"/>
        <w:gridCol w:w="470"/>
      </w:tblGrid>
      <w:tr w14:paraId="31B3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exact"/>
          <w:jc w:val="center"/>
        </w:trPr>
        <w:tc>
          <w:tcPr>
            <w:tcW w:w="497" w:type="dxa"/>
            <w:noWrap w:val="0"/>
            <w:vAlign w:val="center"/>
          </w:tcPr>
          <w:p w14:paraId="7225273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980" w:type="dxa"/>
            <w:noWrap w:val="0"/>
            <w:vAlign w:val="center"/>
          </w:tcPr>
          <w:p w14:paraId="4A874B3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900" w:type="dxa"/>
            <w:noWrap w:val="0"/>
            <w:vAlign w:val="center"/>
          </w:tcPr>
          <w:p w14:paraId="58CECB2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是否按时递交投标文件</w:t>
            </w:r>
          </w:p>
        </w:tc>
        <w:tc>
          <w:tcPr>
            <w:tcW w:w="1080" w:type="dxa"/>
            <w:noWrap w:val="0"/>
            <w:vAlign w:val="center"/>
          </w:tcPr>
          <w:p w14:paraId="471C9826">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单位是否通过验证</w:t>
            </w:r>
          </w:p>
        </w:tc>
        <w:tc>
          <w:tcPr>
            <w:tcW w:w="900" w:type="dxa"/>
            <w:noWrap w:val="0"/>
            <w:vAlign w:val="center"/>
          </w:tcPr>
          <w:p w14:paraId="3034A26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人员是</w:t>
            </w:r>
            <w:r>
              <w:rPr>
                <w:rFonts w:hint="eastAsia" w:ascii="Calibri" w:hAnsi="Calibri" w:eastAsia="宋体" w:cs="宋体"/>
                <w:color w:val="auto"/>
                <w:highlight w:val="none"/>
              </w:rPr>
              <w:t>否有效</w:t>
            </w:r>
          </w:p>
        </w:tc>
        <w:tc>
          <w:tcPr>
            <w:tcW w:w="1080" w:type="dxa"/>
            <w:noWrap w:val="0"/>
            <w:vAlign w:val="center"/>
          </w:tcPr>
          <w:p w14:paraId="73B2D8B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提交的投标保证金（元）</w:t>
            </w:r>
          </w:p>
        </w:tc>
        <w:tc>
          <w:tcPr>
            <w:tcW w:w="1060" w:type="dxa"/>
            <w:noWrap w:val="0"/>
            <w:vAlign w:val="center"/>
          </w:tcPr>
          <w:p w14:paraId="5484206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投标总报价（元）</w:t>
            </w:r>
          </w:p>
        </w:tc>
        <w:tc>
          <w:tcPr>
            <w:tcW w:w="1064" w:type="dxa"/>
            <w:noWrap w:val="0"/>
            <w:vAlign w:val="center"/>
          </w:tcPr>
          <w:p w14:paraId="522591C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自报工期（日历天）</w:t>
            </w:r>
          </w:p>
        </w:tc>
        <w:tc>
          <w:tcPr>
            <w:tcW w:w="720" w:type="dxa"/>
            <w:noWrap w:val="0"/>
            <w:vAlign w:val="center"/>
          </w:tcPr>
          <w:p w14:paraId="50766D8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自报质量等级</w:t>
            </w:r>
          </w:p>
        </w:tc>
        <w:tc>
          <w:tcPr>
            <w:tcW w:w="1236" w:type="dxa"/>
            <w:noWrap w:val="0"/>
            <w:vAlign w:val="center"/>
          </w:tcPr>
          <w:p w14:paraId="68EF81D1">
            <w:pPr>
              <w:keepNext w:val="0"/>
              <w:keepLines w:val="0"/>
              <w:suppressLineNumbers w:val="0"/>
              <w:spacing w:before="0" w:beforeAutospacing="0" w:after="0" w:afterAutospacing="0" w:line="280" w:lineRule="exact"/>
              <w:ind w:left="0" w:right="0"/>
              <w:jc w:val="center"/>
              <w:rPr>
                <w:rFonts w:hint="default" w:ascii="宋体" w:hAnsi="Calibri" w:eastAsia="宋体" w:cs="Times New Roman"/>
                <w:color w:val="auto"/>
                <w:highlight w:val="none"/>
              </w:rPr>
            </w:pPr>
            <w:r>
              <w:rPr>
                <w:rFonts w:hint="default" w:ascii="宋体" w:hAnsi="Calibri" w:eastAsia="宋体" w:cs="宋体"/>
                <w:color w:val="auto"/>
                <w:highlight w:val="none"/>
              </w:rPr>
              <w:t>....</w:t>
            </w:r>
          </w:p>
        </w:tc>
        <w:tc>
          <w:tcPr>
            <w:tcW w:w="1619" w:type="dxa"/>
            <w:noWrap w:val="0"/>
            <w:vAlign w:val="center"/>
          </w:tcPr>
          <w:p w14:paraId="16F12B0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470" w:type="dxa"/>
            <w:noWrap w:val="0"/>
            <w:vAlign w:val="center"/>
          </w:tcPr>
          <w:p w14:paraId="2E489B4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2D47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C75C32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980" w:type="dxa"/>
            <w:noWrap w:val="0"/>
            <w:vAlign w:val="center"/>
          </w:tcPr>
          <w:p w14:paraId="405477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81252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70313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0A43C1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2A2FF7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04A38B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1507DB2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4B0DD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2C7A81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65211E1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2451010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84E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2847298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980" w:type="dxa"/>
            <w:noWrap w:val="0"/>
            <w:vAlign w:val="center"/>
          </w:tcPr>
          <w:p w14:paraId="3D4EE3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0B36B1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16703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0EC1C3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4CA77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5D0262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1BD69C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3600C3C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12F7EE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746DF42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469244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B07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18B289E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980" w:type="dxa"/>
            <w:noWrap w:val="0"/>
            <w:vAlign w:val="center"/>
          </w:tcPr>
          <w:p w14:paraId="28B5C79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673DC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04D577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9B325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A10936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6C079AD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56D3F9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4AE3E3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008F9C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054F6E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421FB35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172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05E2D13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980" w:type="dxa"/>
            <w:noWrap w:val="0"/>
            <w:vAlign w:val="center"/>
          </w:tcPr>
          <w:p w14:paraId="454626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0F11ED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637FB85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EDE35D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6F80B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67D8F2B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4BA1D4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307E17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2C18F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19" w:type="dxa"/>
            <w:noWrap w:val="0"/>
            <w:vAlign w:val="center"/>
          </w:tcPr>
          <w:p w14:paraId="34B2E2D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70" w:type="dxa"/>
            <w:noWrap w:val="0"/>
            <w:vAlign w:val="center"/>
          </w:tcPr>
          <w:p w14:paraId="05F2B3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667B8A29">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4D5C8449">
      <w:pPr>
        <w:rPr>
          <w:rFonts w:ascii="宋体"/>
          <w:color w:val="auto"/>
          <w:highlight w:val="none"/>
        </w:rPr>
      </w:pPr>
    </w:p>
    <w:p w14:paraId="178D493A">
      <w:pPr>
        <w:pStyle w:val="4"/>
        <w:spacing w:line="240" w:lineRule="auto"/>
        <w:rPr>
          <w:color w:val="auto"/>
          <w:sz w:val="28"/>
          <w:szCs w:val="28"/>
          <w:highlight w:val="none"/>
        </w:rPr>
      </w:pPr>
      <w:bookmarkStart w:id="652" w:name="_Toc556182535"/>
      <w:bookmarkStart w:id="653" w:name="_Toc1296"/>
      <w:bookmarkStart w:id="654" w:name="_Toc78449718"/>
      <w:bookmarkStart w:id="655" w:name="_Toc22772"/>
      <w:bookmarkStart w:id="656" w:name="_Toc782824414"/>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－1：开标会异常记录表（如有）</w:t>
      </w:r>
      <w:bookmarkEnd w:id="652"/>
      <w:bookmarkEnd w:id="653"/>
      <w:bookmarkEnd w:id="654"/>
      <w:bookmarkEnd w:id="655"/>
      <w:bookmarkEnd w:id="656"/>
    </w:p>
    <w:p w14:paraId="00136E92">
      <w:pPr>
        <w:rPr>
          <w:rFonts w:ascii="宋体"/>
          <w:color w:val="auto"/>
          <w:highlight w:val="none"/>
        </w:rPr>
      </w:pPr>
    </w:p>
    <w:p w14:paraId="4E0BBC4C">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开标会异常记录表（如有）</w:t>
      </w:r>
    </w:p>
    <w:p w14:paraId="5D246DDB">
      <w:pPr>
        <w:rPr>
          <w:rFonts w:ascii="宋体"/>
          <w:color w:val="auto"/>
          <w:highlight w:val="none"/>
        </w:rPr>
      </w:pPr>
    </w:p>
    <w:p w14:paraId="056BD15D">
      <w:pPr>
        <w:rPr>
          <w:color w:val="auto"/>
          <w:highlight w:val="none"/>
        </w:rPr>
      </w:pPr>
      <w:r>
        <w:rPr>
          <w:rFonts w:hint="eastAsia" w:cs="宋体"/>
          <w:color w:val="auto"/>
          <w:highlight w:val="none"/>
          <w:lang w:val="en-US" w:eastAsia="zh-CN"/>
        </w:rPr>
        <w:t>招标项目名称</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088665F2">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902DFD0">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4C413633">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3E611C99">
      <w:pPr>
        <w:adjustRightInd w:val="0"/>
        <w:snapToGrid w:val="0"/>
        <w:rPr>
          <w:color w:val="auto"/>
          <w:highlight w:val="none"/>
          <w:u w:val="single"/>
        </w:rPr>
      </w:pPr>
    </w:p>
    <w:p w14:paraId="269030F2">
      <w:pPr>
        <w:adjustRightInd w:val="0"/>
        <w:snapToGrid w:val="0"/>
        <w:rPr>
          <w:color w:val="auto"/>
          <w:highlight w:val="none"/>
          <w:u w:val="single"/>
        </w:rPr>
      </w:pPr>
    </w:p>
    <w:p w14:paraId="7A3F4128">
      <w:pPr>
        <w:adjustRightInd w:val="0"/>
        <w:snapToGrid w:val="0"/>
        <w:rPr>
          <w:color w:val="auto"/>
          <w:highlight w:val="none"/>
          <w:u w:val="single"/>
        </w:rPr>
      </w:pPr>
    </w:p>
    <w:p w14:paraId="37E99D2A">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异议</w:t>
      </w:r>
      <w:r>
        <w:rPr>
          <w:rFonts w:ascii="宋体" w:hAnsi="宋体" w:cs="宋体"/>
          <w:color w:val="auto"/>
          <w:highlight w:val="none"/>
        </w:rPr>
        <w:t xml:space="preserve">*************                                                                </w:t>
      </w:r>
    </w:p>
    <w:p w14:paraId="2F4FEA27">
      <w:pPr>
        <w:rPr>
          <w:rFonts w:ascii="宋体"/>
          <w:color w:val="auto"/>
          <w:highlight w:val="none"/>
        </w:rPr>
      </w:pPr>
    </w:p>
    <w:p w14:paraId="702ACAAF">
      <w:pPr>
        <w:rPr>
          <w:rFonts w:ascii="宋体"/>
          <w:color w:val="auto"/>
          <w:highlight w:val="none"/>
        </w:rPr>
      </w:pPr>
    </w:p>
    <w:p w14:paraId="016AD2A5">
      <w:pPr>
        <w:rPr>
          <w:rFonts w:ascii="宋体"/>
          <w:color w:val="auto"/>
          <w:highlight w:val="none"/>
        </w:rPr>
      </w:pPr>
    </w:p>
    <w:p w14:paraId="3E7AA635">
      <w:pPr>
        <w:rPr>
          <w:rFonts w:ascii="宋体"/>
          <w:color w:val="auto"/>
          <w:highlight w:val="none"/>
        </w:rPr>
      </w:pPr>
      <w:r>
        <w:rPr>
          <w:rFonts w:hint="eastAsia" w:ascii="宋体" w:hAnsi="宋体" w:cs="宋体"/>
          <w:color w:val="auto"/>
          <w:highlight w:val="none"/>
        </w:rPr>
        <w:t>开标现场异议人：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14:paraId="0657F295">
      <w:pPr>
        <w:rPr>
          <w:rFonts w:ascii="宋体"/>
          <w:color w:val="auto"/>
          <w:highlight w:val="none"/>
        </w:rPr>
      </w:pPr>
    </w:p>
    <w:p w14:paraId="7FA60C48">
      <w:pPr>
        <w:rPr>
          <w:rFonts w:ascii="宋体"/>
          <w:color w:val="auto"/>
          <w:highlight w:val="none"/>
        </w:rPr>
      </w:pPr>
    </w:p>
    <w:p w14:paraId="2D7BF070">
      <w:pPr>
        <w:rPr>
          <w:rFonts w:ascii="宋体"/>
          <w:color w:val="auto"/>
          <w:highlight w:val="none"/>
        </w:rPr>
      </w:pPr>
      <w:r>
        <w:rPr>
          <w:rFonts w:hint="eastAsia" w:ascii="宋体" w:hAnsi="宋体" w:cs="宋体"/>
          <w:color w:val="auto"/>
          <w:highlight w:val="none"/>
        </w:rPr>
        <w:t>招标人代表：</w:t>
      </w:r>
    </w:p>
    <w:p w14:paraId="1780A6FF">
      <w:pPr>
        <w:rPr>
          <w:rFonts w:ascii="宋体"/>
          <w:color w:val="auto"/>
          <w:highlight w:val="none"/>
        </w:rPr>
      </w:pP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62C0DBE5">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6D9D28E3">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140A3AC8">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04FBF848">
      <w:pPr>
        <w:rPr>
          <w:rFonts w:ascii="宋体"/>
          <w:color w:val="auto"/>
          <w:highlight w:val="none"/>
        </w:rPr>
      </w:pPr>
    </w:p>
    <w:p w14:paraId="4F2EB970">
      <w:pPr>
        <w:rPr>
          <w:rFonts w:ascii="宋体"/>
          <w:color w:val="auto"/>
          <w:highlight w:val="none"/>
        </w:rPr>
      </w:pPr>
    </w:p>
    <w:p w14:paraId="1B429854">
      <w:pPr>
        <w:rPr>
          <w:rFonts w:ascii="宋体"/>
          <w:color w:val="auto"/>
          <w:highlight w:val="none"/>
        </w:rPr>
      </w:pPr>
    </w:p>
    <w:p w14:paraId="50519B48">
      <w:pPr>
        <w:rPr>
          <w:rFonts w:ascii="宋体"/>
          <w:color w:val="auto"/>
          <w:highlight w:val="none"/>
        </w:rPr>
      </w:pPr>
    </w:p>
    <w:p w14:paraId="34DBCF93">
      <w:pPr>
        <w:rPr>
          <w:rFonts w:hint="eastAsia"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开标现场或网上开标室其余投标人法定代表人或专职投标员签电子章（必须为专职投标员持证本人）</w:t>
      </w:r>
    </w:p>
    <w:p w14:paraId="6771C04F">
      <w:pPr>
        <w:pStyle w:val="4"/>
        <w:spacing w:line="240" w:lineRule="auto"/>
        <w:rPr>
          <w:color w:val="auto"/>
          <w:sz w:val="28"/>
          <w:szCs w:val="28"/>
          <w:highlight w:val="none"/>
        </w:rPr>
      </w:pPr>
      <w:bookmarkStart w:id="657" w:name="_Toc783162261"/>
      <w:bookmarkStart w:id="658" w:name="_Toc78449719"/>
      <w:bookmarkStart w:id="659" w:name="_Toc1603254815"/>
      <w:bookmarkStart w:id="660" w:name="_Toc13383"/>
      <w:bookmarkStart w:id="661" w:name="_Toc484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3</w:t>
      </w:r>
      <w:r>
        <w:rPr>
          <w:rFonts w:hint="eastAsia"/>
          <w:color w:val="auto"/>
          <w:sz w:val="28"/>
          <w:szCs w:val="28"/>
          <w:highlight w:val="none"/>
        </w:rPr>
        <w:t>：评标委员会签到表</w:t>
      </w:r>
      <w:bookmarkEnd w:id="657"/>
      <w:bookmarkEnd w:id="658"/>
      <w:bookmarkEnd w:id="659"/>
      <w:bookmarkEnd w:id="660"/>
      <w:bookmarkEnd w:id="661"/>
    </w:p>
    <w:p w14:paraId="077C8074">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2ACC1230">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244F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F45FE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624" w:type="dxa"/>
            <w:noWrap w:val="0"/>
            <w:vAlign w:val="center"/>
          </w:tcPr>
          <w:p w14:paraId="3D9B76B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1624" w:type="dxa"/>
            <w:noWrap w:val="0"/>
            <w:vAlign w:val="center"/>
          </w:tcPr>
          <w:p w14:paraId="4A0924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4543" w:type="dxa"/>
            <w:noWrap w:val="0"/>
            <w:vAlign w:val="center"/>
          </w:tcPr>
          <w:p w14:paraId="06B84E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工作单位</w:t>
            </w:r>
          </w:p>
        </w:tc>
        <w:tc>
          <w:tcPr>
            <w:tcW w:w="1980" w:type="dxa"/>
            <w:noWrap w:val="0"/>
            <w:vAlign w:val="center"/>
          </w:tcPr>
          <w:p w14:paraId="5D633A5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专家</w:t>
            </w: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912" w:type="dxa"/>
            <w:noWrap w:val="0"/>
            <w:vAlign w:val="center"/>
          </w:tcPr>
          <w:p w14:paraId="33CA27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联系电话</w:t>
            </w:r>
          </w:p>
        </w:tc>
        <w:tc>
          <w:tcPr>
            <w:tcW w:w="1688" w:type="dxa"/>
            <w:noWrap w:val="0"/>
            <w:vAlign w:val="center"/>
          </w:tcPr>
          <w:p w14:paraId="6FCE86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签到时间</w:t>
            </w:r>
          </w:p>
        </w:tc>
      </w:tr>
      <w:tr w14:paraId="2E35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B6F128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08C7FD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58AC5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E3BCF2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7CC40B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F8240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2207B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D9B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45F7EF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18765F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344E8D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26EB5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389F0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3C384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B124BE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760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19641A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445059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9A4B1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D0665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C6492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50838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7FCA9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249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550F68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5FF1E1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0228BA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CFE0C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08B6E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05DCE3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141043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AB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B9F05C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52C9143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1B915E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A380B8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115F0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34FBA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2C908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E50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8AD0D1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64253E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673059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0ACF9AB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FDFAF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27C4B6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BF0F2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F63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6B7F5B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488874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3C253C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E87E88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7C05C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475C56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D68662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7C54A95A">
      <w:pPr>
        <w:spacing w:line="440" w:lineRule="exact"/>
        <w:rPr>
          <w:color w:val="auto"/>
          <w:highlight w:val="none"/>
        </w:rPr>
      </w:pPr>
    </w:p>
    <w:p w14:paraId="282F0EB8">
      <w:pPr>
        <w:spacing w:line="440" w:lineRule="exact"/>
        <w:rPr>
          <w:color w:val="auto"/>
          <w:highlight w:val="none"/>
        </w:rPr>
      </w:pPr>
    </w:p>
    <w:p w14:paraId="240C85B4">
      <w:pPr>
        <w:spacing w:line="440" w:lineRule="exact"/>
        <w:rPr>
          <w:color w:val="auto"/>
          <w:highlight w:val="none"/>
        </w:rPr>
      </w:pPr>
    </w:p>
    <w:p w14:paraId="121FD05F">
      <w:pPr>
        <w:spacing w:line="440" w:lineRule="exact"/>
        <w:rPr>
          <w:color w:val="auto"/>
          <w:highlight w:val="none"/>
        </w:rPr>
      </w:pPr>
    </w:p>
    <w:p w14:paraId="6C1C4002">
      <w:pPr>
        <w:pStyle w:val="4"/>
        <w:spacing w:line="240" w:lineRule="auto"/>
        <w:rPr>
          <w:rFonts w:hint="eastAsia"/>
          <w:color w:val="auto"/>
          <w:sz w:val="28"/>
          <w:szCs w:val="28"/>
          <w:highlight w:val="none"/>
        </w:rPr>
      </w:pPr>
      <w:bookmarkStart w:id="662" w:name="_Toc211063734"/>
      <w:bookmarkStart w:id="663" w:name="_Toc3966"/>
      <w:bookmarkStart w:id="664" w:name="_Toc2102107168"/>
      <w:bookmarkStart w:id="665" w:name="_Toc2944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662"/>
      <w:bookmarkEnd w:id="663"/>
      <w:bookmarkEnd w:id="664"/>
      <w:bookmarkEnd w:id="665"/>
    </w:p>
    <w:p w14:paraId="34C2875E">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eastAsia" w:eastAsia="黑体" w:cs="黑体"/>
          <w:color w:val="auto"/>
          <w:sz w:val="28"/>
          <w:szCs w:val="28"/>
          <w:highlight w:val="none"/>
        </w:rPr>
        <w:t>记录表</w:t>
      </w:r>
    </w:p>
    <w:p w14:paraId="21E6F579">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5998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337D0982">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4B4258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11E19B7A">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5A498EF5">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3771DDCC">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5B24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812718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572DD64C">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163A0A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A7A35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5FC8401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F95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9C22A6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1E380A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E7C8B6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044981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06D01B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6F9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052BE1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2CF541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C37D5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6D1776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52314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E39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CFE0D4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5161" w:type="dxa"/>
            <w:noWrap w:val="0"/>
            <w:vAlign w:val="center"/>
          </w:tcPr>
          <w:p w14:paraId="430C2B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24E82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D81D1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03C81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8FC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98F7EE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5161" w:type="dxa"/>
            <w:noWrap w:val="0"/>
            <w:vAlign w:val="center"/>
          </w:tcPr>
          <w:p w14:paraId="53ECF41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B7328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2FF9C7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E181A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C49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E33C14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5161" w:type="dxa"/>
            <w:noWrap w:val="0"/>
            <w:vAlign w:val="center"/>
          </w:tcPr>
          <w:p w14:paraId="2D36C4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8BAA8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B41C0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28A46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2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A046FE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5161" w:type="dxa"/>
            <w:noWrap w:val="0"/>
            <w:vAlign w:val="center"/>
          </w:tcPr>
          <w:p w14:paraId="061151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0E9A5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DBF95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095057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4CB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3B9E58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5161" w:type="dxa"/>
            <w:noWrap w:val="0"/>
            <w:vAlign w:val="center"/>
          </w:tcPr>
          <w:p w14:paraId="2F0F03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1BA97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F4049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D2B92D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FD7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367048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5161" w:type="dxa"/>
            <w:noWrap w:val="0"/>
            <w:vAlign w:val="center"/>
          </w:tcPr>
          <w:p w14:paraId="409AD0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ACBE9E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9742E5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08771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DF0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BBB8A8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5161" w:type="dxa"/>
            <w:noWrap w:val="0"/>
            <w:vAlign w:val="center"/>
          </w:tcPr>
          <w:p w14:paraId="5FAD7C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09A23E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5876E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579452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EB8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20A395A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5B0DCC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CC0D5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80ED6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0F20412A">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7CE3B57">
      <w:pPr>
        <w:pStyle w:val="4"/>
        <w:spacing w:line="240" w:lineRule="auto"/>
        <w:rPr>
          <w:rFonts w:hint="eastAsia"/>
          <w:color w:val="auto"/>
          <w:sz w:val="28"/>
          <w:szCs w:val="28"/>
          <w:highlight w:val="none"/>
        </w:rPr>
      </w:pPr>
      <w:bookmarkStart w:id="666" w:name="_Toc1310079944"/>
      <w:bookmarkStart w:id="667" w:name="_Toc13801"/>
      <w:bookmarkStart w:id="668" w:name="_Toc3764"/>
      <w:bookmarkStart w:id="669" w:name="_Toc192969300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5</w:t>
      </w:r>
      <w:r>
        <w:rPr>
          <w:rFonts w:hint="eastAsia"/>
          <w:color w:val="auto"/>
          <w:sz w:val="28"/>
          <w:szCs w:val="28"/>
          <w:highlight w:val="none"/>
        </w:rPr>
        <w:t>：形式评审记录表（</w:t>
      </w:r>
      <w:r>
        <w:rPr>
          <w:color w:val="auto"/>
          <w:sz w:val="28"/>
          <w:szCs w:val="28"/>
          <w:highlight w:val="none"/>
        </w:rPr>
        <w:t>商务标）</w:t>
      </w:r>
      <w:bookmarkEnd w:id="666"/>
      <w:bookmarkEnd w:id="667"/>
      <w:bookmarkEnd w:id="668"/>
      <w:bookmarkEnd w:id="669"/>
    </w:p>
    <w:p w14:paraId="79649107">
      <w:pPr>
        <w:spacing w:line="440" w:lineRule="exact"/>
        <w:jc w:val="center"/>
        <w:rPr>
          <w:color w:val="auto"/>
          <w:highlight w:val="none"/>
        </w:rPr>
      </w:pPr>
      <w:r>
        <w:rPr>
          <w:rFonts w:hint="eastAsia" w:eastAsia="黑体" w:cs="黑体"/>
          <w:color w:val="auto"/>
          <w:sz w:val="28"/>
          <w:szCs w:val="28"/>
          <w:highlight w:val="none"/>
        </w:rPr>
        <w:t>形式评审记录表（商务标）</w:t>
      </w:r>
    </w:p>
    <w:p w14:paraId="6F254A41">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313"/>
        <w:gridCol w:w="851"/>
        <w:gridCol w:w="850"/>
        <w:gridCol w:w="993"/>
        <w:gridCol w:w="992"/>
        <w:gridCol w:w="992"/>
        <w:gridCol w:w="992"/>
        <w:gridCol w:w="993"/>
        <w:gridCol w:w="992"/>
        <w:gridCol w:w="964"/>
      </w:tblGrid>
      <w:tr w14:paraId="229A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98662C0">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4313" w:type="dxa"/>
            <w:noWrap w:val="0"/>
            <w:vAlign w:val="center"/>
          </w:tcPr>
          <w:p w14:paraId="249B73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8619" w:type="dxa"/>
            <w:gridSpan w:val="9"/>
            <w:noWrap w:val="0"/>
            <w:vAlign w:val="center"/>
          </w:tcPr>
          <w:p w14:paraId="52B9F7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6557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2077F3B">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4313" w:type="dxa"/>
            <w:noWrap w:val="0"/>
            <w:vAlign w:val="center"/>
          </w:tcPr>
          <w:p w14:paraId="4D7B9A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851" w:type="dxa"/>
            <w:noWrap w:val="0"/>
            <w:vAlign w:val="center"/>
          </w:tcPr>
          <w:p w14:paraId="7CE772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0C4396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CF24B9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6E8CA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D0E53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860C1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BF9342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CCE28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7208A4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0DF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6629FA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4313" w:type="dxa"/>
            <w:noWrap w:val="0"/>
            <w:vAlign w:val="center"/>
          </w:tcPr>
          <w:p w14:paraId="3B8CE8A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投标函盖章</w:t>
            </w:r>
          </w:p>
        </w:tc>
        <w:tc>
          <w:tcPr>
            <w:tcW w:w="851" w:type="dxa"/>
            <w:noWrap w:val="0"/>
            <w:vAlign w:val="center"/>
          </w:tcPr>
          <w:p w14:paraId="0C79C9E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271FE0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348C5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F3D7F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AE608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924CD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FCA30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8476B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1FEB2CF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CCE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AA1204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3</w:t>
            </w:r>
          </w:p>
        </w:tc>
        <w:tc>
          <w:tcPr>
            <w:tcW w:w="4313" w:type="dxa"/>
            <w:noWrap w:val="0"/>
            <w:vAlign w:val="center"/>
          </w:tcPr>
          <w:p w14:paraId="080C13F5">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kern w:val="2"/>
                <w:sz w:val="21"/>
                <w:szCs w:val="21"/>
                <w:highlight w:val="none"/>
                <w:lang w:val="en-US" w:eastAsia="zh-CN" w:bidi="ar-SA"/>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851" w:type="dxa"/>
            <w:noWrap w:val="0"/>
            <w:vAlign w:val="center"/>
          </w:tcPr>
          <w:p w14:paraId="47DB1AEC">
            <w:pPr>
              <w:keepNext w:val="0"/>
              <w:keepLines w:val="0"/>
              <w:suppressLineNumbers w:val="0"/>
              <w:spacing w:before="0" w:beforeAutospacing="0" w:after="0" w:afterAutospacing="0" w:line="360" w:lineRule="auto"/>
              <w:ind w:left="0" w:right="0"/>
              <w:jc w:val="left"/>
              <w:rPr>
                <w:rFonts w:hint="eastAsia" w:ascii="Calibri" w:hAnsi="Calibri" w:eastAsia="宋体" w:cs="宋体"/>
                <w:color w:val="auto"/>
                <w:kern w:val="2"/>
                <w:sz w:val="21"/>
                <w:szCs w:val="21"/>
                <w:highlight w:val="none"/>
                <w:lang w:val="en-US" w:eastAsia="zh-CN" w:bidi="ar-SA"/>
              </w:rPr>
            </w:pPr>
          </w:p>
        </w:tc>
        <w:tc>
          <w:tcPr>
            <w:tcW w:w="850" w:type="dxa"/>
            <w:noWrap w:val="0"/>
            <w:vAlign w:val="center"/>
          </w:tcPr>
          <w:p w14:paraId="582CB5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1E3205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309B5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981FB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5BCCD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14662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4F759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433A66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239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C6FF27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4</w:t>
            </w:r>
          </w:p>
        </w:tc>
        <w:tc>
          <w:tcPr>
            <w:tcW w:w="4313" w:type="dxa"/>
            <w:noWrap w:val="0"/>
            <w:vAlign w:val="center"/>
          </w:tcPr>
          <w:p w14:paraId="22E637D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851" w:type="dxa"/>
            <w:noWrap w:val="0"/>
            <w:vAlign w:val="center"/>
          </w:tcPr>
          <w:p w14:paraId="357DB0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0C511F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E516C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95BE08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87C44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D914E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7F003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816761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42706D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303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9C4CC7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5</w:t>
            </w:r>
          </w:p>
        </w:tc>
        <w:tc>
          <w:tcPr>
            <w:tcW w:w="4313" w:type="dxa"/>
            <w:noWrap w:val="0"/>
            <w:vAlign w:val="center"/>
          </w:tcPr>
          <w:p w14:paraId="547501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w:t>
            </w:r>
          </w:p>
        </w:tc>
        <w:tc>
          <w:tcPr>
            <w:tcW w:w="851" w:type="dxa"/>
            <w:noWrap w:val="0"/>
            <w:vAlign w:val="center"/>
          </w:tcPr>
          <w:p w14:paraId="4D180E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0033F6D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91931F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2A274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7A03B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AD4F89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F91BD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1C214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0CE0678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736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exact"/>
          <w:jc w:val="center"/>
        </w:trPr>
        <w:tc>
          <w:tcPr>
            <w:tcW w:w="912" w:type="dxa"/>
            <w:noWrap w:val="0"/>
            <w:vAlign w:val="center"/>
          </w:tcPr>
          <w:p w14:paraId="00726E3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6</w:t>
            </w:r>
          </w:p>
        </w:tc>
        <w:tc>
          <w:tcPr>
            <w:tcW w:w="4313" w:type="dxa"/>
            <w:noWrap w:val="0"/>
            <w:vAlign w:val="center"/>
          </w:tcPr>
          <w:p w14:paraId="069FEF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报价唯一【</w:t>
            </w:r>
            <w:r>
              <w:rPr>
                <w:rFonts w:hint="eastAsia" w:ascii="Calibri" w:hAnsi="Calibri" w:cs="宋体"/>
                <w:color w:val="auto"/>
                <w:highlight w:val="none"/>
                <w:lang w:val="en-US" w:eastAsia="zh-CN"/>
              </w:rPr>
              <w:t>1.</w:t>
            </w:r>
            <w:r>
              <w:rPr>
                <w:rFonts w:hint="eastAsia" w:ascii="Calibri" w:hAnsi="Calibri" w:eastAsia="宋体" w:cs="宋体"/>
                <w:color w:val="auto"/>
                <w:highlight w:val="none"/>
              </w:rPr>
              <w:t>只能有一个有效报价；</w:t>
            </w:r>
            <w:r>
              <w:rPr>
                <w:rFonts w:hint="eastAsia" w:ascii="Calibri" w:hAnsi="Calibri" w:cs="宋体"/>
                <w:color w:val="auto"/>
                <w:highlight w:val="none"/>
                <w:lang w:val="en-US" w:eastAsia="zh-CN"/>
              </w:rPr>
              <w:t>2.</w:t>
            </w: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 xml:space="preserve">x（1-D%）的，则本项目招标失败，由招标人依法重新招标。D= </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rPr>
              <w:t>（</w:t>
            </w:r>
            <w:r>
              <w:rPr>
                <w:rFonts w:hint="eastAsia" w:ascii="方正楷体_GB2312" w:hAnsi="方正楷体_GB2312" w:eastAsia="方正楷体_GB2312" w:cs="方正楷体_GB2312"/>
                <w:color w:val="auto"/>
                <w:highlight w:val="none"/>
              </w:rPr>
              <w:t>备注：由招标人在招标文件中确定，D值可取0~5</w:t>
            </w:r>
            <w:r>
              <w:rPr>
                <w:rFonts w:hint="eastAsia" w:ascii="Calibri" w:hAnsi="Calibri" w:eastAsia="宋体" w:cs="宋体"/>
                <w:color w:val="auto"/>
                <w:highlight w:val="none"/>
              </w:rPr>
              <w:t>）】</w:t>
            </w:r>
          </w:p>
        </w:tc>
        <w:tc>
          <w:tcPr>
            <w:tcW w:w="851" w:type="dxa"/>
            <w:noWrap w:val="0"/>
            <w:vAlign w:val="center"/>
          </w:tcPr>
          <w:p w14:paraId="28F3D2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61D86E0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350F9C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4602C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899C41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37EAC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5A5C4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3E9E0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5B8DD1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28F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EEE5C02">
            <w:pPr>
              <w:keepNext w:val="0"/>
              <w:keepLines w:val="0"/>
              <w:suppressLineNumbers w:val="0"/>
              <w:spacing w:before="0" w:beforeAutospacing="0" w:after="0" w:afterAutospacing="0" w:line="440" w:lineRule="exact"/>
              <w:ind w:left="0" w:right="0"/>
              <w:jc w:val="center"/>
              <w:rPr>
                <w:rFonts w:hint="eastAsia" w:ascii="Calibri" w:hAnsi="Calibri" w:eastAsia="黑体" w:cs="Times New Roman"/>
                <w:color w:val="auto"/>
                <w:highlight w:val="none"/>
                <w:lang w:val="en-US" w:eastAsia="zh-CN"/>
              </w:rPr>
            </w:pPr>
            <w:r>
              <w:rPr>
                <w:rFonts w:hint="eastAsia" w:ascii="Calibri" w:hAnsi="Calibri" w:eastAsia="黑体" w:cs="Times New Roman"/>
                <w:color w:val="auto"/>
                <w:highlight w:val="none"/>
                <w:lang w:val="en-US" w:eastAsia="zh-CN"/>
              </w:rPr>
              <w:t>7</w:t>
            </w:r>
          </w:p>
        </w:tc>
        <w:tc>
          <w:tcPr>
            <w:tcW w:w="4313" w:type="dxa"/>
            <w:noWrap w:val="0"/>
            <w:vAlign w:val="center"/>
          </w:tcPr>
          <w:p w14:paraId="7CC7B0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851" w:type="dxa"/>
            <w:noWrap w:val="0"/>
            <w:vAlign w:val="center"/>
          </w:tcPr>
          <w:p w14:paraId="140342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144FDD8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B6A12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78466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E6383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7DBBF0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15E4C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2D2A7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1403ED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5B5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46D497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4313" w:type="dxa"/>
            <w:noWrap w:val="0"/>
            <w:vAlign w:val="center"/>
          </w:tcPr>
          <w:p w14:paraId="030A96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851" w:type="dxa"/>
            <w:noWrap w:val="0"/>
            <w:vAlign w:val="center"/>
          </w:tcPr>
          <w:p w14:paraId="44A107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850" w:type="dxa"/>
            <w:noWrap w:val="0"/>
            <w:vAlign w:val="center"/>
          </w:tcPr>
          <w:p w14:paraId="67DDB45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376E69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2A389E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FBA256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9B39D6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60F1C1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94F280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4" w:type="dxa"/>
            <w:noWrap w:val="0"/>
            <w:vAlign w:val="center"/>
          </w:tcPr>
          <w:p w14:paraId="0314385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2A0290AF">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7DEEBEDD">
      <w:pPr>
        <w:spacing w:line="440" w:lineRule="exact"/>
        <w:rPr>
          <w:rFonts w:cs="宋体"/>
          <w:color w:val="auto"/>
          <w:highlight w:val="none"/>
        </w:rPr>
      </w:pPr>
      <w:r>
        <w:rPr>
          <w:rFonts w:hint="eastAsia" w:cs="宋体"/>
          <w:color w:val="auto"/>
          <w:highlight w:val="none"/>
        </w:rPr>
        <w:t>评标委员会全体商务标评委签名：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A0F202C">
      <w:pPr>
        <w:pStyle w:val="4"/>
        <w:spacing w:line="240" w:lineRule="auto"/>
        <w:rPr>
          <w:color w:val="auto"/>
          <w:sz w:val="28"/>
          <w:szCs w:val="28"/>
          <w:highlight w:val="none"/>
        </w:rPr>
      </w:pPr>
      <w:bookmarkStart w:id="670" w:name="_Toc15408"/>
      <w:bookmarkStart w:id="671" w:name="_Toc99082222"/>
      <w:bookmarkStart w:id="672" w:name="_Toc1304989578"/>
      <w:bookmarkStart w:id="673" w:name="_Toc2841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6</w:t>
      </w:r>
      <w:r>
        <w:rPr>
          <w:rFonts w:hint="eastAsia"/>
          <w:color w:val="auto"/>
          <w:sz w:val="28"/>
          <w:szCs w:val="28"/>
          <w:highlight w:val="none"/>
        </w:rPr>
        <w:t>：形式评审记录表（技术标）</w:t>
      </w:r>
      <w:bookmarkEnd w:id="670"/>
      <w:bookmarkEnd w:id="671"/>
      <w:bookmarkEnd w:id="672"/>
      <w:bookmarkEnd w:id="673"/>
    </w:p>
    <w:p w14:paraId="1836AE99">
      <w:pPr>
        <w:spacing w:line="440" w:lineRule="exact"/>
        <w:jc w:val="center"/>
        <w:rPr>
          <w:rFonts w:hint="eastAsia"/>
          <w:color w:val="auto"/>
          <w:highlight w:val="none"/>
        </w:rPr>
      </w:pPr>
      <w:r>
        <w:rPr>
          <w:rFonts w:hint="eastAsia" w:eastAsia="黑体" w:cs="黑体"/>
          <w:color w:val="auto"/>
          <w:sz w:val="28"/>
          <w:szCs w:val="28"/>
          <w:highlight w:val="none"/>
        </w:rPr>
        <w:t>形式评审记录表（</w:t>
      </w:r>
      <w:r>
        <w:rPr>
          <w:rFonts w:eastAsia="黑体" w:cs="黑体"/>
          <w:color w:val="auto"/>
          <w:sz w:val="28"/>
          <w:szCs w:val="28"/>
          <w:highlight w:val="none"/>
        </w:rPr>
        <w:t>技术标）</w:t>
      </w:r>
    </w:p>
    <w:p w14:paraId="788828CE">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BD2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03E85AC3">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noWrap w:val="0"/>
            <w:vAlign w:val="center"/>
          </w:tcPr>
          <w:p w14:paraId="6EFBAD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3887E6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B0B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9F87DE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3AFBF3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1197" w:type="dxa"/>
            <w:noWrap w:val="0"/>
            <w:vAlign w:val="center"/>
          </w:tcPr>
          <w:p w14:paraId="16A65E2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5F210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5AEEE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A6AE36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3CE95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20824F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73C692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DF732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2C249B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799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68DE03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23A7BF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1197" w:type="dxa"/>
            <w:noWrap w:val="0"/>
            <w:vAlign w:val="center"/>
          </w:tcPr>
          <w:p w14:paraId="3C70107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6CEAA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4C97F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AD2E3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022CC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CD9A2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E3621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E0E8D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12C82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AAC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58AC5E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1F42C3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w:t>
            </w:r>
          </w:p>
        </w:tc>
        <w:tc>
          <w:tcPr>
            <w:tcW w:w="1197" w:type="dxa"/>
            <w:noWrap w:val="0"/>
            <w:vAlign w:val="center"/>
          </w:tcPr>
          <w:p w14:paraId="0D837AC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21D11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D3AABC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B2C19C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F7802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844F8E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00BE22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93EA5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299F01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EAD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3C7BDF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3F35528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DE1400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C286D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7EDF7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F0AD45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0BFDA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DB1BF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BCB222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A6B431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8B45F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B91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9AADA5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4F8C3A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55F65A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51F2CF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E9D72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EADF37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AC382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C23B79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C9875B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BF9BDC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40586E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E53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FA99F4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1A6BDC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2BA66BF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A16CAA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65331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C8843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5C5AD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648EC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5D0AF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F0F45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284BF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8B4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0C1825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2156" w:type="dxa"/>
            <w:noWrap w:val="0"/>
            <w:vAlign w:val="center"/>
          </w:tcPr>
          <w:p w14:paraId="4910B2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6634E9F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94E8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6B628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DECB35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24B933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6D47E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554B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B5427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7E6047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7D3E5EF4">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6666F62C">
      <w:pPr>
        <w:spacing w:line="440" w:lineRule="exact"/>
        <w:rPr>
          <w:color w:val="auto"/>
          <w:highlight w:val="none"/>
        </w:rPr>
      </w:pPr>
      <w:r>
        <w:rPr>
          <w:rFonts w:hint="eastAsia" w:cs="宋体"/>
          <w:color w:val="auto"/>
          <w:highlight w:val="none"/>
        </w:rPr>
        <w:t>评标委员会全体技术标评委签名：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9C85E94">
      <w:pPr>
        <w:spacing w:line="440" w:lineRule="exact"/>
        <w:rPr>
          <w:rFonts w:hint="eastAsia"/>
          <w:color w:val="auto"/>
          <w:highlight w:val="none"/>
        </w:rPr>
      </w:pPr>
    </w:p>
    <w:p w14:paraId="74B34DE2">
      <w:pPr>
        <w:pStyle w:val="4"/>
        <w:spacing w:line="240" w:lineRule="auto"/>
        <w:rPr>
          <w:rFonts w:hint="eastAsia"/>
          <w:b w:val="0"/>
          <w:bCs w:val="0"/>
          <w:color w:val="auto"/>
          <w:highlight w:val="none"/>
        </w:rPr>
      </w:pPr>
      <w:r>
        <w:rPr>
          <w:color w:val="auto"/>
          <w:highlight w:val="none"/>
        </w:rPr>
        <w:br w:type="page"/>
      </w:r>
      <w:bookmarkStart w:id="674" w:name="_Toc828114278"/>
      <w:bookmarkStart w:id="675" w:name="_Toc22870"/>
      <w:bookmarkStart w:id="676" w:name="_Toc7971"/>
      <w:bookmarkStart w:id="677" w:name="_Toc21206522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7</w:t>
      </w:r>
      <w:r>
        <w:rPr>
          <w:rFonts w:hint="eastAsia"/>
          <w:color w:val="auto"/>
          <w:sz w:val="28"/>
          <w:szCs w:val="28"/>
          <w:highlight w:val="none"/>
        </w:rPr>
        <w:t>：响应性评审记录表（</w:t>
      </w:r>
      <w:r>
        <w:rPr>
          <w:color w:val="auto"/>
          <w:sz w:val="28"/>
          <w:szCs w:val="28"/>
          <w:highlight w:val="none"/>
        </w:rPr>
        <w:t>商务标）</w:t>
      </w:r>
      <w:bookmarkEnd w:id="674"/>
      <w:bookmarkEnd w:id="675"/>
      <w:bookmarkEnd w:id="676"/>
      <w:bookmarkEnd w:id="677"/>
    </w:p>
    <w:p w14:paraId="466E8919">
      <w:pPr>
        <w:spacing w:line="440" w:lineRule="exact"/>
        <w:jc w:val="center"/>
        <w:rPr>
          <w:rFonts w:hint="eastAsia"/>
          <w:color w:val="auto"/>
          <w:highlight w:val="none"/>
        </w:rPr>
      </w:pPr>
      <w:r>
        <w:rPr>
          <w:rFonts w:hint="eastAsia" w:eastAsia="黑体" w:cs="黑体"/>
          <w:color w:val="auto"/>
          <w:sz w:val="28"/>
          <w:szCs w:val="28"/>
          <w:highlight w:val="none"/>
        </w:rPr>
        <w:t>响应性评审记录表（商务</w:t>
      </w:r>
      <w:r>
        <w:rPr>
          <w:rFonts w:eastAsia="黑体" w:cs="黑体"/>
          <w:color w:val="auto"/>
          <w:sz w:val="28"/>
          <w:szCs w:val="28"/>
          <w:highlight w:val="none"/>
        </w:rPr>
        <w:t>标）</w:t>
      </w:r>
    </w:p>
    <w:p w14:paraId="11B10FAD">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A6F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39ECD6AB">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0F0F14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044DA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215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240FF2B0">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03B07E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59A8F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BD4AC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30727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994EB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0FBF2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0EB67C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18928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00849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334FA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5E7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F55A5C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522B0FFD">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r>
              <w:rPr>
                <w:rFonts w:hint="default" w:ascii="Calibri" w:hAnsi="Calibri" w:eastAsia="宋体" w:cs="宋体"/>
                <w:color w:val="auto"/>
                <w:highlight w:val="none"/>
              </w:rPr>
              <w:t>格式</w:t>
            </w:r>
          </w:p>
        </w:tc>
        <w:tc>
          <w:tcPr>
            <w:tcW w:w="1197" w:type="dxa"/>
            <w:noWrap w:val="0"/>
            <w:vAlign w:val="center"/>
          </w:tcPr>
          <w:p w14:paraId="5D8E2E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C42A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ED238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1DF3A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1D59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AD2577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A8B44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01A1A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67E1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94C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BE0B96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64A0DB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1D3DAD5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5F16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41C3C8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13914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414C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58C43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5CAFF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5DEA0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6252D4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F9F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25A29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446A0A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1E4E3E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EE6BF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9215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97DB5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F947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E42E0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A0B17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63BA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7742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F41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C3A453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4102BE7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4CE9AD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57DC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74D82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0C21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EFF51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BC6F3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CC51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BDB7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CFEF8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BF1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3DB344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0A348F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247A44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48FB2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04D5F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1C562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E0C1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5666E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1E3B1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A2F66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5865D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DA9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579F1F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520ADD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0053AFF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0B4B0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6767E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AEB1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C645A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72E7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3ED6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F3D46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63831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259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CECA16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3F9CC99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投标价格</w:t>
            </w:r>
          </w:p>
        </w:tc>
        <w:tc>
          <w:tcPr>
            <w:tcW w:w="1197" w:type="dxa"/>
            <w:noWrap w:val="0"/>
            <w:vAlign w:val="center"/>
          </w:tcPr>
          <w:p w14:paraId="414034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57B4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D8AD1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1371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A5E3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21A0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807F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BFFA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E229E9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DED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A0BA3F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3717C3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6C5BA3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0144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DAFDE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A3FF3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1EE29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9CB56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D552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B2E0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4D2DD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9A8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C91E7E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403782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w:t>
            </w:r>
          </w:p>
        </w:tc>
        <w:tc>
          <w:tcPr>
            <w:tcW w:w="1197" w:type="dxa"/>
            <w:noWrap w:val="0"/>
            <w:vAlign w:val="center"/>
          </w:tcPr>
          <w:p w14:paraId="5B067A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020F3C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50D6C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94DD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B17B9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A1D5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7D7B7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82C9A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3DE44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136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FC9A0E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11A8FD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2294DD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7DA5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86031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7A46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F01C1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D75E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FD68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24FF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74DF3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FE5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51A6D5F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37EBF4C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1495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2BDE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F0AD1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146B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46FB3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24FE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0A7B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24F27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479352F5">
      <w:pPr>
        <w:spacing w:line="360" w:lineRule="exact"/>
        <w:rPr>
          <w:rFonts w:hint="eastAsia" w:cs="宋体"/>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r>
        <w:rPr>
          <w:rFonts w:hint="eastAsia" w:eastAsia="楷体_GB2312" w:cs="楷体_GB2312"/>
          <w:color w:val="auto"/>
          <w:highlight w:val="none"/>
          <w:lang w:eastAsia="zh-CN"/>
        </w:rPr>
        <w:t>】</w:t>
      </w:r>
    </w:p>
    <w:p w14:paraId="42B474D7">
      <w:pPr>
        <w:spacing w:line="360" w:lineRule="exact"/>
        <w:rPr>
          <w:rFonts w:cs="宋体"/>
          <w:color w:val="auto"/>
          <w:highlight w:val="none"/>
        </w:rPr>
      </w:pPr>
      <w:r>
        <w:rPr>
          <w:rFonts w:hint="eastAsia" w:cs="宋体"/>
          <w:color w:val="auto"/>
          <w:highlight w:val="none"/>
        </w:rPr>
        <w:t>评标委员会全体商务标成员签名：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BC0C93B">
      <w:pPr>
        <w:spacing w:line="360" w:lineRule="exact"/>
        <w:rPr>
          <w:rFonts w:hint="eastAsia" w:cs="宋体"/>
          <w:color w:val="auto"/>
          <w:highlight w:val="none"/>
        </w:rPr>
      </w:pPr>
    </w:p>
    <w:p w14:paraId="149079CF">
      <w:pPr>
        <w:spacing w:line="360" w:lineRule="exact"/>
        <w:rPr>
          <w:rFonts w:cs="宋体"/>
          <w:color w:val="auto"/>
          <w:highlight w:val="none"/>
        </w:rPr>
      </w:pPr>
    </w:p>
    <w:p w14:paraId="008FC198">
      <w:pPr>
        <w:spacing w:line="360" w:lineRule="exact"/>
        <w:rPr>
          <w:rFonts w:cs="宋体"/>
          <w:color w:val="auto"/>
          <w:highlight w:val="none"/>
        </w:rPr>
      </w:pPr>
    </w:p>
    <w:p w14:paraId="65F2CBF0">
      <w:pPr>
        <w:spacing w:line="360" w:lineRule="exact"/>
        <w:rPr>
          <w:rFonts w:cs="宋体"/>
          <w:color w:val="auto"/>
          <w:highlight w:val="none"/>
        </w:rPr>
      </w:pPr>
    </w:p>
    <w:p w14:paraId="29B3DF23">
      <w:pPr>
        <w:pStyle w:val="4"/>
        <w:spacing w:line="240" w:lineRule="auto"/>
        <w:rPr>
          <w:rFonts w:hint="eastAsia"/>
          <w:color w:val="auto"/>
          <w:sz w:val="28"/>
          <w:szCs w:val="28"/>
          <w:highlight w:val="none"/>
        </w:rPr>
      </w:pPr>
      <w:bookmarkStart w:id="678" w:name="_Toc1719644952"/>
      <w:bookmarkStart w:id="679" w:name="_Toc829617024"/>
      <w:bookmarkStart w:id="680" w:name="_Toc10613"/>
      <w:bookmarkStart w:id="681" w:name="_Toc23624"/>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8</w:t>
      </w:r>
      <w:r>
        <w:rPr>
          <w:rFonts w:hint="eastAsia"/>
          <w:color w:val="auto"/>
          <w:sz w:val="28"/>
          <w:szCs w:val="28"/>
          <w:highlight w:val="none"/>
        </w:rPr>
        <w:t>：响应性评审记录表（</w:t>
      </w:r>
      <w:r>
        <w:rPr>
          <w:color w:val="auto"/>
          <w:sz w:val="28"/>
          <w:szCs w:val="28"/>
          <w:highlight w:val="none"/>
        </w:rPr>
        <w:t>技术标）</w:t>
      </w:r>
      <w:bookmarkEnd w:id="678"/>
      <w:bookmarkEnd w:id="679"/>
      <w:bookmarkEnd w:id="680"/>
      <w:bookmarkEnd w:id="681"/>
    </w:p>
    <w:p w14:paraId="58F27C61">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技术</w:t>
      </w:r>
      <w:r>
        <w:rPr>
          <w:rFonts w:hint="eastAsia" w:eastAsia="黑体" w:cs="黑体"/>
          <w:color w:val="auto"/>
          <w:sz w:val="28"/>
          <w:szCs w:val="28"/>
          <w:highlight w:val="none"/>
        </w:rPr>
        <w:t>标</w:t>
      </w:r>
      <w:r>
        <w:rPr>
          <w:rFonts w:eastAsia="黑体" w:cs="黑体"/>
          <w:color w:val="auto"/>
          <w:sz w:val="28"/>
          <w:szCs w:val="28"/>
          <w:highlight w:val="none"/>
        </w:rPr>
        <w:t>）</w:t>
      </w:r>
    </w:p>
    <w:p w14:paraId="7C1FAFA4">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AB1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5B75FBA1">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512E60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177109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7661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400A8E8B">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477748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55803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02D9D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48445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5F050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7AA74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49FE3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4DB54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46E97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09591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25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A17CD1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5D938788">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r>
              <w:rPr>
                <w:rFonts w:hint="default" w:ascii="Calibri" w:hAnsi="Calibri" w:eastAsia="宋体" w:cs="宋体"/>
                <w:color w:val="auto"/>
                <w:highlight w:val="none"/>
              </w:rPr>
              <w:t>格式</w:t>
            </w:r>
          </w:p>
        </w:tc>
        <w:tc>
          <w:tcPr>
            <w:tcW w:w="1197" w:type="dxa"/>
            <w:noWrap w:val="0"/>
            <w:vAlign w:val="center"/>
          </w:tcPr>
          <w:p w14:paraId="20AD4D7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45731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9328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BF5E5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9D9C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F58252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CAF85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C85CF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BB20A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046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C949C6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19B01B2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1868BC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C9676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1ECF5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740EE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538E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437E6A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432B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05518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0378A6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FF0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7D7781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1FFFBB2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3CBBA7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8AF26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72E4B7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338EF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F989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F7ACF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878C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CF0FD2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0174F4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DA1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AE57AC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7D4B6B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33E09C3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D4EC3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B5B8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16C1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6CF3C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62D53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0DA880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5F97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FAD530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5A3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D3F154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69E57F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3B6621A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B277DA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FFAEAA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C0B1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5687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B5D7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C3DD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BCA8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8D604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526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C4BDE0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1017B8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003449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3FED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56CBCB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27B21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6B9D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E27D1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487D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D1B0B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685DF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00A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5D8027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42A6B8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71432C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CCA81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8134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54F0F0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CD16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74F595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56AEE2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E6DA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7575D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20A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EA6B72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1F38615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DB12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5BE92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A62FDA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F6355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99523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84C8E3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C10E4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D2308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7CEC1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06D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72345B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63F185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D1A0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C485A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46FC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EF29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F1785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3DDB1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A3B35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1C75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A6344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1E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76CAC9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29D27B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2C838B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6351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7BF0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96DEE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F4AEA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45C1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2261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D175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A41D9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D54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5EF9CD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7E2126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5EF1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F007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44E21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DECE7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4587D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1E546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7AF3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F04EF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6316E265">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14:paraId="68C7D394">
      <w:pPr>
        <w:spacing w:line="360" w:lineRule="exact"/>
        <w:rPr>
          <w:rFonts w:hint="eastAsia" w:cs="宋体"/>
          <w:color w:val="auto"/>
          <w:highlight w:val="none"/>
        </w:rPr>
      </w:pPr>
      <w:r>
        <w:rPr>
          <w:rFonts w:hint="eastAsia" w:cs="宋体"/>
          <w:color w:val="auto"/>
          <w:highlight w:val="none"/>
        </w:rPr>
        <w:t>评标委员会全体技术</w:t>
      </w:r>
      <w:r>
        <w:rPr>
          <w:rFonts w:cs="宋体"/>
          <w:color w:val="auto"/>
          <w:highlight w:val="none"/>
        </w:rPr>
        <w:t>标评委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3EF2E1D">
      <w:pPr>
        <w:pStyle w:val="4"/>
        <w:spacing w:line="240" w:lineRule="auto"/>
        <w:rPr>
          <w:rFonts w:hint="eastAsia"/>
          <w:color w:val="auto"/>
          <w:sz w:val="28"/>
          <w:szCs w:val="28"/>
          <w:highlight w:val="none"/>
        </w:rPr>
      </w:pPr>
      <w:bookmarkStart w:id="682" w:name="_Toc1623264860"/>
      <w:bookmarkStart w:id="683" w:name="_Toc746066489"/>
      <w:bookmarkStart w:id="684" w:name="_Toc8883"/>
      <w:bookmarkStart w:id="685" w:name="_Toc2956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9</w:t>
      </w:r>
      <w:r>
        <w:rPr>
          <w:rFonts w:hint="eastAsia"/>
          <w:color w:val="auto"/>
          <w:sz w:val="28"/>
          <w:szCs w:val="28"/>
          <w:highlight w:val="none"/>
        </w:rPr>
        <w:t>：</w:t>
      </w:r>
      <w:r>
        <w:rPr>
          <w:rFonts w:hint="eastAsia"/>
          <w:color w:val="auto"/>
          <w:sz w:val="28"/>
          <w:szCs w:val="28"/>
          <w:highlight w:val="none"/>
          <w:lang w:eastAsia="zh-CN"/>
        </w:rPr>
        <w:t>投标报价排序表</w:t>
      </w:r>
      <w:bookmarkEnd w:id="682"/>
      <w:bookmarkEnd w:id="683"/>
      <w:bookmarkEnd w:id="684"/>
      <w:bookmarkEnd w:id="685"/>
    </w:p>
    <w:p w14:paraId="0F9694B9">
      <w:pPr>
        <w:spacing w:line="440" w:lineRule="exact"/>
        <w:jc w:val="center"/>
        <w:rPr>
          <w:rFonts w:hint="eastAsia"/>
          <w:color w:val="auto"/>
          <w:highlight w:val="none"/>
        </w:rPr>
      </w:pPr>
      <w:r>
        <w:rPr>
          <w:rFonts w:hint="eastAsia"/>
          <w:color w:val="auto"/>
          <w:sz w:val="28"/>
          <w:szCs w:val="28"/>
          <w:highlight w:val="none"/>
          <w:lang w:eastAsia="zh-CN"/>
        </w:rPr>
        <w:t>投标报价排序表</w:t>
      </w:r>
    </w:p>
    <w:p w14:paraId="4E327CD9">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766B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030B48C6">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025655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4DF4DD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7CBF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0B67A294">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29F2A1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84F30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D14A1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CE2B9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62F1E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54273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2D2B8A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D2D86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54C68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9629C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79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6DF335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1973FCC5">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投标总报价</w:t>
            </w:r>
          </w:p>
        </w:tc>
        <w:tc>
          <w:tcPr>
            <w:tcW w:w="1197" w:type="dxa"/>
            <w:noWrap w:val="0"/>
            <w:vAlign w:val="center"/>
          </w:tcPr>
          <w:p w14:paraId="03E3181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8A42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B35A3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1803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D0C5F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B686E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2380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61D4F6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87979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7B3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395211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7B9EC273">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按报价从低到高排序</w:t>
            </w:r>
          </w:p>
        </w:tc>
        <w:tc>
          <w:tcPr>
            <w:tcW w:w="1197" w:type="dxa"/>
            <w:noWrap w:val="0"/>
            <w:vAlign w:val="center"/>
          </w:tcPr>
          <w:p w14:paraId="3258C8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C1C6C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743E72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4D9B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CD23D7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FACF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4F170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0426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E594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396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6ECB34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24858D2B">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是否参加资格评审</w:t>
            </w:r>
          </w:p>
        </w:tc>
        <w:tc>
          <w:tcPr>
            <w:tcW w:w="1197" w:type="dxa"/>
            <w:noWrap w:val="0"/>
            <w:vAlign w:val="center"/>
          </w:tcPr>
          <w:p w14:paraId="17CF77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A7524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2048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AD34F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FF20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487C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5F21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E503A9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C6811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A97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3487A66">
            <w:pPr>
              <w:keepNext w:val="0"/>
              <w:keepLines w:val="0"/>
              <w:suppressLineNumbers w:val="0"/>
              <w:spacing w:before="0" w:beforeAutospacing="0" w:after="72" w:afterLines="30" w:afterAutospacing="0" w:line="440" w:lineRule="exact"/>
              <w:ind w:left="0" w:right="0"/>
              <w:jc w:val="center"/>
              <w:rPr>
                <w:rFonts w:hint="default" w:ascii="Calibri" w:hAnsi="Calibri" w:eastAsia="黑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74DA47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37B6FD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7E35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697ED3D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36F670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CE85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2C63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59709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739AA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B6AD3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851D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68C7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7895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3823D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C52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028940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22695DC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投标总报价</w:t>
            </w:r>
          </w:p>
        </w:tc>
        <w:tc>
          <w:tcPr>
            <w:tcW w:w="1197" w:type="dxa"/>
            <w:noWrap w:val="0"/>
            <w:vAlign w:val="center"/>
          </w:tcPr>
          <w:p w14:paraId="595C23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F5ABC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F00C5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EE3685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05B7FF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CFD02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BC160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AE06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724E7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715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1B8EDC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256DF7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按报价从低到高排序</w:t>
            </w:r>
          </w:p>
        </w:tc>
        <w:tc>
          <w:tcPr>
            <w:tcW w:w="1197" w:type="dxa"/>
            <w:noWrap w:val="0"/>
            <w:vAlign w:val="center"/>
          </w:tcPr>
          <w:p w14:paraId="6F1CC8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C07C8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62AD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6F14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C766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F07041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6A6B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3303B1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95EF7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69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081C75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58026C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是否参加资格评审</w:t>
            </w:r>
          </w:p>
        </w:tc>
        <w:tc>
          <w:tcPr>
            <w:tcW w:w="1197" w:type="dxa"/>
            <w:noWrap w:val="0"/>
            <w:vAlign w:val="center"/>
          </w:tcPr>
          <w:p w14:paraId="499763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C48E4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18F6B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49BA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AEB4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D112D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51C90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54332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90ED74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4B44F230">
      <w:pPr>
        <w:spacing w:line="360" w:lineRule="exact"/>
        <w:rPr>
          <w:rFonts w:hint="eastAsia" w:cs="宋体"/>
          <w:color w:val="auto"/>
          <w:highlight w:val="none"/>
        </w:rPr>
      </w:pPr>
    </w:p>
    <w:p w14:paraId="72768B38">
      <w:pPr>
        <w:spacing w:line="360" w:lineRule="exact"/>
        <w:rPr>
          <w:rFonts w:hint="eastAsia" w:cs="宋体"/>
          <w:color w:val="auto"/>
          <w:highlight w:val="none"/>
        </w:rPr>
      </w:pPr>
    </w:p>
    <w:p w14:paraId="6BD57996">
      <w:pPr>
        <w:spacing w:line="360" w:lineRule="exact"/>
        <w:rPr>
          <w:rFonts w:hint="eastAsia" w:cs="宋体"/>
          <w:color w:val="auto"/>
          <w:highlight w:val="none"/>
        </w:rPr>
      </w:pPr>
    </w:p>
    <w:p w14:paraId="46A683F4">
      <w:pPr>
        <w:spacing w:line="360" w:lineRule="exact"/>
        <w:rPr>
          <w:rFonts w:hint="eastAsia" w:cs="宋体"/>
          <w:color w:val="auto"/>
          <w:highlight w:val="none"/>
        </w:rPr>
      </w:pPr>
      <w:r>
        <w:rPr>
          <w:rFonts w:hint="eastAsia" w:cs="宋体"/>
          <w:color w:val="auto"/>
          <w:highlight w:val="none"/>
        </w:rPr>
        <w:t>评标委员会全体</w:t>
      </w:r>
      <w:r>
        <w:rPr>
          <w:rFonts w:hint="eastAsia" w:cs="宋体"/>
          <w:color w:val="auto"/>
          <w:highlight w:val="none"/>
          <w:lang w:eastAsia="zh-CN"/>
        </w:rPr>
        <w:t>商务</w:t>
      </w:r>
      <w:r>
        <w:rPr>
          <w:rFonts w:cs="宋体"/>
          <w:color w:val="auto"/>
          <w:highlight w:val="none"/>
        </w:rPr>
        <w:t>标评委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F82CF21">
      <w:pPr>
        <w:spacing w:line="360" w:lineRule="exact"/>
        <w:rPr>
          <w:rFonts w:hint="eastAsia" w:cs="宋体"/>
          <w:color w:val="auto"/>
          <w:highlight w:val="none"/>
        </w:rPr>
      </w:pPr>
    </w:p>
    <w:p w14:paraId="6296CF93">
      <w:pPr>
        <w:pStyle w:val="27"/>
        <w:pBdr>
          <w:top w:val="none" w:color="auto" w:sz="0" w:space="0"/>
          <w:left w:val="none" w:color="auto" w:sz="0" w:space="0"/>
          <w:bottom w:val="none" w:color="auto" w:sz="0" w:space="0"/>
          <w:right w:val="none" w:color="auto" w:sz="0" w:space="0"/>
          <w:between w:val="none" w:color="auto" w:sz="0" w:space="0"/>
        </w:pBdr>
        <w:rPr>
          <w:rFonts w:hint="eastAsia"/>
          <w:color w:val="auto"/>
          <w:highlight w:val="none"/>
        </w:rPr>
      </w:pPr>
    </w:p>
    <w:p w14:paraId="7BF18ABA">
      <w:pPr>
        <w:pBdr>
          <w:top w:val="none" w:color="auto" w:sz="0" w:space="0"/>
          <w:left w:val="none" w:color="auto" w:sz="0" w:space="0"/>
          <w:bottom w:val="none" w:color="auto" w:sz="0" w:space="0"/>
          <w:right w:val="none" w:color="auto" w:sz="0" w:space="0"/>
          <w:between w:val="none" w:color="auto" w:sz="0" w:space="0"/>
        </w:pBdr>
        <w:spacing w:line="360" w:lineRule="exact"/>
        <w:rPr>
          <w:rFonts w:hint="default" w:eastAsia="宋体"/>
          <w:color w:val="auto"/>
          <w:highlight w:val="none"/>
          <w:lang w:val="en-US" w:eastAsia="zh-CN"/>
        </w:rPr>
      </w:pPr>
    </w:p>
    <w:p w14:paraId="0D13ABB4">
      <w:pPr>
        <w:spacing w:line="360" w:lineRule="exact"/>
        <w:rPr>
          <w:rFonts w:hint="eastAsia"/>
          <w:color w:val="auto"/>
          <w:highlight w:val="none"/>
        </w:rPr>
      </w:pPr>
    </w:p>
    <w:p w14:paraId="1B85E7E5">
      <w:pPr>
        <w:pStyle w:val="4"/>
        <w:spacing w:line="240" w:lineRule="auto"/>
        <w:rPr>
          <w:color w:val="auto"/>
          <w:sz w:val="28"/>
          <w:szCs w:val="28"/>
          <w:highlight w:val="none"/>
        </w:rPr>
      </w:pPr>
      <w:bookmarkStart w:id="686" w:name="_Toc1630"/>
      <w:bookmarkStart w:id="687" w:name="_Toc59203030"/>
      <w:bookmarkStart w:id="688" w:name="_Toc1239262623"/>
      <w:bookmarkStart w:id="689" w:name="_Toc2064771948"/>
      <w:bookmarkStart w:id="690" w:name="_Toc78449720"/>
      <w:bookmarkStart w:id="691" w:name="_Toc28397"/>
      <w:r>
        <w:rPr>
          <w:color w:val="auto"/>
          <w:sz w:val="28"/>
          <w:szCs w:val="28"/>
          <w:highlight w:val="none"/>
        </w:rPr>
        <w:t>附表A-</w:t>
      </w:r>
      <w:r>
        <w:rPr>
          <w:rFonts w:hint="eastAsia"/>
          <w:color w:val="auto"/>
          <w:sz w:val="28"/>
          <w:szCs w:val="28"/>
          <w:highlight w:val="none"/>
          <w:lang w:val="en-US" w:eastAsia="zh-CN"/>
        </w:rPr>
        <w:t>10</w:t>
      </w:r>
      <w:r>
        <w:rPr>
          <w:color w:val="auto"/>
          <w:sz w:val="28"/>
          <w:szCs w:val="28"/>
          <w:highlight w:val="none"/>
        </w:rPr>
        <w:t>：资格评审记录表</w:t>
      </w:r>
      <w:r>
        <w:rPr>
          <w:rFonts w:hint="eastAsia"/>
          <w:color w:val="auto"/>
          <w:sz w:val="28"/>
          <w:szCs w:val="28"/>
          <w:highlight w:val="none"/>
        </w:rPr>
        <w:t>一</w:t>
      </w:r>
      <w:bookmarkEnd w:id="686"/>
      <w:bookmarkEnd w:id="687"/>
      <w:bookmarkEnd w:id="688"/>
      <w:bookmarkEnd w:id="689"/>
      <w:bookmarkEnd w:id="690"/>
      <w:bookmarkEnd w:id="691"/>
    </w:p>
    <w:p w14:paraId="1A3AAC2A">
      <w:pPr>
        <w:spacing w:line="240" w:lineRule="exact"/>
        <w:rPr>
          <w:color w:val="auto"/>
          <w:highlight w:val="none"/>
        </w:rPr>
      </w:pPr>
    </w:p>
    <w:p w14:paraId="0670E825">
      <w:pPr>
        <w:spacing w:line="240" w:lineRule="exact"/>
        <w:jc w:val="center"/>
        <w:rPr>
          <w:color w:val="auto"/>
          <w:highlight w:val="none"/>
        </w:rPr>
      </w:pPr>
      <w:r>
        <w:rPr>
          <w:rFonts w:hint="eastAsia"/>
          <w:b/>
          <w:color w:val="auto"/>
          <w:highlight w:val="none"/>
        </w:rPr>
        <w:t>资格审查评审记录表一</w:t>
      </w:r>
    </w:p>
    <w:tbl>
      <w:tblPr>
        <w:tblStyle w:val="40"/>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1134"/>
      </w:tblGrid>
      <w:tr w14:paraId="0175A740">
        <w:tblPrEx>
          <w:tblCellMar>
            <w:top w:w="15" w:type="dxa"/>
            <w:left w:w="15" w:type="dxa"/>
            <w:bottom w:w="15" w:type="dxa"/>
            <w:right w:w="15" w:type="dxa"/>
          </w:tblCellMar>
        </w:tblPrEx>
        <w:trPr>
          <w:trHeight w:val="330" w:hRule="atLeast"/>
        </w:trPr>
        <w:tc>
          <w:tcPr>
            <w:tcW w:w="1080" w:type="dxa"/>
            <w:gridSpan w:val="2"/>
            <w:noWrap w:val="0"/>
            <w:vAlign w:val="top"/>
          </w:tcPr>
          <w:p w14:paraId="4911DE2D">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946" w:type="dxa"/>
            <w:gridSpan w:val="12"/>
            <w:noWrap w:val="0"/>
            <w:vAlign w:val="center"/>
          </w:tcPr>
          <w:p w14:paraId="11FDC645">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26BF4C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1B793C92">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30EC3D6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D7616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14:paraId="15D2FBD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合格标准：投标人符合第二章“投标人须知”正</w:t>
            </w:r>
            <w:r>
              <w:rPr>
                <w:rFonts w:hint="default" w:ascii="宋体" w:hAnsi="宋体" w:eastAsia="宋体" w:cs="宋体"/>
                <w:color w:val="auto"/>
                <w:kern w:val="0"/>
                <w:sz w:val="24"/>
                <w:highlight w:val="none"/>
              </w:rPr>
              <w:t>文</w:t>
            </w:r>
            <w:r>
              <w:rPr>
                <w:rFonts w:hint="eastAsia" w:ascii="宋体" w:hAnsi="宋体" w:eastAsia="宋体" w:cs="宋体"/>
                <w:color w:val="auto"/>
                <w:kern w:val="0"/>
                <w:sz w:val="24"/>
                <w:highlight w:val="none"/>
              </w:rPr>
              <w:t>第1.4项规定的，且按规定提交了第二章“投标人须知前附表”3.1.1项资格审查部分（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）项内容的</w:t>
            </w:r>
            <w:r>
              <w:rPr>
                <w:rFonts w:hint="eastAsia" w:ascii="宋体" w:hAnsi="宋体" w:eastAsia="宋体" w:cs="宋体"/>
                <w:color w:val="auto"/>
                <w:kern w:val="0"/>
                <w:sz w:val="24"/>
                <w:highlight w:val="none"/>
                <w:lang w:eastAsia="zh-CN"/>
              </w:rPr>
              <w:t>，且符合要求</w:t>
            </w:r>
            <w:r>
              <w:rPr>
                <w:rFonts w:hint="eastAsia" w:ascii="宋体" w:hAnsi="宋体" w:eastAsia="宋体" w:cs="宋体"/>
                <w:color w:val="auto"/>
                <w:kern w:val="0"/>
                <w:sz w:val="24"/>
                <w:highlight w:val="none"/>
              </w:rPr>
              <w:t>，方可进行下</w:t>
            </w:r>
            <w:r>
              <w:rPr>
                <w:rFonts w:hint="default" w:ascii="宋体" w:hAnsi="宋体" w:eastAsia="宋体" w:cs="宋体"/>
                <w:color w:val="auto"/>
                <w:kern w:val="0"/>
                <w:sz w:val="24"/>
                <w:highlight w:val="none"/>
              </w:rPr>
              <w:t>一步</w:t>
            </w:r>
            <w:r>
              <w:rPr>
                <w:rFonts w:hint="eastAsia" w:ascii="宋体" w:hAnsi="宋体" w:eastAsia="宋体" w:cs="宋体"/>
                <w:color w:val="auto"/>
                <w:kern w:val="0"/>
                <w:sz w:val="24"/>
                <w:highlight w:val="none"/>
              </w:rPr>
              <w:t>资格审查。</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517902F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14:paraId="12A7BFD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可否进行下一步资格审查</w:t>
            </w:r>
          </w:p>
        </w:tc>
      </w:tr>
      <w:tr w14:paraId="036AAA16">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11A9BAE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AD6F49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0D741D1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FCB90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3A7175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BAC73F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04391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4CA026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712EC7F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21A14B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92" w:type="dxa"/>
            <w:tcBorders>
              <w:top w:val="single" w:color="000000" w:sz="4" w:space="0"/>
              <w:left w:val="single" w:color="000000" w:sz="4" w:space="0"/>
              <w:bottom w:val="single" w:color="000000" w:sz="4" w:space="0"/>
            </w:tcBorders>
            <w:noWrap w:val="0"/>
            <w:vAlign w:val="center"/>
          </w:tcPr>
          <w:p w14:paraId="58B2E6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9B6CC1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8B3BF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44C19E1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B9BE1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14:paraId="427319E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4C13671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14:paraId="1A30C41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DB31AA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A11EE7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F8D563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B4F2C8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387A34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EE8D3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2201F8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B087A5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4AC3C0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E3C29A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CA9A9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08880D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ED921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4601CD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00534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122E2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33FEB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D8311F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C32FCD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0AA0CD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FA6C5C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A2A434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07F567B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968398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C5CB0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4F29A2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62B6B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1B4F76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B1FE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6179BE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362122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7B1E05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71864A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F33B08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8774C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4F1910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43BE62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CAFB714">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C3B1E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263E7C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ADBE6A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D5F0B9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4E7364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F7C5EA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3720A9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DB6B6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0B7C7D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F9BD68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6915FC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E579D7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59CB0A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278F9AF">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FFDE8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EF0013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3F0AF2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B3F598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8B52C3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0302D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9B658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3D9182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3A445E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6FB387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FC7217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2BD39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72B00B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F5CAF7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30695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387684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5855EF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91D49D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3F2AA7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C314CD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066E09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92DF04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C3446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71CA4A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AF73C3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FAF5FF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59E1FD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19F84070">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3A32A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B0633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58457B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711233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AD07BD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988BAE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DD19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0555CE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164251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3AAA5F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61208D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284F5E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E5CD9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363CE9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9825A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11B15D9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15C487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F7685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B4732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69BD37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DC8FDB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AF102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D70B8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C6A42E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D7957B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AFAAF0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384026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EA95B4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BD5822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default" w:ascii="宋体" w:hAnsi="宋体" w:eastAsia="宋体" w:cs="宋体"/>
                <w:color w:val="auto"/>
                <w:kern w:val="0"/>
                <w:highlight w:val="none"/>
              </w:rPr>
              <w:t>-</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BCC75D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B33E22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6214B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A8A17C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BD7357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DFB2A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53F01D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930C95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1CD21B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DB36F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0DE854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6F880C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84A06CE">
        <w:tblPrEx>
          <w:tblCellMar>
            <w:top w:w="15" w:type="dxa"/>
            <w:left w:w="15" w:type="dxa"/>
            <w:bottom w:w="15" w:type="dxa"/>
            <w:right w:w="15" w:type="dxa"/>
          </w:tblCellMar>
        </w:tblPrEx>
        <w:trPr>
          <w:trHeight w:val="510" w:hRule="atLeast"/>
        </w:trPr>
        <w:tc>
          <w:tcPr>
            <w:tcW w:w="15026" w:type="dxa"/>
            <w:gridSpan w:val="14"/>
            <w:noWrap w:val="0"/>
            <w:vAlign w:val="top"/>
          </w:tcPr>
          <w:p w14:paraId="3BD28F9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r>
              <w:rPr>
                <w:rFonts w:hint="eastAsia" w:ascii="宋体" w:hAnsi="宋体" w:eastAsia="宋体" w:cs="宋体"/>
                <w:color w:val="auto"/>
                <w:kern w:val="0"/>
                <w:sz w:val="21"/>
                <w:highlight w:val="none"/>
              </w:rPr>
              <w:t>评标委员会全体成员签名：</w:t>
            </w:r>
            <w:r>
              <w:rPr>
                <w:rFonts w:hint="default" w:ascii="Calibri" w:hAnsi="Calibri" w:eastAsia="宋体" w:cs="Times New Roman"/>
                <w:color w:val="auto"/>
                <w:kern w:val="0"/>
                <w:sz w:val="24"/>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r>
              <w:rPr>
                <w:rFonts w:hint="default" w:ascii="Calibri" w:hAnsi="Calibri" w:eastAsia="宋体" w:cs="Times New Roman"/>
                <w:color w:val="auto"/>
                <w:kern w:val="0"/>
                <w:sz w:val="24"/>
                <w:highlight w:val="none"/>
              </w:rPr>
              <w:t xml:space="preserve">    </w:t>
            </w:r>
          </w:p>
          <w:p w14:paraId="49684D3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default" w:ascii="Calibri" w:hAnsi="Calibri" w:eastAsia="宋体" w:cs="Times New Roman"/>
                <w:color w:val="auto"/>
                <w:kern w:val="0"/>
                <w:sz w:val="24"/>
                <w:highlight w:val="none"/>
              </w:rPr>
              <w:t xml:space="preserve">                                                                    </w:t>
            </w:r>
          </w:p>
        </w:tc>
      </w:tr>
    </w:tbl>
    <w:p w14:paraId="4EECFCF2">
      <w:pPr>
        <w:spacing w:line="440" w:lineRule="exact"/>
        <w:rPr>
          <w:rFonts w:cs="宋体"/>
          <w:b/>
          <w:bCs/>
          <w:color w:val="auto"/>
          <w:highlight w:val="none"/>
        </w:rPr>
      </w:pPr>
    </w:p>
    <w:p w14:paraId="4F0BD47D">
      <w:pPr>
        <w:spacing w:line="440" w:lineRule="exact"/>
        <w:rPr>
          <w:rFonts w:cs="宋体"/>
          <w:b/>
          <w:bCs/>
          <w:color w:val="auto"/>
          <w:highlight w:val="none"/>
        </w:rPr>
      </w:pPr>
    </w:p>
    <w:p w14:paraId="3B28980D">
      <w:pPr>
        <w:spacing w:line="440" w:lineRule="exact"/>
        <w:rPr>
          <w:rFonts w:cs="宋体"/>
          <w:b/>
          <w:bCs/>
          <w:color w:val="auto"/>
          <w:highlight w:val="none"/>
        </w:rPr>
      </w:pPr>
    </w:p>
    <w:p w14:paraId="62DD05EB">
      <w:pPr>
        <w:spacing w:line="440" w:lineRule="exact"/>
        <w:rPr>
          <w:rFonts w:cs="宋体"/>
          <w:b/>
          <w:bCs/>
          <w:color w:val="auto"/>
          <w:highlight w:val="none"/>
        </w:rPr>
      </w:pPr>
    </w:p>
    <w:p w14:paraId="1570B568">
      <w:pPr>
        <w:pStyle w:val="4"/>
        <w:spacing w:line="240" w:lineRule="auto"/>
        <w:rPr>
          <w:color w:val="auto"/>
          <w:sz w:val="28"/>
          <w:szCs w:val="28"/>
          <w:highlight w:val="none"/>
        </w:rPr>
      </w:pPr>
      <w:bookmarkStart w:id="692" w:name="_Toc293717169"/>
      <w:bookmarkStart w:id="693" w:name="_Toc391341894"/>
      <w:bookmarkStart w:id="694" w:name="_Toc29378"/>
      <w:bookmarkStart w:id="695" w:name="_Toc78449721"/>
      <w:bookmarkStart w:id="696" w:name="_Toc2186"/>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1</w:t>
      </w:r>
      <w:r>
        <w:rPr>
          <w:rFonts w:hint="eastAsia"/>
          <w:color w:val="auto"/>
          <w:sz w:val="28"/>
          <w:szCs w:val="28"/>
          <w:highlight w:val="none"/>
        </w:rPr>
        <w:t>：资格审查评审记录表</w:t>
      </w:r>
      <w:bookmarkEnd w:id="692"/>
      <w:bookmarkEnd w:id="693"/>
      <w:bookmarkEnd w:id="694"/>
      <w:bookmarkEnd w:id="695"/>
      <w:bookmarkEnd w:id="696"/>
    </w:p>
    <w:p w14:paraId="75BA619F">
      <w:pPr>
        <w:spacing w:line="440" w:lineRule="exact"/>
        <w:jc w:val="center"/>
        <w:rPr>
          <w:color w:val="auto"/>
          <w:highlight w:val="none"/>
        </w:rPr>
      </w:pPr>
      <w:r>
        <w:rPr>
          <w:rFonts w:hint="eastAsia" w:eastAsia="黑体" w:cs="黑体"/>
          <w:color w:val="auto"/>
          <w:sz w:val="28"/>
          <w:szCs w:val="28"/>
          <w:highlight w:val="none"/>
        </w:rPr>
        <w:t>资格审查评审记录表</w:t>
      </w:r>
      <w:r>
        <w:rPr>
          <w:rFonts w:hint="eastAsia" w:eastAsia="黑体" w:cs="黑体"/>
          <w:color w:val="auto"/>
          <w:sz w:val="28"/>
          <w:szCs w:val="28"/>
          <w:highlight w:val="none"/>
          <w:lang w:eastAsia="zh-CN"/>
        </w:rPr>
        <w:t>（</w:t>
      </w:r>
      <w:r>
        <w:rPr>
          <w:rFonts w:hint="eastAsia" w:eastAsia="黑体" w:cs="黑体"/>
          <w:color w:val="auto"/>
          <w:sz w:val="28"/>
          <w:szCs w:val="28"/>
          <w:highlight w:val="none"/>
        </w:rPr>
        <w:t>合格制</w:t>
      </w:r>
      <w:r>
        <w:rPr>
          <w:rFonts w:hint="eastAsia" w:eastAsia="黑体" w:cs="黑体"/>
          <w:color w:val="auto"/>
          <w:sz w:val="28"/>
          <w:szCs w:val="28"/>
          <w:highlight w:val="none"/>
          <w:lang w:eastAsia="zh-CN"/>
        </w:rPr>
        <w:t>）</w:t>
      </w:r>
    </w:p>
    <w:p w14:paraId="20E795D2">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6266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87DE7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415" w:type="dxa"/>
            <w:noWrap w:val="0"/>
            <w:vAlign w:val="center"/>
          </w:tcPr>
          <w:p w14:paraId="6CF70E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895" w:type="dxa"/>
            <w:gridSpan w:val="9"/>
            <w:noWrap w:val="0"/>
            <w:vAlign w:val="top"/>
          </w:tcPr>
          <w:p w14:paraId="17762AD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1D34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7CFEA65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62B2D4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1210" w:type="dxa"/>
            <w:noWrap w:val="0"/>
            <w:vAlign w:val="center"/>
          </w:tcPr>
          <w:p w14:paraId="66F1B31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35EB76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98390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5C6F5F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D61965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77AD2D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4092C7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C5BEAE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E5BBF2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7F1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6931475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2FC825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1210" w:type="dxa"/>
            <w:noWrap w:val="0"/>
            <w:vAlign w:val="center"/>
          </w:tcPr>
          <w:p w14:paraId="7C5F654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199CF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A69C0A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EAD132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F0A447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74A3B3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2A605C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4AD4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77FD4E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A36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05EB8A9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71D0305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1210" w:type="dxa"/>
            <w:noWrap w:val="0"/>
            <w:vAlign w:val="center"/>
          </w:tcPr>
          <w:p w14:paraId="606B643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FE21C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190AF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A4DA1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4DC8D3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F5F75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2DF56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B62B9F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101C9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7F0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0DDC14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44AB79E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1210" w:type="dxa"/>
            <w:noWrap w:val="0"/>
            <w:vAlign w:val="center"/>
          </w:tcPr>
          <w:p w14:paraId="6B62EF8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218DEE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4E9259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870C3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B3FCA0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4C68A8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C782A8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908AF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33E534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987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6E5D5DF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5F7A46C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1210" w:type="dxa"/>
            <w:noWrap w:val="0"/>
            <w:vAlign w:val="center"/>
          </w:tcPr>
          <w:p w14:paraId="1638CC4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2A9EDC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1F9D9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E7ACE0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C2972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CF91E4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2040C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4CFE3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1CAD7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1FE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6917AE6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65F5F46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1210" w:type="dxa"/>
            <w:noWrap w:val="0"/>
            <w:vAlign w:val="center"/>
          </w:tcPr>
          <w:p w14:paraId="5561FCB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9C02CA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482212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332525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6E0FA9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33A6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0A126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334D4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168D74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DC2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778D1FD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23839B7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1210" w:type="dxa"/>
            <w:noWrap w:val="0"/>
            <w:vAlign w:val="center"/>
          </w:tcPr>
          <w:p w14:paraId="0568CAD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2A1C2B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92C45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4B31E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50CC2F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F5914B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988774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8609B0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FA059F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069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6256C3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68AC66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210" w:type="dxa"/>
            <w:noWrap w:val="0"/>
            <w:vAlign w:val="center"/>
          </w:tcPr>
          <w:p w14:paraId="705CA2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2D7DA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398F6C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E182B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921099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0690E0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747F74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D54C9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3000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F5A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48A6B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6E487DB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210" w:type="dxa"/>
            <w:noWrap w:val="0"/>
            <w:vAlign w:val="center"/>
          </w:tcPr>
          <w:p w14:paraId="48FABA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3B06C7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5F4D6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78E38B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262DF0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89E04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820BC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CB42E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F6458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997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B5FA7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2415" w:type="dxa"/>
            <w:noWrap w:val="0"/>
            <w:vAlign w:val="center"/>
          </w:tcPr>
          <w:p w14:paraId="3936627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1210" w:type="dxa"/>
            <w:noWrap w:val="0"/>
            <w:vAlign w:val="center"/>
          </w:tcPr>
          <w:p w14:paraId="34E6E0A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E7D1B7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5292F8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5A942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0AD1D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693850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45BCF4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AD8F4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DA0E6A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E11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150B51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2415" w:type="dxa"/>
            <w:noWrap w:val="0"/>
            <w:vAlign w:val="center"/>
          </w:tcPr>
          <w:p w14:paraId="604461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p>
        </w:tc>
        <w:tc>
          <w:tcPr>
            <w:tcW w:w="1210" w:type="dxa"/>
            <w:noWrap w:val="0"/>
            <w:vAlign w:val="center"/>
          </w:tcPr>
          <w:p w14:paraId="751CE1B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841FAB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562EAB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9E4DB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EEBF1A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EB86BC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CB08F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FB80D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3709CB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44B4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46AE0B0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210" w:type="dxa"/>
            <w:noWrap w:val="0"/>
            <w:vAlign w:val="center"/>
          </w:tcPr>
          <w:p w14:paraId="50BF454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4E5E32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9F367D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04387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2C5B7E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F97F2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A12991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B4C0A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7CE89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6B9DA8B4">
      <w:pPr>
        <w:spacing w:line="360" w:lineRule="exact"/>
        <w:rPr>
          <w:rFonts w:eastAsia="楷体_GB2312"/>
          <w:color w:val="auto"/>
          <w:highlight w:val="none"/>
        </w:rPr>
      </w:pPr>
      <w:r>
        <w:rPr>
          <w:rFonts w:hint="eastAsia" w:eastAsia="楷体_GB2312" w:cs="楷体_GB2312"/>
          <w:color w:val="auto"/>
          <w:highlight w:val="none"/>
        </w:rPr>
        <w:t>【备注：根据评分办法的资格审查标准调整本表】</w:t>
      </w:r>
    </w:p>
    <w:p w14:paraId="13BFC153">
      <w:pPr>
        <w:spacing w:line="360" w:lineRule="exact"/>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DBB07C2">
      <w:pPr>
        <w:spacing w:line="440" w:lineRule="exact"/>
        <w:jc w:val="center"/>
        <w:rPr>
          <w:rFonts w:eastAsia="黑体"/>
          <w:color w:val="auto"/>
          <w:sz w:val="28"/>
          <w:szCs w:val="28"/>
          <w:highlight w:val="none"/>
        </w:rPr>
      </w:pPr>
    </w:p>
    <w:p w14:paraId="147B5C0B">
      <w:pPr>
        <w:spacing w:line="440" w:lineRule="exact"/>
        <w:jc w:val="center"/>
        <w:rPr>
          <w:rFonts w:hint="eastAsia" w:eastAsia="黑体"/>
          <w:color w:val="auto"/>
          <w:sz w:val="28"/>
          <w:szCs w:val="28"/>
          <w:highlight w:val="none"/>
        </w:rPr>
      </w:pPr>
    </w:p>
    <w:p w14:paraId="4FDE24BD">
      <w:pPr>
        <w:pStyle w:val="4"/>
        <w:spacing w:line="240" w:lineRule="auto"/>
        <w:rPr>
          <w:b w:val="0"/>
          <w:bCs w:val="0"/>
          <w:color w:val="auto"/>
          <w:highlight w:val="none"/>
        </w:rPr>
      </w:pPr>
      <w:bookmarkStart w:id="697" w:name="_Toc78449726"/>
      <w:bookmarkStart w:id="698" w:name="_Toc1169805079"/>
      <w:bookmarkStart w:id="699" w:name="_Toc15531"/>
      <w:bookmarkStart w:id="700" w:name="_Toc17583"/>
      <w:bookmarkStart w:id="701" w:name="_Toc159137497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2</w:t>
      </w:r>
      <w:r>
        <w:rPr>
          <w:rFonts w:hint="eastAsia"/>
          <w:color w:val="auto"/>
          <w:sz w:val="28"/>
          <w:szCs w:val="28"/>
          <w:highlight w:val="none"/>
        </w:rPr>
        <w:t>：技术标评审记录表</w:t>
      </w:r>
      <w:bookmarkEnd w:id="697"/>
      <w:bookmarkEnd w:id="698"/>
      <w:bookmarkEnd w:id="699"/>
      <w:bookmarkEnd w:id="700"/>
      <w:bookmarkEnd w:id="701"/>
    </w:p>
    <w:p w14:paraId="45B6DBFB">
      <w:pPr>
        <w:spacing w:line="440" w:lineRule="exact"/>
        <w:jc w:val="center"/>
        <w:rPr>
          <w:rFonts w:hint="eastAsia"/>
          <w:color w:val="auto"/>
          <w:highlight w:val="none"/>
        </w:rPr>
      </w:pPr>
      <w:r>
        <w:rPr>
          <w:rFonts w:hint="eastAsia" w:eastAsia="黑体" w:cs="黑体"/>
          <w:color w:val="auto"/>
          <w:sz w:val="28"/>
          <w:szCs w:val="28"/>
          <w:highlight w:val="none"/>
        </w:rPr>
        <w:t>技术标评审记录表</w:t>
      </w:r>
    </w:p>
    <w:p w14:paraId="0A5F0536">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14:paraId="1288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27E228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780" w:type="dxa"/>
            <w:vMerge w:val="restart"/>
            <w:noWrap w:val="0"/>
            <w:vAlign w:val="center"/>
          </w:tcPr>
          <w:p w14:paraId="285CB3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152" w:type="dxa"/>
            <w:gridSpan w:val="9"/>
            <w:noWrap w:val="0"/>
            <w:vAlign w:val="center"/>
          </w:tcPr>
          <w:p w14:paraId="788180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451F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626B60E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vMerge w:val="continue"/>
            <w:noWrap w:val="0"/>
            <w:vAlign w:val="center"/>
          </w:tcPr>
          <w:p w14:paraId="203B72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1128" w:type="dxa"/>
            <w:noWrap w:val="0"/>
            <w:vAlign w:val="center"/>
          </w:tcPr>
          <w:p w14:paraId="39CE87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F7666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6F7520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AA5B1F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12C8C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AE0EE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54E0F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AFB7A6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9A923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263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30230937">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eastAsia="黑体" w:cs="Times New Roman"/>
                <w:color w:val="auto"/>
                <w:highlight w:val="none"/>
                <w:lang w:eastAsia="zh-CN"/>
              </w:rPr>
              <w:t>1.</w:t>
            </w: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p>
        </w:tc>
        <w:tc>
          <w:tcPr>
            <w:tcW w:w="2780" w:type="dxa"/>
            <w:noWrap w:val="0"/>
            <w:vAlign w:val="center"/>
          </w:tcPr>
          <w:p w14:paraId="3E1F475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）项目经理任职资格、业绩、工作经历等</w:t>
            </w:r>
          </w:p>
        </w:tc>
        <w:tc>
          <w:tcPr>
            <w:tcW w:w="1128" w:type="dxa"/>
            <w:noWrap w:val="0"/>
            <w:vAlign w:val="center"/>
          </w:tcPr>
          <w:p w14:paraId="7F394D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A97FE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86E60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EB1DF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571E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7956A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5797D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4BB6F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7D1FA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52B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2F12128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019613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1128" w:type="dxa"/>
            <w:noWrap w:val="0"/>
            <w:vAlign w:val="center"/>
          </w:tcPr>
          <w:p w14:paraId="74F423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257F26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6A48C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8A7BA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8E350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94AA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EC283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1C8DC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314A7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C4F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5FFFC247">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p>
        </w:tc>
        <w:tc>
          <w:tcPr>
            <w:tcW w:w="2780" w:type="dxa"/>
            <w:noWrap w:val="0"/>
            <w:vAlign w:val="center"/>
          </w:tcPr>
          <w:p w14:paraId="75A07E3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1128" w:type="dxa"/>
            <w:noWrap w:val="0"/>
            <w:vAlign w:val="center"/>
          </w:tcPr>
          <w:p w14:paraId="7E9F8E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9E7CA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409E61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291D7B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91E36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915567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39644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F784F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636DC5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EAF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F4F682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061D207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1128" w:type="dxa"/>
            <w:noWrap w:val="0"/>
            <w:vAlign w:val="center"/>
          </w:tcPr>
          <w:p w14:paraId="662FF7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DF5F0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76190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0C761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424DD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91B33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8700E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F8043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4CB1E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E82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FEC09F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69EFF52C">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1128" w:type="dxa"/>
            <w:noWrap w:val="0"/>
            <w:vAlign w:val="center"/>
          </w:tcPr>
          <w:p w14:paraId="4D5C5C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FEFE3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86C22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7E1C49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57EDF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A98FE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37C65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4EEE8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051CB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217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78D33F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18A8734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1128" w:type="dxa"/>
            <w:noWrap w:val="0"/>
            <w:vAlign w:val="center"/>
          </w:tcPr>
          <w:p w14:paraId="546447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5745C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214E6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E8648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16F03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36AC2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F5478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E848C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43062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FE5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70DE2B8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0DDAE53">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1128" w:type="dxa"/>
            <w:noWrap w:val="0"/>
            <w:vAlign w:val="center"/>
          </w:tcPr>
          <w:p w14:paraId="586F3C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93C25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06D7A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31CBF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4E329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4F411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07149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26198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E650A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30A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2AA3AEF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235207B3">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1128" w:type="dxa"/>
            <w:noWrap w:val="0"/>
            <w:vAlign w:val="center"/>
          </w:tcPr>
          <w:p w14:paraId="580BD4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82208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46730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022703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29D0F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ADDF1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5C658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DAE6F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8A941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5E0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1F6F54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CFAA08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1128" w:type="dxa"/>
            <w:noWrap w:val="0"/>
            <w:vAlign w:val="center"/>
          </w:tcPr>
          <w:p w14:paraId="2D53BF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CC649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03EC9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F03B6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6BEC2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194C8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3CCFD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3ED8E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CFCDB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31A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36BD45E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7621FB0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1128" w:type="dxa"/>
            <w:noWrap w:val="0"/>
            <w:vAlign w:val="center"/>
          </w:tcPr>
          <w:p w14:paraId="260538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D782B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B85AE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AEA15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87CEB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2C460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D5E76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5E9A88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4C0E66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E56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6018188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4379BE4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1128" w:type="dxa"/>
            <w:noWrap w:val="0"/>
            <w:vAlign w:val="center"/>
          </w:tcPr>
          <w:p w14:paraId="40BF216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497B4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021A5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C71CD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1E2C8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DF5F8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B58B5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A2C1E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E16F0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FB7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F3C5C4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1CB8FDB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1128" w:type="dxa"/>
            <w:noWrap w:val="0"/>
            <w:vAlign w:val="center"/>
          </w:tcPr>
          <w:p w14:paraId="6FDA94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E046E1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7CC45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AEA0B2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CB5BAC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4BB8C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1A0B2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DE01F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D97BC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BA8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15E0706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780" w:type="dxa"/>
            <w:noWrap w:val="0"/>
            <w:vAlign w:val="center"/>
          </w:tcPr>
          <w:p w14:paraId="51A6A900">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kern w:val="0"/>
                <w:highlight w:val="none"/>
              </w:rPr>
              <w:t>.........</w:t>
            </w:r>
          </w:p>
        </w:tc>
        <w:tc>
          <w:tcPr>
            <w:tcW w:w="1128" w:type="dxa"/>
            <w:noWrap w:val="0"/>
            <w:vAlign w:val="center"/>
          </w:tcPr>
          <w:p w14:paraId="43DC86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FB7C7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4939D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C329D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EA145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91CDB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48503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DC8EE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0C80DE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B55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366C8C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评审结果汇总</w:t>
            </w:r>
          </w:p>
        </w:tc>
        <w:tc>
          <w:tcPr>
            <w:tcW w:w="1128" w:type="dxa"/>
            <w:noWrap w:val="0"/>
            <w:vAlign w:val="center"/>
          </w:tcPr>
          <w:p w14:paraId="76A6496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A0B38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50CCD6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AA2A5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303F99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4F7ECE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D6819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5A639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64366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212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042F2A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28" w:type="dxa"/>
            <w:noWrap w:val="0"/>
            <w:vAlign w:val="center"/>
          </w:tcPr>
          <w:p w14:paraId="1C0337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71FF61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E5126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F9757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17FEEF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97B37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515DA4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61D120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28" w:type="dxa"/>
            <w:noWrap w:val="0"/>
            <w:vAlign w:val="center"/>
          </w:tcPr>
          <w:p w14:paraId="21C708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6CA61B66">
      <w:pPr>
        <w:rPr>
          <w:rFonts w:eastAsia="楷体_GB2312"/>
          <w:color w:val="auto"/>
          <w:highlight w:val="none"/>
        </w:rPr>
      </w:pPr>
      <w:r>
        <w:rPr>
          <w:rFonts w:hint="eastAsia" w:eastAsia="楷体_GB2312" w:cs="楷体_GB2312"/>
          <w:color w:val="auto"/>
          <w:highlight w:val="none"/>
        </w:rPr>
        <w:t>【备注：采用可行性评审制时不打分，只评价可行或不可行，本表可根据评分办法的需要进行调整</w:t>
      </w:r>
      <w:r>
        <w:rPr>
          <w:rFonts w:hint="eastAsia" w:eastAsia="楷体_GB2312" w:cs="楷体_GB2312"/>
          <w:color w:val="auto"/>
          <w:highlight w:val="none"/>
          <w:lang w:eastAsia="zh-CN"/>
        </w:rPr>
        <w:t>】</w:t>
      </w:r>
    </w:p>
    <w:p w14:paraId="083A6DC1">
      <w:pPr>
        <w:spacing w:line="440" w:lineRule="exact"/>
        <w:rPr>
          <w:color w:val="auto"/>
          <w:highlight w:val="none"/>
        </w:rPr>
      </w:pPr>
    </w:p>
    <w:p w14:paraId="5E8A52A7">
      <w:pPr>
        <w:spacing w:line="440" w:lineRule="exact"/>
        <w:rPr>
          <w:rFonts w:cs="宋体"/>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F554223">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p>
    <w:p w14:paraId="1028D8C1">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06798E1">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bookmarkStart w:id="702" w:name="_Toc78449727"/>
      <w:bookmarkStart w:id="703" w:name="_Toc376188106"/>
      <w:bookmarkStart w:id="704" w:name="_Toc2058890602"/>
    </w:p>
    <w:p w14:paraId="35291DB9">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1A612D4F">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10C2FEFD">
      <w:pPr>
        <w:pBdr>
          <w:top w:val="none" w:color="auto" w:sz="0" w:space="0"/>
          <w:left w:val="none" w:color="auto" w:sz="0" w:space="0"/>
          <w:bottom w:val="none" w:color="auto" w:sz="0" w:space="0"/>
          <w:right w:val="none" w:color="auto" w:sz="0" w:space="0"/>
          <w:between w:val="none" w:color="auto" w:sz="0" w:space="0"/>
        </w:pBdr>
        <w:spacing w:line="440" w:lineRule="exact"/>
        <w:rPr>
          <w:rFonts w:hint="eastAsia"/>
          <w:color w:val="auto"/>
          <w:highlight w:val="none"/>
        </w:rPr>
      </w:pPr>
    </w:p>
    <w:p w14:paraId="6F722622">
      <w:pPr>
        <w:pStyle w:val="4"/>
        <w:spacing w:line="240" w:lineRule="auto"/>
        <w:rPr>
          <w:color w:val="auto"/>
          <w:sz w:val="28"/>
          <w:szCs w:val="28"/>
          <w:highlight w:val="none"/>
        </w:rPr>
      </w:pPr>
      <w:bookmarkStart w:id="705" w:name="_Toc10674"/>
      <w:bookmarkStart w:id="706" w:name="_Toc30437"/>
      <w:r>
        <w:rPr>
          <w:color w:val="auto"/>
          <w:sz w:val="28"/>
          <w:szCs w:val="28"/>
          <w:highlight w:val="none"/>
        </w:rPr>
        <w:t>附表A-1</w:t>
      </w:r>
      <w:r>
        <w:rPr>
          <w:rFonts w:hint="eastAsia"/>
          <w:color w:val="auto"/>
          <w:sz w:val="28"/>
          <w:szCs w:val="28"/>
          <w:highlight w:val="none"/>
          <w:lang w:val="en-US" w:eastAsia="zh-CN"/>
        </w:rPr>
        <w:t>3</w:t>
      </w:r>
      <w:r>
        <w:rPr>
          <w:color w:val="auto"/>
          <w:sz w:val="28"/>
          <w:szCs w:val="28"/>
          <w:highlight w:val="none"/>
        </w:rPr>
        <w:t>：</w:t>
      </w:r>
      <w:r>
        <w:rPr>
          <w:rFonts w:hint="eastAsia"/>
          <w:color w:val="auto"/>
          <w:sz w:val="28"/>
          <w:szCs w:val="28"/>
          <w:highlight w:val="none"/>
        </w:rPr>
        <w:t>技术标评审计算</w:t>
      </w:r>
      <w:r>
        <w:rPr>
          <w:color w:val="auto"/>
          <w:sz w:val="28"/>
          <w:szCs w:val="28"/>
          <w:highlight w:val="none"/>
        </w:rPr>
        <w:t>表</w:t>
      </w:r>
      <w:bookmarkEnd w:id="702"/>
      <w:r>
        <w:rPr>
          <w:rFonts w:hint="eastAsia"/>
          <w:color w:val="auto"/>
          <w:sz w:val="28"/>
          <w:szCs w:val="28"/>
          <w:highlight w:val="none"/>
        </w:rPr>
        <w:t>（采用打分制时）</w:t>
      </w:r>
      <w:bookmarkEnd w:id="703"/>
      <w:bookmarkEnd w:id="704"/>
      <w:bookmarkEnd w:id="705"/>
      <w:bookmarkEnd w:id="706"/>
    </w:p>
    <w:p w14:paraId="573C647F">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（或代码）技术标评审</w:t>
      </w:r>
      <w:r>
        <w:rPr>
          <w:rFonts w:hint="eastAsia" w:eastAsia="黑体"/>
          <w:color w:val="auto"/>
          <w:sz w:val="28"/>
          <w:szCs w:val="28"/>
          <w:highlight w:val="none"/>
        </w:rPr>
        <w:t>计算</w:t>
      </w:r>
      <w:r>
        <w:rPr>
          <w:rFonts w:eastAsia="黑体"/>
          <w:color w:val="auto"/>
          <w:sz w:val="28"/>
          <w:szCs w:val="28"/>
          <w:highlight w:val="none"/>
        </w:rPr>
        <w:t>表</w:t>
      </w:r>
    </w:p>
    <w:p w14:paraId="7D02BAB7">
      <w:pPr>
        <w:spacing w:after="72" w:afterLines="30" w:line="440" w:lineRule="exact"/>
        <w:rPr>
          <w:color w:val="auto"/>
          <w:highlight w:val="none"/>
        </w:rPr>
      </w:pPr>
      <w:r>
        <w:rPr>
          <w:rFonts w:hint="eastAsia" w:cs="宋体"/>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时间：      年      月      日</w:t>
      </w:r>
    </w:p>
    <w:p w14:paraId="4A576B42">
      <w:pPr>
        <w:spacing w:after="72" w:afterLines="30" w:line="440" w:lineRule="exact"/>
        <w:rPr>
          <w:rFonts w:hint="eastAsia"/>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464"/>
        <w:gridCol w:w="850"/>
        <w:gridCol w:w="851"/>
        <w:gridCol w:w="850"/>
        <w:gridCol w:w="993"/>
        <w:gridCol w:w="850"/>
        <w:gridCol w:w="31"/>
        <w:gridCol w:w="1984"/>
        <w:gridCol w:w="993"/>
        <w:gridCol w:w="1275"/>
        <w:gridCol w:w="962"/>
      </w:tblGrid>
      <w:tr w14:paraId="50B5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vMerge w:val="restart"/>
            <w:noWrap w:val="0"/>
            <w:vAlign w:val="center"/>
          </w:tcPr>
          <w:p w14:paraId="225A85C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default" w:ascii="Calibri" w:hAnsi="Calibri" w:eastAsia="宋体" w:cs="Times New Roman"/>
                <w:color w:val="auto"/>
                <w:highlight w:val="none"/>
              </w:rPr>
              <w:t>序号</w:t>
            </w:r>
          </w:p>
        </w:tc>
        <w:tc>
          <w:tcPr>
            <w:tcW w:w="2464" w:type="dxa"/>
            <w:vMerge w:val="restart"/>
            <w:noWrap w:val="0"/>
            <w:vAlign w:val="center"/>
          </w:tcPr>
          <w:p w14:paraId="3EADB2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default" w:ascii="Calibri" w:hAnsi="Calibri" w:eastAsia="宋体" w:cs="Times New Roman"/>
                <w:color w:val="auto"/>
                <w:highlight w:val="none"/>
              </w:rPr>
              <w:t>评审因素</w:t>
            </w:r>
          </w:p>
        </w:tc>
        <w:tc>
          <w:tcPr>
            <w:tcW w:w="4394" w:type="dxa"/>
            <w:gridSpan w:val="5"/>
            <w:noWrap w:val="0"/>
            <w:vAlign w:val="center"/>
          </w:tcPr>
          <w:p w14:paraId="7B7805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评委姓名</w:t>
            </w:r>
          </w:p>
        </w:tc>
        <w:tc>
          <w:tcPr>
            <w:tcW w:w="2015" w:type="dxa"/>
            <w:gridSpan w:val="2"/>
            <w:vMerge w:val="restart"/>
            <w:noWrap w:val="0"/>
            <w:vAlign w:val="center"/>
          </w:tcPr>
          <w:p w14:paraId="650C20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评分基准值</w:t>
            </w:r>
          </w:p>
        </w:tc>
        <w:tc>
          <w:tcPr>
            <w:tcW w:w="993" w:type="dxa"/>
            <w:vMerge w:val="restart"/>
            <w:noWrap w:val="0"/>
            <w:vAlign w:val="center"/>
          </w:tcPr>
          <w:p w14:paraId="169DF97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r>
              <w:rPr>
                <w:rFonts w:hint="eastAsia" w:ascii="Calibri" w:hAnsi="Calibri" w:eastAsia="宋体" w:cs="宋体"/>
                <w:color w:val="auto"/>
                <w:highlight w:val="none"/>
                <w:lang w:bidi="ar"/>
              </w:rPr>
              <w:t>各评委</w:t>
            </w: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评分合计</w:t>
            </w:r>
          </w:p>
        </w:tc>
        <w:tc>
          <w:tcPr>
            <w:tcW w:w="1275" w:type="dxa"/>
            <w:vMerge w:val="restart"/>
            <w:noWrap w:val="0"/>
            <w:vAlign w:val="top"/>
          </w:tcPr>
          <w:p w14:paraId="368683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评分人数</w:t>
            </w:r>
          </w:p>
        </w:tc>
        <w:tc>
          <w:tcPr>
            <w:tcW w:w="962" w:type="dxa"/>
            <w:vMerge w:val="restart"/>
            <w:noWrap w:val="0"/>
            <w:vAlign w:val="top"/>
          </w:tcPr>
          <w:p w14:paraId="74C33C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Times New Roman"/>
                <w:color w:val="auto"/>
                <w:highlight w:val="none"/>
              </w:rPr>
              <w:t>该单</w:t>
            </w:r>
            <w:r>
              <w:rPr>
                <w:rFonts w:hint="default" w:ascii="Calibri" w:hAnsi="Calibri" w:eastAsia="楷体_GB2312" w:cs="Times New Roman"/>
                <w:color w:val="auto"/>
                <w:highlight w:val="none"/>
              </w:rPr>
              <w:t>项</w:t>
            </w:r>
            <w:r>
              <w:rPr>
                <w:rFonts w:hint="eastAsia" w:ascii="Calibri" w:hAnsi="Calibri" w:eastAsia="楷体_GB2312" w:cs="Times New Roman"/>
                <w:color w:val="auto"/>
                <w:highlight w:val="none"/>
              </w:rPr>
              <w:t>最终得分</w:t>
            </w:r>
          </w:p>
        </w:tc>
      </w:tr>
      <w:tr w14:paraId="346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3D72732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6AE77A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03130D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w:t>
            </w:r>
          </w:p>
        </w:tc>
        <w:tc>
          <w:tcPr>
            <w:tcW w:w="851" w:type="dxa"/>
            <w:noWrap w:val="0"/>
            <w:vAlign w:val="center"/>
          </w:tcPr>
          <w:p w14:paraId="35A9EF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p>
        </w:tc>
        <w:tc>
          <w:tcPr>
            <w:tcW w:w="850" w:type="dxa"/>
            <w:noWrap w:val="0"/>
            <w:vAlign w:val="center"/>
          </w:tcPr>
          <w:p w14:paraId="7B9EEC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3</w:t>
            </w:r>
          </w:p>
        </w:tc>
        <w:tc>
          <w:tcPr>
            <w:tcW w:w="993" w:type="dxa"/>
            <w:noWrap w:val="0"/>
            <w:vAlign w:val="center"/>
          </w:tcPr>
          <w:p w14:paraId="159BBD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4</w:t>
            </w:r>
          </w:p>
        </w:tc>
        <w:tc>
          <w:tcPr>
            <w:tcW w:w="850" w:type="dxa"/>
            <w:noWrap w:val="0"/>
            <w:vAlign w:val="center"/>
          </w:tcPr>
          <w:p w14:paraId="785BFA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015" w:type="dxa"/>
            <w:gridSpan w:val="2"/>
            <w:vMerge w:val="continue"/>
            <w:noWrap w:val="0"/>
            <w:vAlign w:val="center"/>
          </w:tcPr>
          <w:p w14:paraId="14E080C6">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0B6C486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2D26F9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0E8B99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CD2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restart"/>
            <w:noWrap w:val="0"/>
            <w:vAlign w:val="center"/>
          </w:tcPr>
          <w:p w14:paraId="1D5517C8">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1.</w:t>
            </w:r>
            <w:r>
              <w:rPr>
                <w:rFonts w:hint="eastAsia" w:ascii="Calibri" w:hAnsi="Calibri" w:eastAsia="宋体" w:cs="Times New Roman"/>
                <w:color w:val="auto"/>
                <w:highlight w:val="none"/>
              </w:rPr>
              <w:t>项目管理机构（</w:t>
            </w:r>
            <w:r>
              <w:rPr>
                <w:rFonts w:hint="default" w:ascii="Calibri" w:hAnsi="Calibri" w:eastAsia="宋体" w:cs="Times New Roman"/>
                <w:color w:val="auto"/>
                <w:highlight w:val="none"/>
              </w:rPr>
              <w:t>明标）</w:t>
            </w:r>
          </w:p>
        </w:tc>
        <w:tc>
          <w:tcPr>
            <w:tcW w:w="2464" w:type="dxa"/>
            <w:vMerge w:val="restart"/>
            <w:noWrap w:val="0"/>
            <w:vAlign w:val="top"/>
          </w:tcPr>
          <w:p w14:paraId="0F1DA4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（1）项目经理任职资格、业绩、工作经历等</w:t>
            </w:r>
          </w:p>
        </w:tc>
        <w:tc>
          <w:tcPr>
            <w:tcW w:w="850" w:type="dxa"/>
            <w:noWrap w:val="0"/>
            <w:vAlign w:val="center"/>
          </w:tcPr>
          <w:p w14:paraId="2CF866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467CC02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A3E970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1B67D7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D6971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0C98026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restart"/>
            <w:noWrap w:val="0"/>
            <w:vAlign w:val="center"/>
          </w:tcPr>
          <w:p w14:paraId="1767F28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restart"/>
            <w:noWrap w:val="0"/>
            <w:vAlign w:val="top"/>
          </w:tcPr>
          <w:p w14:paraId="3AD533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66FCB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A1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2084AB3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top"/>
          </w:tcPr>
          <w:p w14:paraId="4CF8F2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3DB5195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D2DBF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F25C01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08E96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BD3B8C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3C5110B2">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29E4E67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0B695A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6C966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DC0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131E143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top"/>
          </w:tcPr>
          <w:p w14:paraId="7B31DD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850" w:type="dxa"/>
            <w:noWrap w:val="0"/>
            <w:vAlign w:val="center"/>
          </w:tcPr>
          <w:p w14:paraId="177BC6A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32DAE0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790ECE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4C836F3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894B50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00229264">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restart"/>
            <w:noWrap w:val="0"/>
            <w:vAlign w:val="center"/>
          </w:tcPr>
          <w:p w14:paraId="7FE138F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restart"/>
            <w:noWrap w:val="0"/>
            <w:vAlign w:val="top"/>
          </w:tcPr>
          <w:p w14:paraId="1547E9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7B3F6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76F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41" w:type="dxa"/>
            <w:vMerge w:val="continue"/>
            <w:noWrap w:val="0"/>
            <w:vAlign w:val="center"/>
          </w:tcPr>
          <w:p w14:paraId="1C66989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25578D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5DE000B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7CBFD2B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9F6E16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499D0E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8DF558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3B348227">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01D029E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482474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B9E92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095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41" w:type="dxa"/>
            <w:vMerge w:val="restart"/>
            <w:noWrap w:val="0"/>
            <w:vAlign w:val="center"/>
          </w:tcPr>
          <w:p w14:paraId="4CAE9E25">
            <w:pPr>
              <w:keepNext w:val="0"/>
              <w:keepLines w:val="0"/>
              <w:suppressLineNumbers w:val="0"/>
              <w:spacing w:before="0" w:beforeAutospacing="0" w:after="0" w:afterAutospacing="0" w:line="360" w:lineRule="auto"/>
              <w:ind w:left="0" w:right="0"/>
              <w:jc w:val="center"/>
              <w:rPr>
                <w:rFonts w:hint="eastAsia"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Times New Roman"/>
                <w:color w:val="auto"/>
                <w:highlight w:val="none"/>
              </w:rPr>
              <w:t>施工组织设计（</w:t>
            </w:r>
            <w:r>
              <w:rPr>
                <w:rFonts w:hint="default" w:ascii="Calibri" w:hAnsi="Calibri" w:eastAsia="宋体" w:cs="Times New Roman"/>
                <w:color w:val="auto"/>
                <w:highlight w:val="none"/>
              </w:rPr>
              <w:t>暗标）</w:t>
            </w:r>
          </w:p>
        </w:tc>
        <w:tc>
          <w:tcPr>
            <w:tcW w:w="2464" w:type="dxa"/>
            <w:vMerge w:val="restart"/>
            <w:noWrap w:val="0"/>
            <w:vAlign w:val="center"/>
          </w:tcPr>
          <w:p w14:paraId="19961F61">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0" w:type="dxa"/>
            <w:noWrap w:val="0"/>
            <w:vAlign w:val="center"/>
          </w:tcPr>
          <w:p w14:paraId="332B2D2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CA322D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B785FC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255C75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DB29C6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015190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CB4C4D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95EA6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45186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DAA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vMerge w:val="continue"/>
            <w:noWrap w:val="0"/>
            <w:vAlign w:val="center"/>
          </w:tcPr>
          <w:p w14:paraId="10368E3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2464" w:type="dxa"/>
            <w:vMerge w:val="continue"/>
            <w:noWrap w:val="0"/>
            <w:vAlign w:val="center"/>
          </w:tcPr>
          <w:p w14:paraId="3C83944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0C62893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60531F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A726E5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AC4E40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475B225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0DCEDD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C1A5C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673773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61C99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77C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B2D44B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6BBFCB18">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0" w:type="dxa"/>
            <w:noWrap w:val="0"/>
            <w:vAlign w:val="center"/>
          </w:tcPr>
          <w:p w14:paraId="131FFC5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74F0B0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BBF123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1EF4BC0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751E2C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7BFA23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4D844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208B71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8DDE8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0DD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785C4C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436EF14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0327D57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4F4FBFA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518D2E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0ECD72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F0772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281668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3EFA34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B9E7F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2B7B0D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893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19F0DCD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2BEB2FE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0" w:type="dxa"/>
            <w:noWrap w:val="0"/>
            <w:vAlign w:val="center"/>
          </w:tcPr>
          <w:p w14:paraId="3F24CDC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E4AF3B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4A8AF2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3E1C60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DD73B3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4F99BC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684EF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F24CB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79CD3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5DB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3026B2E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56AF08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6488388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14C3E83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92B563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6C310F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9AF641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56E203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6E1E1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6E1C1D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2BE93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6E5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6399C02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1B863049">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0" w:type="dxa"/>
            <w:noWrap w:val="0"/>
            <w:vAlign w:val="center"/>
          </w:tcPr>
          <w:p w14:paraId="06FB876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E4AD9E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C5235C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DC0313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6BCE4F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5F2B19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18888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280F88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629E51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792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1321F98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331DBE19">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3CC96CE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33C800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FF6301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4F90A8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74150E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67FD19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B0383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76A5F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97D79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112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51F8F1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5012E872">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0" w:type="dxa"/>
            <w:noWrap w:val="0"/>
            <w:vAlign w:val="center"/>
          </w:tcPr>
          <w:p w14:paraId="436EB9C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51B2419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B7140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18A1742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EEF4CA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2E04206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171C0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85232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3C2E46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C7F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E2F52D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E9B785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0D28D84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6CB849F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415AD2A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29FB30D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2FE81B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42A988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8A424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4C646AC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31516C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923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41" w:type="dxa"/>
            <w:vMerge w:val="continue"/>
            <w:noWrap w:val="0"/>
            <w:vAlign w:val="center"/>
          </w:tcPr>
          <w:p w14:paraId="6E62C0E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0852CA0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0" w:type="dxa"/>
            <w:noWrap w:val="0"/>
            <w:vAlign w:val="center"/>
          </w:tcPr>
          <w:p w14:paraId="5EC46CE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7CEF5F8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5F4456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45947BC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89D270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1385A3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FE3BA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55DF4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44065C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E23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41" w:type="dxa"/>
            <w:vMerge w:val="continue"/>
            <w:noWrap w:val="0"/>
            <w:vAlign w:val="center"/>
          </w:tcPr>
          <w:p w14:paraId="31BFB46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EC7A89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1B8ECE5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328E23B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D763E1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F5AD70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97413A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1DE79C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4BBDC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836A6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36BA0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788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062E0C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341E48C2">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0" w:type="dxa"/>
            <w:noWrap w:val="0"/>
            <w:vAlign w:val="center"/>
          </w:tcPr>
          <w:p w14:paraId="14A6C4F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1A21C3E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B0371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B21201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CC57C1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3311A8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DDE7B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5A3964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1967E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DA7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4455DCA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67FB5FF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5BD1111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6C69EDB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0646FF0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3E3B58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1210A4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54A538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AB2D3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05048D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82D297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5E0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5AA54C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33549A75">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0" w:type="dxa"/>
            <w:noWrap w:val="0"/>
            <w:vAlign w:val="center"/>
          </w:tcPr>
          <w:p w14:paraId="4FC86E0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328F3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69986FF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63B53D9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954B04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1D131C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1D1C1C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0769B3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D999B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198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DFC0AA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773EE3F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18D27FD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152116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2D79DF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7EB4AEB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BF4871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07725A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4E31F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C16D8F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C5890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78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6D1933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77806EF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0" w:type="dxa"/>
            <w:noWrap w:val="0"/>
            <w:vAlign w:val="center"/>
          </w:tcPr>
          <w:p w14:paraId="19AEA4C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911AD6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B1D3CB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08607C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0FC31E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22D129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8521A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A0D08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35CA9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701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5D9720A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0DD620E4">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71BE043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97FFE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2BFD52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25EB62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20B0E6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3DBF25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370E4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5E51C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2A1B79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DF7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7202BA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7270899E">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0" w:type="dxa"/>
            <w:noWrap w:val="0"/>
            <w:vAlign w:val="center"/>
          </w:tcPr>
          <w:p w14:paraId="1026CC8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4822C7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72E399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0832FF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5647C4E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59A441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7D975D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5FB060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B7F36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B28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15C1045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3B48272D">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1883516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3CA6B9F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6FCA8D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391D89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45729F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27117C6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CA8F9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7633C6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01303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A64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6FF197E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restart"/>
            <w:noWrap w:val="0"/>
            <w:vAlign w:val="center"/>
          </w:tcPr>
          <w:p w14:paraId="2B8DE762">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cs="宋体"/>
                <w:color w:val="auto"/>
                <w:kern w:val="0"/>
                <w:highlight w:val="none"/>
                <w:lang w:eastAsia="zh-CN"/>
              </w:rPr>
              <w:t>(</w:t>
            </w:r>
            <w:r>
              <w:rPr>
                <w:rFonts w:hint="default" w:ascii="Calibri" w:hAnsi="Calibri" w:eastAsia="宋体" w:cs="Times New Roman"/>
                <w:color w:val="auto"/>
                <w:kern w:val="0"/>
                <w:highlight w:val="none"/>
              </w:rPr>
              <w:t>11</w:t>
            </w:r>
            <w:r>
              <w:rPr>
                <w:rFonts w:hint="eastAsia" w:ascii="Calibri" w:hAnsi="Calibri" w:cs="Times New Roman"/>
                <w:color w:val="auto"/>
                <w:kern w:val="0"/>
                <w:highlight w:val="none"/>
                <w:lang w:eastAsia="zh-CN"/>
              </w:rPr>
              <w:t>)</w:t>
            </w:r>
            <w:r>
              <w:rPr>
                <w:rFonts w:hint="default" w:ascii="Calibri" w:hAnsi="Calibri" w:eastAsia="宋体" w:cs="Times New Roman"/>
                <w:color w:val="auto"/>
                <w:kern w:val="0"/>
                <w:highlight w:val="none"/>
              </w:rPr>
              <w:t>.........</w:t>
            </w:r>
          </w:p>
        </w:tc>
        <w:tc>
          <w:tcPr>
            <w:tcW w:w="850" w:type="dxa"/>
            <w:noWrap w:val="0"/>
            <w:vAlign w:val="center"/>
          </w:tcPr>
          <w:p w14:paraId="77AA673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18C70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E0D3B1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13E26F2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27B60CE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2015" w:type="dxa"/>
            <w:gridSpan w:val="2"/>
            <w:vMerge w:val="restart"/>
            <w:noWrap w:val="0"/>
            <w:vAlign w:val="center"/>
          </w:tcPr>
          <w:p w14:paraId="009A29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528D2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0D9E7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3E9D19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993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41" w:type="dxa"/>
            <w:vMerge w:val="continue"/>
            <w:noWrap w:val="0"/>
            <w:vAlign w:val="center"/>
          </w:tcPr>
          <w:p w14:paraId="7F72BD2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vMerge w:val="continue"/>
            <w:noWrap w:val="0"/>
            <w:vAlign w:val="center"/>
          </w:tcPr>
          <w:p w14:paraId="60F7365F">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2ED93AE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F3C60D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2C709D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6E6683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28332F8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2015" w:type="dxa"/>
            <w:gridSpan w:val="2"/>
            <w:vMerge w:val="continue"/>
            <w:noWrap w:val="0"/>
            <w:vAlign w:val="center"/>
          </w:tcPr>
          <w:p w14:paraId="690EDE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380C6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46C78C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C9BF62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A5A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41" w:type="dxa"/>
            <w:vMerge w:val="continue"/>
            <w:noWrap w:val="0"/>
            <w:vAlign w:val="center"/>
          </w:tcPr>
          <w:p w14:paraId="6A78812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2464" w:type="dxa"/>
            <w:noWrap w:val="0"/>
            <w:vAlign w:val="center"/>
          </w:tcPr>
          <w:p w14:paraId="5CFA3D3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default" w:ascii="Calibri" w:hAnsi="Calibri" w:eastAsia="宋体" w:cs="Times New Roman"/>
                <w:color w:val="auto"/>
                <w:kern w:val="0"/>
                <w:highlight w:val="none"/>
              </w:rPr>
              <w:t>.........</w:t>
            </w:r>
          </w:p>
        </w:tc>
        <w:tc>
          <w:tcPr>
            <w:tcW w:w="850" w:type="dxa"/>
            <w:noWrap w:val="0"/>
            <w:vAlign w:val="center"/>
          </w:tcPr>
          <w:p w14:paraId="23B8FE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1" w:type="dxa"/>
            <w:noWrap w:val="0"/>
            <w:vAlign w:val="center"/>
          </w:tcPr>
          <w:p w14:paraId="705524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0" w:type="dxa"/>
            <w:noWrap w:val="0"/>
            <w:vAlign w:val="center"/>
          </w:tcPr>
          <w:p w14:paraId="715042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57D36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0" w:type="dxa"/>
            <w:noWrap w:val="0"/>
            <w:vAlign w:val="center"/>
          </w:tcPr>
          <w:p w14:paraId="6A3B54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2015" w:type="dxa"/>
            <w:gridSpan w:val="2"/>
            <w:noWrap w:val="0"/>
            <w:vAlign w:val="center"/>
          </w:tcPr>
          <w:p w14:paraId="1E02E4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800193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3E55EE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2B4D393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28D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05" w:type="dxa"/>
            <w:gridSpan w:val="2"/>
            <w:noWrap w:val="0"/>
            <w:vAlign w:val="center"/>
          </w:tcPr>
          <w:p w14:paraId="7F72FA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技术标评审</w:t>
            </w:r>
            <w:r>
              <w:rPr>
                <w:rFonts w:hint="eastAsia" w:ascii="Calibri" w:hAnsi="Calibri" w:eastAsia="宋体" w:cs="Times New Roman"/>
                <w:color w:val="auto"/>
                <w:highlight w:val="none"/>
              </w:rPr>
              <w:t>总评分</w:t>
            </w:r>
            <w:r>
              <w:rPr>
                <w:rFonts w:hint="default" w:ascii="Calibri" w:hAnsi="Calibri" w:eastAsia="宋体" w:cs="Times New Roman"/>
                <w:color w:val="auto"/>
                <w:highlight w:val="none"/>
              </w:rPr>
              <w:t>结果</w:t>
            </w:r>
          </w:p>
        </w:tc>
        <w:tc>
          <w:tcPr>
            <w:tcW w:w="4425" w:type="dxa"/>
            <w:gridSpan w:val="6"/>
            <w:noWrap w:val="0"/>
            <w:vAlign w:val="center"/>
          </w:tcPr>
          <w:p w14:paraId="421364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984" w:type="dxa"/>
            <w:noWrap w:val="0"/>
            <w:vAlign w:val="center"/>
          </w:tcPr>
          <w:p w14:paraId="54DCE7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是否通过评审</w:t>
            </w:r>
          </w:p>
        </w:tc>
        <w:tc>
          <w:tcPr>
            <w:tcW w:w="3230" w:type="dxa"/>
            <w:gridSpan w:val="3"/>
            <w:noWrap w:val="0"/>
            <w:vAlign w:val="center"/>
          </w:tcPr>
          <w:p w14:paraId="332A4E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55FB2D1E">
      <w:pPr>
        <w:rPr>
          <w:rFonts w:hint="eastAsia" w:eastAsia="楷体_GB2312"/>
          <w:color w:val="auto"/>
          <w:highlight w:val="none"/>
        </w:rPr>
      </w:pPr>
    </w:p>
    <w:p w14:paraId="2EABAE0A">
      <w:pPr>
        <w:spacing w:after="240" w:afterLines="100"/>
        <w:rPr>
          <w:color w:val="auto"/>
          <w:highlight w:val="none"/>
        </w:rPr>
      </w:pPr>
      <w:r>
        <w:rPr>
          <w:rFonts w:hint="eastAsia" w:eastAsia="楷体_GB2312"/>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4）采用可行性评审制时不打分，只评价可行或不可行，不</w:t>
      </w:r>
      <w:r>
        <w:rPr>
          <w:rFonts w:eastAsia="楷体_GB2312"/>
          <w:color w:val="auto"/>
          <w:highlight w:val="none"/>
        </w:rPr>
        <w:t>需要本表</w:t>
      </w:r>
      <w:r>
        <w:rPr>
          <w:rFonts w:hint="eastAsia" w:eastAsia="楷体_GB2312"/>
          <w:color w:val="auto"/>
          <w:highlight w:val="none"/>
          <w:lang w:eastAsia="zh-CN"/>
        </w:rPr>
        <w:t>】</w:t>
      </w:r>
    </w:p>
    <w:p w14:paraId="08A18308">
      <w:pPr>
        <w:rPr>
          <w:rFonts w:eastAsia="楷体_GB2312"/>
          <w:color w:val="auto"/>
          <w:highlight w:val="none"/>
        </w:rPr>
      </w:pPr>
    </w:p>
    <w:p w14:paraId="120AFD36">
      <w:pPr>
        <w:spacing w:line="440" w:lineRule="exact"/>
        <w:rPr>
          <w:color w:val="auto"/>
          <w:highlight w:val="none"/>
        </w:rPr>
      </w:pPr>
    </w:p>
    <w:p w14:paraId="622F4AB4">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13F7033A">
      <w:pPr>
        <w:rPr>
          <w:rFonts w:eastAsia="黑体"/>
          <w:color w:val="auto"/>
          <w:highlight w:val="none"/>
        </w:rPr>
      </w:pPr>
    </w:p>
    <w:p w14:paraId="40CC35A0">
      <w:pPr>
        <w:rPr>
          <w:rFonts w:eastAsia="黑体"/>
          <w:color w:val="auto"/>
          <w:highlight w:val="none"/>
        </w:rPr>
      </w:pPr>
    </w:p>
    <w:p w14:paraId="14687115">
      <w:pPr>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7668D3FA">
      <w:pPr>
        <w:pStyle w:val="4"/>
        <w:spacing w:line="240" w:lineRule="auto"/>
        <w:rPr>
          <w:color w:val="auto"/>
          <w:sz w:val="28"/>
          <w:szCs w:val="28"/>
          <w:highlight w:val="none"/>
        </w:rPr>
      </w:pPr>
      <w:bookmarkStart w:id="707" w:name="_Toc321491036"/>
      <w:bookmarkStart w:id="708" w:name="_Toc18945"/>
      <w:bookmarkStart w:id="709" w:name="_Toc30660"/>
      <w:bookmarkStart w:id="710" w:name="_Toc78449728"/>
      <w:bookmarkStart w:id="711" w:name="_Toc203074350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4</w:t>
      </w:r>
      <w:r>
        <w:rPr>
          <w:rFonts w:hint="eastAsia"/>
          <w:color w:val="auto"/>
          <w:sz w:val="28"/>
          <w:szCs w:val="28"/>
          <w:highlight w:val="none"/>
        </w:rPr>
        <w:t>：商务标评分记录表</w:t>
      </w:r>
      <w:bookmarkEnd w:id="707"/>
      <w:bookmarkEnd w:id="708"/>
      <w:bookmarkEnd w:id="709"/>
      <w:bookmarkEnd w:id="710"/>
      <w:bookmarkEnd w:id="711"/>
    </w:p>
    <w:p w14:paraId="3CCC9D2B">
      <w:pPr>
        <w:jc w:val="center"/>
        <w:rPr>
          <w:color w:val="auto"/>
          <w:highlight w:val="none"/>
        </w:rPr>
      </w:pPr>
      <w:r>
        <w:rPr>
          <w:rFonts w:hint="eastAsia" w:eastAsia="黑体" w:cs="黑体"/>
          <w:color w:val="auto"/>
          <w:sz w:val="28"/>
          <w:szCs w:val="28"/>
          <w:highlight w:val="none"/>
        </w:rPr>
        <w:t>商务标评分记录表</w:t>
      </w:r>
    </w:p>
    <w:p w14:paraId="7CEC5A96">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0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5655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7B9BA8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w:t>
            </w:r>
          </w:p>
        </w:tc>
        <w:tc>
          <w:tcPr>
            <w:tcW w:w="9432" w:type="dxa"/>
            <w:gridSpan w:val="7"/>
            <w:noWrap w:val="0"/>
            <w:vAlign w:val="center"/>
          </w:tcPr>
          <w:p w14:paraId="4CB5E7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6BB7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56666F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8" w:type="dxa"/>
            <w:noWrap w:val="0"/>
            <w:vAlign w:val="center"/>
          </w:tcPr>
          <w:p w14:paraId="69A57F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36165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EA739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FD613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BA559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D339B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47C2A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05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C2AB82F">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投标报价</w:t>
            </w:r>
          </w:p>
        </w:tc>
        <w:tc>
          <w:tcPr>
            <w:tcW w:w="1368" w:type="dxa"/>
            <w:noWrap w:val="0"/>
            <w:vAlign w:val="center"/>
          </w:tcPr>
          <w:p w14:paraId="1B3085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AFA09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49A04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A4CA5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C54F1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114DB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60F9DA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6E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97A502A">
            <w:pPr>
              <w:keepNext w:val="0"/>
              <w:keepLines w:val="0"/>
              <w:suppressLineNumbers w:val="0"/>
              <w:spacing w:before="0" w:beforeAutospacing="0" w:after="0" w:afterAutospacing="0"/>
              <w:ind w:left="0" w:right="0"/>
              <w:jc w:val="left"/>
              <w:rPr>
                <w:rFonts w:hint="default" w:ascii="Calibri" w:hAnsi="Calibri" w:eastAsia="宋体" w:cs="宋体"/>
                <w:color w:val="auto"/>
                <w:highlight w:val="none"/>
                <w:lang w:val="en-US" w:eastAsia="zh-CN"/>
              </w:rPr>
            </w:pPr>
            <w:r>
              <w:rPr>
                <w:rFonts w:hint="eastAsia" w:ascii="Calibri" w:hAnsi="Calibri" w:eastAsia="宋体" w:cs="宋体"/>
                <w:color w:val="auto"/>
                <w:highlight w:val="none"/>
                <w:lang w:val="en-US" w:eastAsia="zh-CN"/>
              </w:rPr>
              <w:t>D值</w:t>
            </w:r>
          </w:p>
        </w:tc>
        <w:tc>
          <w:tcPr>
            <w:tcW w:w="9432" w:type="dxa"/>
            <w:gridSpan w:val="7"/>
            <w:noWrap w:val="0"/>
            <w:vAlign w:val="center"/>
          </w:tcPr>
          <w:p w14:paraId="3E758F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E4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0464E1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投标报价是否有效</w:t>
            </w:r>
          </w:p>
        </w:tc>
        <w:tc>
          <w:tcPr>
            <w:tcW w:w="1368" w:type="dxa"/>
            <w:noWrap w:val="0"/>
            <w:vAlign w:val="center"/>
          </w:tcPr>
          <w:p w14:paraId="7B70AB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1CD6A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BAF43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4E061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FB268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97F9F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C7E2F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C6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539E47C">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已标价工程量清单评审是否合格</w:t>
            </w:r>
          </w:p>
        </w:tc>
        <w:tc>
          <w:tcPr>
            <w:tcW w:w="1368" w:type="dxa"/>
            <w:noWrap w:val="0"/>
            <w:vAlign w:val="center"/>
          </w:tcPr>
          <w:p w14:paraId="6A7F1C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0A148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26D06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A568F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2BC127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697C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6BDF3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9AD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FC501DB">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eastAsia="zh-CN"/>
              </w:rPr>
              <w:t>1.</w:t>
            </w:r>
            <w:r>
              <w:rPr>
                <w:rFonts w:hint="eastAsia" w:ascii="Calibri" w:hAnsi="Calibri" w:eastAsia="宋体" w:cs="宋体"/>
                <w:color w:val="auto"/>
                <w:highlight w:val="none"/>
              </w:rPr>
              <w:t>投标报价得分（满分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368" w:type="dxa"/>
            <w:noWrap w:val="0"/>
            <w:vAlign w:val="center"/>
          </w:tcPr>
          <w:p w14:paraId="727744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17153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D6FFE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4FA33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27F58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CE1A1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1DB90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82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4E64DD7E">
            <w:pPr>
              <w:keepNext w:val="0"/>
              <w:keepLines w:val="0"/>
              <w:numPr>
                <w:ilvl w:val="0"/>
                <w:numId w:val="1"/>
              </w:numPr>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不合理报价偏差扣分（如有）（满分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368" w:type="dxa"/>
            <w:noWrap w:val="0"/>
            <w:vAlign w:val="center"/>
          </w:tcPr>
          <w:p w14:paraId="6B2B80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97261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21404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A97DC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24FB60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860BF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93947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76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0B551753">
            <w:pPr>
              <w:keepNext w:val="0"/>
              <w:keepLines w:val="0"/>
              <w:widowControl/>
              <w:numPr>
                <w:ilvl w:val="0"/>
                <w:numId w:val="0"/>
              </w:numPr>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cs="Times New Roman"/>
                <w:color w:val="auto"/>
                <w:highlight w:val="none"/>
                <w:lang w:eastAsia="zh-CN"/>
              </w:rPr>
              <w:t>3.</w:t>
            </w:r>
            <w:r>
              <w:rPr>
                <w:rFonts w:hint="eastAsia" w:ascii="Calibri" w:hAnsi="Calibri" w:eastAsia="宋体" w:cs="Times New Roman"/>
                <w:color w:val="auto"/>
                <w:highlight w:val="none"/>
              </w:rPr>
              <w:t>商务标得分（</w:t>
            </w:r>
            <w:r>
              <w:rPr>
                <w:rFonts w:hint="default" w:ascii="Calibri" w:hAnsi="Calibri" w:eastAsia="宋体" w:cs="Times New Roman"/>
                <w:color w:val="auto"/>
                <w:highlight w:val="none"/>
              </w:rPr>
              <w:t>1</w:t>
            </w:r>
            <w:r>
              <w:rPr>
                <w:rFonts w:hint="eastAsia" w:ascii="Calibri" w:hAnsi="Calibri" w:eastAsia="宋体" w:cs="Times New Roman"/>
                <w:color w:val="auto"/>
                <w:highlight w:val="none"/>
              </w:rPr>
              <w:t>－2）</w:t>
            </w:r>
          </w:p>
        </w:tc>
        <w:tc>
          <w:tcPr>
            <w:tcW w:w="1368" w:type="dxa"/>
            <w:noWrap w:val="0"/>
            <w:vAlign w:val="center"/>
          </w:tcPr>
          <w:p w14:paraId="3C1185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BAF9E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1AD26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D7B33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8EE10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51119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6D8E2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E9D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17" w:type="dxa"/>
            <w:noWrap w:val="0"/>
            <w:vAlign w:val="center"/>
          </w:tcPr>
          <w:p w14:paraId="11A64A76">
            <w:pPr>
              <w:keepNext w:val="0"/>
              <w:keepLines w:val="0"/>
              <w:numPr>
                <w:ilvl w:val="0"/>
                <w:numId w:val="2"/>
              </w:numPr>
              <w:suppressLineNumbers w:val="0"/>
              <w:spacing w:before="0" w:beforeAutospacing="0" w:after="0" w:afterAutospacing="0"/>
              <w:ind w:right="0"/>
              <w:jc w:val="left"/>
              <w:rPr>
                <w:rFonts w:hint="eastAsia" w:ascii="Calibri" w:hAnsi="Calibri" w:eastAsia="宋体" w:cs="宋体"/>
                <w:color w:val="auto"/>
                <w:highlight w:val="none"/>
              </w:rPr>
            </w:pPr>
            <w:r>
              <w:rPr>
                <w:rFonts w:hint="eastAsia" w:ascii="Calibri" w:hAnsi="Calibri" w:eastAsia="宋体" w:cs="Times New Roman"/>
                <w:color w:val="auto"/>
                <w:highlight w:val="none"/>
              </w:rPr>
              <w:t>小微企业或残疾人或监狱企业加分（如有）</w:t>
            </w:r>
          </w:p>
        </w:tc>
        <w:tc>
          <w:tcPr>
            <w:tcW w:w="1368" w:type="dxa"/>
            <w:noWrap w:val="0"/>
            <w:vAlign w:val="center"/>
          </w:tcPr>
          <w:p w14:paraId="74BF60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D38B3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1B3CF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D0C37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571C4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22A05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9AFD7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C4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573B1676">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cs="Times New Roman"/>
                <w:color w:val="auto"/>
                <w:highlight w:val="none"/>
                <w:lang w:eastAsia="zh-CN"/>
              </w:rPr>
              <w:t>5.</w:t>
            </w:r>
            <w:r>
              <w:rPr>
                <w:rFonts w:hint="eastAsia" w:ascii="Calibri" w:hAnsi="Calibri" w:eastAsia="宋体" w:cs="宋体"/>
                <w:color w:val="auto"/>
                <w:highlight w:val="none"/>
              </w:rPr>
              <w:t>商务标最后得分（</w:t>
            </w:r>
            <w:r>
              <w:rPr>
                <w:rFonts w:hint="default" w:ascii="Calibri" w:hAnsi="Calibri" w:eastAsia="宋体" w:cs="Times New Roman"/>
                <w:color w:val="auto"/>
                <w:highlight w:val="none"/>
              </w:rPr>
              <w:t>3</w:t>
            </w:r>
            <w:r>
              <w:rPr>
                <w:rFonts w:hint="eastAsia" w:ascii="Calibri" w:hAnsi="Calibri" w:eastAsia="宋体" w:cs="宋体"/>
                <w:color w:val="auto"/>
                <w:highlight w:val="none"/>
              </w:rPr>
              <w:t>+</w:t>
            </w:r>
            <w:r>
              <w:rPr>
                <w:rFonts w:hint="default" w:ascii="Calibri" w:hAnsi="Calibri" w:eastAsia="宋体" w:cs="Times New Roman"/>
                <w:color w:val="auto"/>
                <w:highlight w:val="none"/>
              </w:rPr>
              <w:t>4</w:t>
            </w:r>
            <w:r>
              <w:rPr>
                <w:rFonts w:hint="eastAsia" w:ascii="Calibri" w:hAnsi="Calibri" w:eastAsia="宋体" w:cs="宋体"/>
                <w:color w:val="auto"/>
                <w:highlight w:val="none"/>
              </w:rPr>
              <w:t>）</w:t>
            </w:r>
          </w:p>
        </w:tc>
        <w:tc>
          <w:tcPr>
            <w:tcW w:w="1368" w:type="dxa"/>
            <w:noWrap w:val="0"/>
            <w:vAlign w:val="center"/>
          </w:tcPr>
          <w:p w14:paraId="0AFC92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2047E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C9E17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F4C7B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564A7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9FF61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AE4C6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881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5ACC3CA0">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（如有）</w:t>
            </w:r>
          </w:p>
        </w:tc>
        <w:tc>
          <w:tcPr>
            <w:tcW w:w="5034" w:type="dxa"/>
            <w:gridSpan w:val="4"/>
            <w:noWrap w:val="0"/>
            <w:vAlign w:val="center"/>
          </w:tcPr>
          <w:p w14:paraId="09F4B6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398" w:type="dxa"/>
            <w:gridSpan w:val="3"/>
            <w:noWrap w:val="0"/>
            <w:vAlign w:val="center"/>
          </w:tcPr>
          <w:p w14:paraId="5B33FCD5">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经评审的合理低价：</w:t>
            </w:r>
          </w:p>
        </w:tc>
      </w:tr>
      <w:tr w14:paraId="2A5C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9" w:type="dxa"/>
            <w:gridSpan w:val="8"/>
            <w:noWrap w:val="0"/>
            <w:vAlign w:val="center"/>
          </w:tcPr>
          <w:p w14:paraId="4E2C75D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投标报价得分：以经评审的合理低价为最高分</w:t>
            </w:r>
            <w:r>
              <w:rPr>
                <w:rFonts w:hint="default" w:ascii="Calibri" w:hAnsi="Calibri" w:eastAsia="宋体" w:cs="Times New Roman"/>
                <w:color w:val="auto"/>
                <w:highlight w:val="none"/>
              </w:rPr>
              <w:t>98</w:t>
            </w:r>
            <w:r>
              <w:rPr>
                <w:rFonts w:hint="eastAsia" w:ascii="Calibri" w:hAnsi="Calibri" w:eastAsia="宋体" w:cs="宋体"/>
                <w:color w:val="auto"/>
                <w:highlight w:val="none"/>
              </w:rPr>
              <w:t>分，采用内插法计算，投标人投标报价每高于经评审的合理低价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2</w:t>
            </w:r>
            <w:r>
              <w:rPr>
                <w:rFonts w:hint="eastAsia" w:ascii="Calibri" w:hAnsi="Calibri" w:eastAsia="宋体" w:cs="宋体"/>
                <w:color w:val="auto"/>
                <w:highlight w:val="none"/>
              </w:rPr>
              <w:t>分，每低于经评审的合理低价</w:t>
            </w:r>
            <w:r>
              <w:rPr>
                <w:rFonts w:hint="default" w:ascii="Calibri" w:hAnsi="Calibri" w:eastAsia="宋体" w:cs="Times New Roman"/>
                <w:color w:val="auto"/>
                <w:highlight w:val="none"/>
              </w:rPr>
              <w:t>1</w:t>
            </w:r>
            <w:r>
              <w:rPr>
                <w:rFonts w:hint="eastAsia" w:ascii="Calibri" w:hAnsi="Calibri" w:eastAsia="宋体" w:cs="宋体"/>
                <w:color w:val="auto"/>
                <w:highlight w:val="none"/>
              </w:rPr>
              <w:t>％的扣</w:t>
            </w:r>
            <w:r>
              <w:rPr>
                <w:rFonts w:hint="default" w:ascii="Calibri" w:hAnsi="Calibri" w:eastAsia="宋体" w:cs="Times New Roman"/>
                <w:color w:val="auto"/>
                <w:highlight w:val="none"/>
              </w:rPr>
              <w:t>1</w:t>
            </w:r>
            <w:r>
              <w:rPr>
                <w:rFonts w:hint="eastAsia" w:ascii="Calibri" w:hAnsi="Calibri" w:eastAsia="宋体" w:cs="宋体"/>
                <w:color w:val="auto"/>
                <w:highlight w:val="none"/>
              </w:rPr>
              <w:t>分。</w:t>
            </w:r>
            <w:r>
              <w:rPr>
                <w:rFonts w:hint="eastAsia" w:ascii="宋体" w:hAnsi="宋体" w:eastAsia="宋体" w:cs="宋体"/>
                <w:color w:val="auto"/>
                <w:highlight w:val="none"/>
                <w:lang w:val="en-US" w:eastAsia="zh-CN"/>
              </w:rPr>
              <w:t xml:space="preserve">   </w:t>
            </w:r>
            <w:r>
              <w:rPr>
                <w:rFonts w:hint="eastAsia" w:ascii="Calibri" w:hAnsi="Calibri" w:eastAsia="宋体" w:cs="宋体"/>
                <w:color w:val="auto"/>
                <w:highlight w:val="none"/>
              </w:rPr>
              <w:t>商务标得分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投标报价得分</w:t>
            </w:r>
            <w:r>
              <w:rPr>
                <w:rFonts w:hint="default" w:ascii="Calibri" w:hAnsi="Calibri" w:eastAsia="宋体" w:cs="Times New Roman"/>
                <w:color w:val="auto"/>
                <w:highlight w:val="none"/>
              </w:rPr>
              <w:t>-</w:t>
            </w:r>
            <w:r>
              <w:rPr>
                <w:rFonts w:hint="eastAsia" w:ascii="Calibri" w:hAnsi="Calibri" w:eastAsia="宋体" w:cs="宋体"/>
                <w:color w:val="auto"/>
                <w:highlight w:val="none"/>
              </w:rPr>
              <w:t>不合理报价偏差扣分（如有）</w:t>
            </w:r>
            <w:r>
              <w:rPr>
                <w:rFonts w:hint="eastAsia" w:ascii="Calibri" w:hAnsi="Calibri" w:eastAsia="宋体" w:cs="宋体"/>
                <w:color w:val="auto"/>
                <w:highlight w:val="none"/>
                <w:lang w:val="en-US" w:eastAsia="zh-CN"/>
              </w:rPr>
              <w:t xml:space="preserve"> </w:t>
            </w:r>
            <w:r>
              <w:rPr>
                <w:rFonts w:hint="eastAsia" w:ascii="宋体" w:hAnsi="宋体" w:eastAsia="宋体" w:cs="宋体"/>
                <w:color w:val="auto"/>
                <w:highlight w:val="none"/>
              </w:rPr>
              <w:t>商务标</w:t>
            </w:r>
            <w:r>
              <w:rPr>
                <w:rFonts w:hint="eastAsia" w:ascii="Calibri" w:hAnsi="Calibri" w:eastAsia="宋体" w:cs="Times New Roman"/>
                <w:color w:val="auto"/>
                <w:highlight w:val="none"/>
              </w:rPr>
              <w:t>最后</w:t>
            </w:r>
            <w:r>
              <w:rPr>
                <w:rFonts w:hint="eastAsia" w:ascii="宋体" w:hAnsi="宋体" w:eastAsia="宋体" w:cs="宋体"/>
                <w:color w:val="auto"/>
                <w:highlight w:val="none"/>
              </w:rPr>
              <w:t>得分=</w:t>
            </w:r>
            <w:r>
              <w:rPr>
                <w:rFonts w:hint="eastAsia" w:ascii="Calibri" w:hAnsi="Calibri" w:eastAsia="宋体" w:cs="宋体"/>
                <w:color w:val="auto"/>
                <w:highlight w:val="none"/>
              </w:rPr>
              <w:t>商务标得分+小微企业或残疾人或监狱企业加分（如有）</w:t>
            </w:r>
          </w:p>
        </w:tc>
      </w:tr>
    </w:tbl>
    <w:p w14:paraId="6E11E746">
      <w:pPr>
        <w:rPr>
          <w:rFonts w:eastAsia="楷体_GB2312"/>
          <w:color w:val="auto"/>
          <w:highlight w:val="none"/>
        </w:rPr>
      </w:pPr>
      <w:r>
        <w:rPr>
          <w:rFonts w:hint="eastAsia" w:eastAsia="楷体_GB2312" w:cs="楷体_GB2312"/>
          <w:color w:val="auto"/>
          <w:highlight w:val="none"/>
        </w:rPr>
        <w:t>【备注：本表可根据评分办法的需要进行调整。投标报价单位：人民币元</w:t>
      </w:r>
      <w:r>
        <w:rPr>
          <w:rFonts w:hint="eastAsia" w:eastAsia="楷体_GB2312" w:cs="楷体_GB2312"/>
          <w:color w:val="auto"/>
          <w:highlight w:val="none"/>
          <w:lang w:eastAsia="zh-CN"/>
        </w:rPr>
        <w:t>】</w:t>
      </w:r>
    </w:p>
    <w:p w14:paraId="39A7A1B8">
      <w:pPr>
        <w:rPr>
          <w:rFonts w:eastAsia="楷体_GB2312"/>
          <w:color w:val="auto"/>
          <w:highlight w:val="none"/>
        </w:rPr>
      </w:pPr>
    </w:p>
    <w:p w14:paraId="1FE56298">
      <w:pPr>
        <w:rPr>
          <w:rFonts w:cs="宋体"/>
          <w:color w:val="auto"/>
          <w:highlight w:val="none"/>
        </w:rPr>
      </w:pPr>
      <w:r>
        <w:rPr>
          <w:rFonts w:hint="eastAsia" w:cs="宋体"/>
          <w:color w:val="auto"/>
          <w:highlight w:val="none"/>
        </w:rPr>
        <w:t>评标委员会</w:t>
      </w:r>
      <w:r>
        <w:rPr>
          <w:rFonts w:hint="eastAsia"/>
          <w:color w:val="auto"/>
          <w:highlight w:val="none"/>
        </w:rPr>
        <w:t>商务标</w:t>
      </w:r>
      <w:r>
        <w:rPr>
          <w:color w:val="auto"/>
          <w:highlight w:val="none"/>
        </w:rPr>
        <w:t>全体</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462B92B">
      <w:pPr>
        <w:rPr>
          <w:rFonts w:cs="宋体"/>
          <w:color w:val="auto"/>
          <w:highlight w:val="none"/>
        </w:rPr>
      </w:pPr>
    </w:p>
    <w:p w14:paraId="73CE00ED">
      <w:pPr>
        <w:rPr>
          <w:rFonts w:cs="宋体"/>
          <w:color w:val="auto"/>
          <w:highlight w:val="none"/>
        </w:rPr>
      </w:pPr>
    </w:p>
    <w:p w14:paraId="2C52FE9D">
      <w:pPr>
        <w:rPr>
          <w:rFonts w:cs="宋体"/>
          <w:color w:val="auto"/>
          <w:highlight w:val="none"/>
        </w:rPr>
      </w:pPr>
    </w:p>
    <w:p w14:paraId="413C3437">
      <w:pPr>
        <w:rPr>
          <w:rFonts w:hint="eastAsia" w:cs="宋体"/>
          <w:color w:val="auto"/>
          <w:highlight w:val="none"/>
        </w:rPr>
      </w:pPr>
    </w:p>
    <w:p w14:paraId="51FA9775">
      <w:pPr>
        <w:pStyle w:val="4"/>
        <w:spacing w:line="240" w:lineRule="auto"/>
        <w:rPr>
          <w:rFonts w:hint="eastAsia" w:cs="宋体"/>
          <w:b w:val="0"/>
          <w:bCs w:val="0"/>
          <w:color w:val="auto"/>
          <w:highlight w:val="none"/>
        </w:rPr>
      </w:pPr>
      <w:bookmarkStart w:id="712" w:name="_Toc26625"/>
      <w:bookmarkStart w:id="713" w:name="_Toc3491103"/>
      <w:bookmarkStart w:id="714" w:name="_Toc16438"/>
      <w:bookmarkStart w:id="715" w:name="_Toc80910487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：企业信誉实力评分记录表</w:t>
      </w:r>
      <w:bookmarkEnd w:id="712"/>
      <w:bookmarkEnd w:id="713"/>
      <w:bookmarkEnd w:id="714"/>
      <w:bookmarkEnd w:id="715"/>
    </w:p>
    <w:p w14:paraId="5ABB72D9">
      <w:pPr>
        <w:spacing w:line="440" w:lineRule="exact"/>
        <w:rPr>
          <w:rFonts w:hint="eastAsia" w:cs="宋体"/>
          <w:b/>
          <w:bCs/>
          <w:color w:val="auto"/>
          <w:highlight w:val="none"/>
        </w:rPr>
      </w:pPr>
    </w:p>
    <w:p w14:paraId="70776E84">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43BD7E96">
      <w:pPr>
        <w:spacing w:after="72" w:afterLines="30" w:line="440" w:lineRule="exact"/>
        <w:rPr>
          <w:rFonts w:hint="eastAsia" w:cs="宋体"/>
          <w:color w:val="auto"/>
          <w:highlight w:val="none"/>
        </w:rPr>
      </w:pPr>
    </w:p>
    <w:p w14:paraId="29F71F9C">
      <w:pPr>
        <w:spacing w:after="72" w:afterLines="30" w:line="440" w:lineRule="exact"/>
        <w:rPr>
          <w:rFonts w:hint="eastAsia" w:cs="宋体"/>
          <w:color w:val="auto"/>
          <w:highlight w:val="none"/>
        </w:rPr>
      </w:pPr>
    </w:p>
    <w:p w14:paraId="2552A3C8">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114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12280E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4FA5F6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28BC39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657561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64A6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3DAEFE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75DAF4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679030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24F3A6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10691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B1EF1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D1271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B137B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EFFF9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EB5F6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3A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C2A59AA">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31EAD3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6BD8AE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95F15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EDAE2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AE94A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01AC6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C351C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FCE6C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4A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31D53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eastAsia" w:ascii="Calibri" w:hAnsi="Calibri" w:eastAsia="宋体" w:cs="Times New Roman"/>
                <w:color w:val="auto"/>
                <w:highlight w:val="none"/>
                <w:u w:val="none"/>
                <w:lang w:eastAsia="zh-CN"/>
              </w:rPr>
              <w:t>2分</w:t>
            </w:r>
            <w:r>
              <w:rPr>
                <w:rFonts w:hint="eastAsia" w:ascii="Calibri" w:hAnsi="Calibri" w:eastAsia="宋体" w:cs="宋体"/>
                <w:color w:val="auto"/>
                <w:highlight w:val="none"/>
              </w:rPr>
              <w:t>）</w:t>
            </w:r>
          </w:p>
        </w:tc>
        <w:tc>
          <w:tcPr>
            <w:tcW w:w="1290" w:type="dxa"/>
            <w:noWrap w:val="0"/>
            <w:vAlign w:val="center"/>
          </w:tcPr>
          <w:p w14:paraId="4B890E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6CDBDA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8A209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440F6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47D02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9E29F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9B7CE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B6CB5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50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258B31E">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诚信综合评价分（百分制）×企业信誉实力分分值权重（</w:t>
            </w:r>
            <w:r>
              <w:rPr>
                <w:rFonts w:hint="default" w:ascii="宋体" w:hAnsi="宋体" w:eastAsia="宋体" w:cs="宋体"/>
                <w:color w:val="auto"/>
                <w:highlight w:val="none"/>
              </w:rPr>
              <w:t>2</w:t>
            </w:r>
            <w:r>
              <w:rPr>
                <w:rFonts w:hint="eastAsia" w:ascii="宋体" w:hAnsi="宋体" w:eastAsia="宋体" w:cs="宋体"/>
                <w:color w:val="auto"/>
                <w:highlight w:val="none"/>
              </w:rPr>
              <w:t>%）</w:t>
            </w:r>
          </w:p>
        </w:tc>
      </w:tr>
    </w:tbl>
    <w:p w14:paraId="7CE7E0F6">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E067EDA">
      <w:pPr>
        <w:pStyle w:val="4"/>
        <w:spacing w:line="240" w:lineRule="auto"/>
        <w:rPr>
          <w:color w:val="auto"/>
          <w:highlight w:val="none"/>
        </w:rPr>
      </w:pPr>
      <w:r>
        <w:rPr>
          <w:color w:val="auto"/>
          <w:highlight w:val="none"/>
        </w:rPr>
        <w:br w:type="page"/>
      </w:r>
      <w:bookmarkStart w:id="716" w:name="_Toc2667"/>
      <w:bookmarkStart w:id="717" w:name="_Toc1741880377"/>
      <w:bookmarkStart w:id="718" w:name="_Toc14495"/>
      <w:bookmarkStart w:id="719" w:name="_Toc768429895"/>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：企业信誉实力评分记录表</w:t>
      </w:r>
      <w:bookmarkEnd w:id="716"/>
      <w:bookmarkEnd w:id="717"/>
      <w:bookmarkEnd w:id="718"/>
      <w:bookmarkEnd w:id="719"/>
    </w:p>
    <w:p w14:paraId="6D303A43">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42ABDA05">
      <w:pPr>
        <w:jc w:val="center"/>
        <w:rPr>
          <w:rFonts w:hint="eastAsia" w:eastAsia="黑体" w:cs="黑体"/>
          <w:color w:val="auto"/>
          <w:sz w:val="28"/>
          <w:szCs w:val="28"/>
          <w:highlight w:val="none"/>
        </w:rPr>
      </w:pPr>
    </w:p>
    <w:p w14:paraId="318FECCB">
      <w:pPr>
        <w:jc w:val="center"/>
        <w:rPr>
          <w:rFonts w:hint="eastAsia" w:eastAsia="黑体" w:cs="黑体"/>
          <w:color w:val="auto"/>
          <w:sz w:val="28"/>
          <w:szCs w:val="28"/>
          <w:highlight w:val="none"/>
        </w:rPr>
      </w:pPr>
    </w:p>
    <w:p w14:paraId="5AEA98C5">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455"/>
        <w:gridCol w:w="1294"/>
        <w:gridCol w:w="830"/>
        <w:gridCol w:w="1273"/>
        <w:gridCol w:w="1274"/>
        <w:gridCol w:w="1273"/>
        <w:gridCol w:w="1274"/>
        <w:gridCol w:w="1273"/>
        <w:gridCol w:w="1274"/>
      </w:tblGrid>
      <w:tr w14:paraId="2345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60F350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455" w:type="dxa"/>
            <w:vMerge w:val="restart"/>
            <w:noWrap w:val="0"/>
            <w:vAlign w:val="center"/>
          </w:tcPr>
          <w:p w14:paraId="3FE074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4" w:type="dxa"/>
            <w:vMerge w:val="restart"/>
            <w:noWrap w:val="0"/>
            <w:vAlign w:val="center"/>
          </w:tcPr>
          <w:p w14:paraId="2E4E31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471" w:type="dxa"/>
            <w:gridSpan w:val="7"/>
            <w:noWrap w:val="0"/>
            <w:vAlign w:val="center"/>
          </w:tcPr>
          <w:p w14:paraId="32BA9F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6A41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34D1E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455" w:type="dxa"/>
            <w:vMerge w:val="continue"/>
            <w:noWrap w:val="0"/>
            <w:vAlign w:val="center"/>
          </w:tcPr>
          <w:p w14:paraId="0A2C09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4" w:type="dxa"/>
            <w:vMerge w:val="continue"/>
            <w:noWrap w:val="0"/>
            <w:vAlign w:val="center"/>
          </w:tcPr>
          <w:p w14:paraId="084BA6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30" w:type="dxa"/>
            <w:noWrap w:val="0"/>
            <w:vAlign w:val="center"/>
          </w:tcPr>
          <w:p w14:paraId="3D6F07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4E9E6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AADA1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694B8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45182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3C0FF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5F879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1C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78871FA0">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4" w:type="dxa"/>
            <w:noWrap w:val="0"/>
            <w:vAlign w:val="center"/>
          </w:tcPr>
          <w:p w14:paraId="3432A30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830" w:type="dxa"/>
            <w:noWrap w:val="0"/>
            <w:vAlign w:val="center"/>
          </w:tcPr>
          <w:p w14:paraId="3298D2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DFEDB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2C523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ED6B6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C77B4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4A093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86B36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B6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0F7C1D38">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4" w:type="dxa"/>
            <w:noWrap w:val="0"/>
            <w:vAlign w:val="center"/>
          </w:tcPr>
          <w:p w14:paraId="20510A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830" w:type="dxa"/>
            <w:noWrap w:val="0"/>
            <w:vAlign w:val="center"/>
          </w:tcPr>
          <w:p w14:paraId="4CE3DE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64FBF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FEF79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6DD4E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D0DCB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7CA74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723C9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010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3" w:type="dxa"/>
            <w:gridSpan w:val="2"/>
            <w:noWrap w:val="0"/>
            <w:vAlign w:val="center"/>
          </w:tcPr>
          <w:p w14:paraId="34BD5D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eastAsia" w:ascii="Calibri" w:hAnsi="Calibri" w:eastAsia="宋体" w:cs="Times New Roman"/>
                <w:color w:val="auto"/>
                <w:highlight w:val="none"/>
                <w:u w:val="single"/>
                <w:lang w:eastAsia="zh-CN"/>
              </w:rPr>
              <w:t>：</w:t>
            </w:r>
            <w:r>
              <w:rPr>
                <w:rFonts w:hint="eastAsia" w:ascii="Calibri" w:hAnsi="Calibri" w:eastAsia="宋体" w:cs="Times New Roman"/>
                <w:color w:val="auto"/>
                <w:highlight w:val="none"/>
                <w:u w:val="single"/>
                <w:lang w:val="en-US" w:eastAsia="zh-CN"/>
              </w:rPr>
              <w:t>2分</w:t>
            </w:r>
            <w:r>
              <w:rPr>
                <w:rFonts w:hint="eastAsia" w:ascii="Calibri" w:hAnsi="Calibri" w:eastAsia="宋体" w:cs="宋体"/>
                <w:color w:val="auto"/>
                <w:highlight w:val="none"/>
              </w:rPr>
              <w:t>）</w:t>
            </w:r>
          </w:p>
        </w:tc>
        <w:tc>
          <w:tcPr>
            <w:tcW w:w="1294" w:type="dxa"/>
            <w:noWrap w:val="0"/>
            <w:vAlign w:val="center"/>
          </w:tcPr>
          <w:p w14:paraId="6F8D80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30" w:type="dxa"/>
            <w:noWrap w:val="0"/>
            <w:vAlign w:val="center"/>
          </w:tcPr>
          <w:p w14:paraId="201664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626DE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1F8BA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50972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0D579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F86F1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4D952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EE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0E47155A">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default"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default" w:ascii="宋体" w:hAnsi="宋体" w:eastAsia="宋体" w:cs="宋体"/>
                <w:color w:val="auto"/>
                <w:highlight w:val="none"/>
              </w:rPr>
              <w:t>%</w:t>
            </w:r>
            <w:r>
              <w:rPr>
                <w:rFonts w:hint="eastAsia" w:ascii="宋体" w:hAnsi="宋体" w:eastAsia="宋体" w:cs="宋体"/>
                <w:color w:val="auto"/>
                <w:highlight w:val="none"/>
              </w:rPr>
              <w:t>（</w:t>
            </w:r>
            <w:r>
              <w:rPr>
                <w:rFonts w:hint="eastAsia" w:ascii="Calibri" w:hAnsi="Calibri" w:eastAsia="宋体" w:cs="Times New Roman"/>
                <w:color w:val="auto"/>
                <w:highlight w:val="none"/>
              </w:rPr>
              <w:t>取50%-100%）</w:t>
            </w:r>
            <w:r>
              <w:rPr>
                <w:rFonts w:hint="eastAsia" w:ascii="宋体" w:hAnsi="宋体" w:eastAsia="宋体" w:cs="宋体"/>
                <w:color w:val="auto"/>
                <w:highlight w:val="none"/>
              </w:rPr>
              <w:t>×企业信誉实力分分值权重（2%）+根据实时公布的设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（取</w:t>
            </w:r>
            <w:r>
              <w:rPr>
                <w:rFonts w:hint="eastAsia" w:ascii="Calibri" w:hAnsi="Calibri" w:eastAsia="宋体" w:cs="Times New Roman"/>
                <w:color w:val="auto"/>
                <w:highlight w:val="none"/>
                <w:u w:val="single"/>
              </w:rPr>
              <w:t>50%-0%</w:t>
            </w:r>
            <w:r>
              <w:rPr>
                <w:rFonts w:hint="eastAsia" w:ascii="Calibri" w:hAnsi="Calibri" w:eastAsia="宋体" w:cs="Times New Roman"/>
                <w:color w:val="auto"/>
                <w:highlight w:val="none"/>
              </w:rPr>
              <w:t>）</w:t>
            </w:r>
            <w:r>
              <w:rPr>
                <w:rFonts w:hint="eastAsia" w:ascii="宋体" w:hAnsi="宋体" w:eastAsia="宋体" w:cs="宋体"/>
                <w:color w:val="auto"/>
                <w:highlight w:val="none"/>
              </w:rPr>
              <w:t>×企业信誉实力分分值权重（2%）</w:t>
            </w:r>
          </w:p>
        </w:tc>
      </w:tr>
    </w:tbl>
    <w:p w14:paraId="417A85A3">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836319C">
      <w:pPr>
        <w:rPr>
          <w:rFonts w:hint="eastAsia"/>
          <w:color w:val="auto"/>
          <w:highlight w:val="none"/>
        </w:rPr>
      </w:pPr>
    </w:p>
    <w:p w14:paraId="4536AC29">
      <w:pPr>
        <w:rPr>
          <w:color w:val="auto"/>
          <w:highlight w:val="none"/>
        </w:rPr>
      </w:pPr>
    </w:p>
    <w:p w14:paraId="5C12B90B">
      <w:pPr>
        <w:rPr>
          <w:color w:val="auto"/>
          <w:highlight w:val="none"/>
        </w:rPr>
        <w:sectPr>
          <w:pgSz w:w="16838" w:h="11906" w:orient="landscape"/>
          <w:pgMar w:top="1440" w:right="1440" w:bottom="1440" w:left="1797" w:header="851" w:footer="851" w:gutter="0"/>
          <w:cols w:space="720" w:num="1"/>
          <w:docGrid w:linePitch="312" w:charSpace="0"/>
        </w:sectPr>
      </w:pPr>
    </w:p>
    <w:p w14:paraId="419214BA">
      <w:pPr>
        <w:pStyle w:val="4"/>
        <w:spacing w:line="240" w:lineRule="auto"/>
        <w:rPr>
          <w:color w:val="auto"/>
          <w:sz w:val="28"/>
          <w:szCs w:val="28"/>
          <w:highlight w:val="none"/>
        </w:rPr>
      </w:pPr>
      <w:bookmarkStart w:id="720" w:name="_Toc605"/>
      <w:bookmarkStart w:id="721" w:name="_Toc1023373124"/>
      <w:bookmarkStart w:id="722" w:name="_Toc341"/>
      <w:bookmarkStart w:id="723" w:name="_Toc1740991021"/>
      <w:bookmarkStart w:id="724" w:name="_Toc7844972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：评标结果汇总表</w:t>
      </w:r>
      <w:bookmarkEnd w:id="720"/>
      <w:bookmarkEnd w:id="721"/>
      <w:bookmarkEnd w:id="722"/>
      <w:bookmarkEnd w:id="723"/>
      <w:bookmarkEnd w:id="724"/>
    </w:p>
    <w:p w14:paraId="4D300866">
      <w:pPr>
        <w:jc w:val="center"/>
        <w:rPr>
          <w:color w:val="auto"/>
          <w:sz w:val="28"/>
          <w:szCs w:val="28"/>
          <w:highlight w:val="none"/>
        </w:rPr>
      </w:pPr>
      <w:r>
        <w:rPr>
          <w:rFonts w:hint="eastAsia" w:eastAsia="黑体" w:cs="黑体"/>
          <w:color w:val="auto"/>
          <w:sz w:val="28"/>
          <w:szCs w:val="28"/>
          <w:highlight w:val="none"/>
        </w:rPr>
        <w:t>评标结果汇总表</w:t>
      </w:r>
    </w:p>
    <w:p w14:paraId="2C53578B">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32"/>
        <w:gridCol w:w="992"/>
        <w:gridCol w:w="840"/>
        <w:gridCol w:w="900"/>
        <w:gridCol w:w="1013"/>
        <w:gridCol w:w="1256"/>
        <w:gridCol w:w="2081"/>
        <w:gridCol w:w="1181"/>
        <w:gridCol w:w="1575"/>
        <w:gridCol w:w="638"/>
        <w:gridCol w:w="638"/>
      </w:tblGrid>
      <w:tr w14:paraId="7448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restart"/>
            <w:noWrap w:val="0"/>
            <w:vAlign w:val="center"/>
          </w:tcPr>
          <w:p w14:paraId="3A82CB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832" w:type="dxa"/>
            <w:vMerge w:val="restart"/>
            <w:noWrap w:val="0"/>
            <w:vAlign w:val="center"/>
          </w:tcPr>
          <w:p w14:paraId="0539ED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992" w:type="dxa"/>
            <w:vMerge w:val="restart"/>
            <w:noWrap w:val="0"/>
            <w:vAlign w:val="center"/>
          </w:tcPr>
          <w:p w14:paraId="6B2E30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w:t>
            </w:r>
          </w:p>
          <w:p w14:paraId="4F67FB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w:t>
            </w:r>
          </w:p>
        </w:tc>
        <w:tc>
          <w:tcPr>
            <w:tcW w:w="2753" w:type="dxa"/>
            <w:gridSpan w:val="3"/>
            <w:noWrap w:val="0"/>
            <w:vAlign w:val="center"/>
          </w:tcPr>
          <w:p w14:paraId="007D77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初步评审</w:t>
            </w:r>
          </w:p>
        </w:tc>
        <w:tc>
          <w:tcPr>
            <w:tcW w:w="6093" w:type="dxa"/>
            <w:gridSpan w:val="4"/>
            <w:noWrap w:val="0"/>
            <w:vAlign w:val="center"/>
          </w:tcPr>
          <w:p w14:paraId="1D1D503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详细评审</w:t>
            </w:r>
          </w:p>
        </w:tc>
        <w:tc>
          <w:tcPr>
            <w:tcW w:w="638" w:type="dxa"/>
            <w:vMerge w:val="restart"/>
            <w:noWrap w:val="0"/>
            <w:vAlign w:val="center"/>
          </w:tcPr>
          <w:p w14:paraId="196D90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排序（由低至高）</w:t>
            </w:r>
          </w:p>
        </w:tc>
        <w:tc>
          <w:tcPr>
            <w:tcW w:w="638" w:type="dxa"/>
            <w:vMerge w:val="restart"/>
            <w:noWrap w:val="0"/>
            <w:vAlign w:val="center"/>
          </w:tcPr>
          <w:p w14:paraId="4E6C3BF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备注</w:t>
            </w:r>
          </w:p>
        </w:tc>
      </w:tr>
      <w:tr w14:paraId="2D3E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20" w:type="dxa"/>
            <w:vMerge w:val="continue"/>
            <w:noWrap w:val="0"/>
            <w:vAlign w:val="center"/>
          </w:tcPr>
          <w:p w14:paraId="501784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2" w:type="dxa"/>
            <w:vMerge w:val="continue"/>
            <w:noWrap w:val="0"/>
            <w:vAlign w:val="center"/>
          </w:tcPr>
          <w:p w14:paraId="5B1757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vMerge w:val="continue"/>
            <w:noWrap w:val="0"/>
            <w:vAlign w:val="center"/>
          </w:tcPr>
          <w:p w14:paraId="2E819A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5D8EBD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形式评审是否合格</w:t>
            </w:r>
          </w:p>
        </w:tc>
        <w:tc>
          <w:tcPr>
            <w:tcW w:w="900" w:type="dxa"/>
            <w:noWrap w:val="0"/>
            <w:vAlign w:val="center"/>
          </w:tcPr>
          <w:p w14:paraId="255224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响应性评审</w:t>
            </w:r>
          </w:p>
          <w:p w14:paraId="428222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是否合格</w:t>
            </w:r>
          </w:p>
        </w:tc>
        <w:tc>
          <w:tcPr>
            <w:tcW w:w="1013" w:type="dxa"/>
            <w:noWrap w:val="0"/>
            <w:vAlign w:val="center"/>
          </w:tcPr>
          <w:p w14:paraId="7A4F16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资格审查</w:t>
            </w:r>
          </w:p>
          <w:p w14:paraId="0E1861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是否合格</w:t>
            </w:r>
          </w:p>
        </w:tc>
        <w:tc>
          <w:tcPr>
            <w:tcW w:w="1256" w:type="dxa"/>
            <w:noWrap w:val="0"/>
            <w:vAlign w:val="center"/>
          </w:tcPr>
          <w:p w14:paraId="2EB378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技术标评审是否合格</w:t>
            </w:r>
          </w:p>
        </w:tc>
        <w:tc>
          <w:tcPr>
            <w:tcW w:w="2081" w:type="dxa"/>
            <w:noWrap w:val="0"/>
            <w:vAlign w:val="center"/>
          </w:tcPr>
          <w:p w14:paraId="0B49C3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商务标得分（有小微企业、残疾人、监狱企业加分时为商务标</w:t>
            </w:r>
            <w:r>
              <w:rPr>
                <w:rFonts w:hint="eastAsia" w:ascii="Calibri" w:hAnsi="Calibri" w:eastAsia="宋体" w:cs="宋体"/>
                <w:color w:val="auto"/>
                <w:highlight w:val="none"/>
                <w:lang w:eastAsia="zh-CN"/>
              </w:rPr>
              <w:t>最后</w:t>
            </w:r>
            <w:r>
              <w:rPr>
                <w:rFonts w:hint="eastAsia" w:ascii="Calibri" w:hAnsi="Calibri" w:eastAsia="宋体" w:cs="宋体"/>
                <w:color w:val="auto"/>
                <w:highlight w:val="none"/>
              </w:rPr>
              <w:t>得分）</w:t>
            </w:r>
          </w:p>
        </w:tc>
        <w:tc>
          <w:tcPr>
            <w:tcW w:w="1181" w:type="dxa"/>
            <w:noWrap w:val="0"/>
            <w:vAlign w:val="center"/>
          </w:tcPr>
          <w:p w14:paraId="55BD745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rPr>
              <w:t>企业信誉实力得分</w:t>
            </w:r>
          </w:p>
        </w:tc>
        <w:tc>
          <w:tcPr>
            <w:tcW w:w="1575" w:type="dxa"/>
            <w:noWrap w:val="0"/>
            <w:vAlign w:val="top"/>
          </w:tcPr>
          <w:p w14:paraId="045507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投标人最终得分</w:t>
            </w:r>
            <w:r>
              <w:rPr>
                <w:rFonts w:hint="eastAsia" w:ascii="Calibri" w:hAnsi="Calibri" w:eastAsia="宋体" w:cs="Times New Roman"/>
                <w:color w:val="auto"/>
                <w:highlight w:val="none"/>
              </w:rPr>
              <w:t>=投标人的商务标得分+企业信誉实力得分</w:t>
            </w:r>
          </w:p>
        </w:tc>
        <w:tc>
          <w:tcPr>
            <w:tcW w:w="638" w:type="dxa"/>
            <w:vMerge w:val="continue"/>
            <w:noWrap w:val="0"/>
            <w:vAlign w:val="center"/>
          </w:tcPr>
          <w:p w14:paraId="2DD092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vMerge w:val="continue"/>
            <w:noWrap w:val="0"/>
            <w:vAlign w:val="center"/>
          </w:tcPr>
          <w:p w14:paraId="75ED4D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28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49957081">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832" w:type="dxa"/>
            <w:noWrap w:val="0"/>
            <w:vAlign w:val="center"/>
          </w:tcPr>
          <w:p w14:paraId="4F1BF2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5E2094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6505A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55C1FA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11A345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709600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71F21A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67BB87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5F2355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641B6A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4FB25F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8E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42A796A">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832" w:type="dxa"/>
            <w:noWrap w:val="0"/>
            <w:vAlign w:val="center"/>
          </w:tcPr>
          <w:p w14:paraId="2E8809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0C0117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6E8A2E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7A355C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00F03F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6DBC7C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20D743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5C3719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2B8AF8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7C1ECA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149AF8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72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4232C55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832" w:type="dxa"/>
            <w:noWrap w:val="0"/>
            <w:vAlign w:val="center"/>
          </w:tcPr>
          <w:p w14:paraId="67D2D4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2BC72E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71A798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43E19D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6B8921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7204A6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4C4FA4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038DF7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5FC29A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41AB96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3A6BA7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E7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7FCAF9A">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832" w:type="dxa"/>
            <w:noWrap w:val="0"/>
            <w:vAlign w:val="center"/>
          </w:tcPr>
          <w:p w14:paraId="70E67C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567131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B9CB7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0DCBEA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288CAF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4D5896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468F96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7D7883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04D1F6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47C2C4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5BC09D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BE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61AD319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832" w:type="dxa"/>
            <w:noWrap w:val="0"/>
            <w:vAlign w:val="center"/>
          </w:tcPr>
          <w:p w14:paraId="7425FC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13AC0C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6A8846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2E2D13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6AED76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6DA549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44E146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614144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6341B8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542085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376322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68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28FAB513">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832" w:type="dxa"/>
            <w:noWrap w:val="0"/>
            <w:vAlign w:val="center"/>
          </w:tcPr>
          <w:p w14:paraId="7A3270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92" w:type="dxa"/>
            <w:noWrap w:val="0"/>
            <w:vAlign w:val="center"/>
          </w:tcPr>
          <w:p w14:paraId="18210A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40" w:type="dxa"/>
            <w:noWrap w:val="0"/>
            <w:vAlign w:val="center"/>
          </w:tcPr>
          <w:p w14:paraId="2EAC28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00" w:type="dxa"/>
            <w:noWrap w:val="0"/>
            <w:vAlign w:val="center"/>
          </w:tcPr>
          <w:p w14:paraId="1F4B4F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3" w:type="dxa"/>
            <w:noWrap w:val="0"/>
            <w:vAlign w:val="center"/>
          </w:tcPr>
          <w:p w14:paraId="17E3A3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6" w:type="dxa"/>
            <w:noWrap w:val="0"/>
            <w:vAlign w:val="center"/>
          </w:tcPr>
          <w:p w14:paraId="557E3C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2081" w:type="dxa"/>
            <w:noWrap w:val="0"/>
            <w:vAlign w:val="center"/>
          </w:tcPr>
          <w:p w14:paraId="124B30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81" w:type="dxa"/>
            <w:noWrap w:val="0"/>
            <w:vAlign w:val="center"/>
          </w:tcPr>
          <w:p w14:paraId="3CF3C1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top"/>
          </w:tcPr>
          <w:p w14:paraId="0ECFE9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2F1A10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38" w:type="dxa"/>
            <w:noWrap w:val="0"/>
            <w:vAlign w:val="center"/>
          </w:tcPr>
          <w:p w14:paraId="4979C4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CE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552" w:type="dxa"/>
            <w:gridSpan w:val="2"/>
            <w:vMerge w:val="restart"/>
            <w:noWrap w:val="0"/>
            <w:vAlign w:val="center"/>
          </w:tcPr>
          <w:p w14:paraId="30B480C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最终推荐的中标候选人及其排序</w:t>
            </w:r>
          </w:p>
        </w:tc>
        <w:tc>
          <w:tcPr>
            <w:tcW w:w="11114" w:type="dxa"/>
            <w:gridSpan w:val="10"/>
            <w:noWrap w:val="0"/>
            <w:vAlign w:val="top"/>
          </w:tcPr>
          <w:p w14:paraId="5FBCA9EA">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第一名：</w:t>
            </w:r>
          </w:p>
        </w:tc>
      </w:tr>
      <w:tr w14:paraId="107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552" w:type="dxa"/>
            <w:gridSpan w:val="2"/>
            <w:vMerge w:val="continue"/>
            <w:noWrap w:val="0"/>
            <w:vAlign w:val="center"/>
          </w:tcPr>
          <w:p w14:paraId="651D3A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14" w:type="dxa"/>
            <w:gridSpan w:val="10"/>
            <w:noWrap w:val="0"/>
            <w:vAlign w:val="top"/>
          </w:tcPr>
          <w:p w14:paraId="728563A7">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第二名：</w:t>
            </w:r>
          </w:p>
        </w:tc>
      </w:tr>
      <w:tr w14:paraId="3530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52" w:type="dxa"/>
            <w:gridSpan w:val="2"/>
            <w:vMerge w:val="continue"/>
            <w:noWrap w:val="0"/>
            <w:vAlign w:val="center"/>
          </w:tcPr>
          <w:p w14:paraId="660AFF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14" w:type="dxa"/>
            <w:gridSpan w:val="10"/>
            <w:noWrap w:val="0"/>
            <w:vAlign w:val="top"/>
          </w:tcPr>
          <w:p w14:paraId="51EDD784">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第三名：</w:t>
            </w:r>
          </w:p>
        </w:tc>
      </w:tr>
    </w:tbl>
    <w:p w14:paraId="4CD4BDD4">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6D1EC8B5">
      <w:pPr>
        <w:rPr>
          <w:color w:val="auto"/>
          <w:highlight w:val="none"/>
        </w:rPr>
      </w:pPr>
    </w:p>
    <w:p w14:paraId="28EAC6D3">
      <w:pPr>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0C463718">
      <w:pPr>
        <w:rPr>
          <w:color w:val="auto"/>
          <w:highlight w:val="none"/>
        </w:rPr>
        <w:sectPr>
          <w:pgSz w:w="16838" w:h="11906" w:orient="landscape"/>
          <w:pgMar w:top="1440" w:right="1440" w:bottom="1440" w:left="1797" w:header="851" w:footer="851" w:gutter="0"/>
          <w:cols w:space="720" w:num="1"/>
          <w:docGrid w:linePitch="312" w:charSpace="0"/>
        </w:sectPr>
      </w:pPr>
    </w:p>
    <w:p w14:paraId="3A552124">
      <w:pPr>
        <w:pStyle w:val="4"/>
        <w:spacing w:line="240" w:lineRule="auto"/>
        <w:rPr>
          <w:color w:val="auto"/>
          <w:sz w:val="28"/>
          <w:szCs w:val="28"/>
          <w:highlight w:val="none"/>
        </w:rPr>
      </w:pPr>
      <w:bookmarkStart w:id="725" w:name="_Toc1688716520"/>
      <w:bookmarkStart w:id="726" w:name="_Toc23507"/>
      <w:bookmarkStart w:id="727" w:name="_Toc78449730"/>
      <w:bookmarkStart w:id="728" w:name="_Toc16293"/>
      <w:bookmarkStart w:id="729" w:name="_Toc115504774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7</w:t>
      </w:r>
      <w:r>
        <w:rPr>
          <w:rFonts w:hint="eastAsia"/>
          <w:color w:val="auto"/>
          <w:sz w:val="28"/>
          <w:szCs w:val="28"/>
          <w:highlight w:val="none"/>
        </w:rPr>
        <w:t>：中标候选人公示</w:t>
      </w:r>
      <w:bookmarkEnd w:id="725"/>
      <w:bookmarkEnd w:id="726"/>
      <w:bookmarkEnd w:id="727"/>
      <w:bookmarkEnd w:id="728"/>
      <w:bookmarkEnd w:id="729"/>
    </w:p>
    <w:p w14:paraId="1E50F8EB">
      <w:pPr>
        <w:jc w:val="center"/>
        <w:rPr>
          <w:color w:val="auto"/>
          <w:sz w:val="28"/>
          <w:szCs w:val="28"/>
          <w:highlight w:val="none"/>
        </w:rPr>
      </w:pPr>
      <w:r>
        <w:rPr>
          <w:rFonts w:hint="eastAsia" w:eastAsia="黑体" w:cs="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2217"/>
        <w:gridCol w:w="363"/>
        <w:gridCol w:w="714"/>
        <w:gridCol w:w="766"/>
        <w:gridCol w:w="674"/>
        <w:gridCol w:w="3006"/>
      </w:tblGrid>
      <w:tr w14:paraId="253F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DE436EB">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cs="宋体"/>
                <w:color w:val="auto"/>
                <w:highlight w:val="none"/>
                <w:lang w:val="en-US" w:eastAsia="zh-CN"/>
              </w:rPr>
              <w:t>招标</w:t>
            </w:r>
            <w:r>
              <w:rPr>
                <w:rFonts w:hint="eastAsia" w:ascii="Calibri" w:hAnsi="宋体" w:eastAsia="宋体" w:cs="宋体"/>
                <w:color w:val="auto"/>
                <w:kern w:val="0"/>
                <w:highlight w:val="none"/>
              </w:rPr>
              <w:t>项目名称</w:t>
            </w:r>
          </w:p>
        </w:tc>
        <w:tc>
          <w:tcPr>
            <w:tcW w:w="3294" w:type="dxa"/>
            <w:gridSpan w:val="3"/>
            <w:noWrap w:val="0"/>
            <w:tcMar>
              <w:top w:w="0" w:type="dxa"/>
              <w:left w:w="75" w:type="dxa"/>
              <w:bottom w:w="0" w:type="dxa"/>
              <w:right w:w="0" w:type="dxa"/>
            </w:tcMar>
            <w:vAlign w:val="center"/>
          </w:tcPr>
          <w:p w14:paraId="42C8229B">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c>
          <w:tcPr>
            <w:tcW w:w="1440" w:type="dxa"/>
            <w:gridSpan w:val="2"/>
            <w:noWrap w:val="0"/>
            <w:vAlign w:val="center"/>
          </w:tcPr>
          <w:p w14:paraId="06A99238">
            <w:pPr>
              <w:keepNext w:val="0"/>
              <w:keepLines w:val="0"/>
              <w:widowControl/>
              <w:suppressLineNumbers w:val="0"/>
              <w:spacing w:before="0" w:beforeAutospacing="0" w:after="0" w:afterAutospacing="0" w:line="360" w:lineRule="atLeast"/>
              <w:ind w:left="0" w:right="0"/>
              <w:jc w:val="center"/>
              <w:rPr>
                <w:rFonts w:hint="eastAsia" w:ascii="Calibri" w:hAnsi="Calibri"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328247AB">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r>
      <w:tr w14:paraId="7752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009" w:type="dxa"/>
            <w:gridSpan w:val="2"/>
            <w:noWrap w:val="0"/>
            <w:vAlign w:val="center"/>
          </w:tcPr>
          <w:p w14:paraId="17CD8EAC">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招标人</w:t>
            </w:r>
          </w:p>
        </w:tc>
        <w:tc>
          <w:tcPr>
            <w:tcW w:w="7740" w:type="dxa"/>
            <w:gridSpan w:val="6"/>
            <w:noWrap w:val="0"/>
            <w:tcMar>
              <w:top w:w="0" w:type="dxa"/>
              <w:left w:w="75" w:type="dxa"/>
              <w:bottom w:w="0" w:type="dxa"/>
              <w:right w:w="0" w:type="dxa"/>
            </w:tcMar>
            <w:vAlign w:val="center"/>
          </w:tcPr>
          <w:p w14:paraId="25E094FA">
            <w:pPr>
              <w:keepNext w:val="0"/>
              <w:keepLines w:val="0"/>
              <w:widowControl/>
              <w:suppressLineNumbers w:val="0"/>
              <w:spacing w:before="0" w:beforeAutospacing="0" w:after="0" w:afterAutospacing="0" w:line="360" w:lineRule="atLeast"/>
              <w:ind w:left="0" w:right="0"/>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1B02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A55328C">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建设</w:t>
            </w:r>
            <w:r>
              <w:rPr>
                <w:rFonts w:hint="default" w:ascii="Calibri" w:hAnsi="宋体" w:eastAsia="宋体" w:cs="宋体"/>
                <w:color w:val="auto"/>
                <w:kern w:val="0"/>
                <w:highlight w:val="none"/>
              </w:rPr>
              <w:t>单位</w:t>
            </w:r>
          </w:p>
        </w:tc>
        <w:tc>
          <w:tcPr>
            <w:tcW w:w="7740" w:type="dxa"/>
            <w:gridSpan w:val="6"/>
            <w:noWrap w:val="0"/>
            <w:tcMar>
              <w:top w:w="0" w:type="dxa"/>
              <w:left w:w="75" w:type="dxa"/>
              <w:bottom w:w="0" w:type="dxa"/>
              <w:right w:w="0" w:type="dxa"/>
            </w:tcMar>
            <w:vAlign w:val="center"/>
          </w:tcPr>
          <w:p w14:paraId="2804BC4F">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r>
      <w:tr w14:paraId="2B59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164DE9D">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代建单位（如有）</w:t>
            </w:r>
          </w:p>
        </w:tc>
        <w:tc>
          <w:tcPr>
            <w:tcW w:w="7740" w:type="dxa"/>
            <w:gridSpan w:val="6"/>
            <w:noWrap w:val="0"/>
            <w:tcMar>
              <w:top w:w="0" w:type="dxa"/>
              <w:left w:w="75" w:type="dxa"/>
              <w:bottom w:w="0" w:type="dxa"/>
              <w:right w:w="0" w:type="dxa"/>
            </w:tcMar>
            <w:vAlign w:val="center"/>
          </w:tcPr>
          <w:p w14:paraId="6C1FA071">
            <w:pPr>
              <w:keepNext w:val="0"/>
              <w:keepLines w:val="0"/>
              <w:widowControl/>
              <w:suppressLineNumbers w:val="0"/>
              <w:spacing w:before="0" w:beforeAutospacing="0" w:after="0" w:afterAutospacing="0" w:line="360" w:lineRule="atLeast"/>
              <w:ind w:left="0" w:right="0"/>
              <w:rPr>
                <w:rFonts w:hint="default" w:ascii="Calibri" w:hAnsi="Calibri" w:eastAsia="宋体" w:cs="Times New Roman"/>
                <w:color w:val="auto"/>
                <w:kern w:val="0"/>
                <w:highlight w:val="none"/>
              </w:rPr>
            </w:pPr>
          </w:p>
        </w:tc>
      </w:tr>
      <w:tr w14:paraId="4848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9BC7E98">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3"/>
            <w:noWrap w:val="0"/>
            <w:tcMar>
              <w:top w:w="0" w:type="dxa"/>
              <w:left w:w="75" w:type="dxa"/>
              <w:bottom w:w="0" w:type="dxa"/>
              <w:right w:w="0" w:type="dxa"/>
            </w:tcMar>
            <w:vAlign w:val="center"/>
          </w:tcPr>
          <w:p w14:paraId="2D4E52AA">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2"/>
            <w:noWrap w:val="0"/>
            <w:vAlign w:val="center"/>
          </w:tcPr>
          <w:p w14:paraId="4B7DCB6A">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noWrap w:val="0"/>
            <w:tcMar>
              <w:top w:w="0" w:type="dxa"/>
              <w:left w:w="75" w:type="dxa"/>
              <w:bottom w:w="0" w:type="dxa"/>
              <w:right w:w="0" w:type="dxa"/>
            </w:tcMar>
            <w:vAlign w:val="center"/>
          </w:tcPr>
          <w:p w14:paraId="2CD9FF9D">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4855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009" w:type="dxa"/>
            <w:gridSpan w:val="2"/>
            <w:noWrap w:val="0"/>
            <w:vAlign w:val="center"/>
          </w:tcPr>
          <w:p w14:paraId="44AAAE18">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6"/>
            <w:noWrap w:val="0"/>
            <w:tcMar>
              <w:top w:w="0" w:type="dxa"/>
              <w:left w:w="75" w:type="dxa"/>
              <w:bottom w:w="0" w:type="dxa"/>
              <w:right w:w="0" w:type="dxa"/>
            </w:tcMar>
            <w:vAlign w:val="center"/>
          </w:tcPr>
          <w:p w14:paraId="7040F38E">
            <w:pPr>
              <w:keepNext w:val="0"/>
              <w:keepLines w:val="0"/>
              <w:widowControl/>
              <w:suppressLineNumbers w:val="0"/>
              <w:spacing w:before="0" w:beforeAutospacing="0" w:after="0" w:afterAutospacing="0" w:line="360" w:lineRule="atLeast"/>
              <w:ind w:left="0" w:right="0"/>
              <w:jc w:val="left"/>
              <w:rPr>
                <w:rFonts w:hint="default" w:ascii="Calibri" w:hAnsi="Calibri" w:cs="Times New Roman"/>
                <w:color w:val="auto"/>
                <w:kern w:val="0"/>
                <w:highlight w:val="none"/>
              </w:rPr>
            </w:pPr>
            <w:r>
              <w:rPr>
                <w:rFonts w:hint="eastAsia"/>
                <w:color w:val="auto"/>
                <w:highlight w:val="none"/>
                <w:u w:val="single"/>
                <w:lang w:val="en-US" w:eastAsia="zh-CN"/>
              </w:rPr>
              <w:t>名称（加盖单位公章）</w:t>
            </w:r>
          </w:p>
        </w:tc>
      </w:tr>
      <w:tr w14:paraId="248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A76EF37">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结构类型及规模</w:t>
            </w:r>
          </w:p>
        </w:tc>
        <w:tc>
          <w:tcPr>
            <w:tcW w:w="7740" w:type="dxa"/>
            <w:gridSpan w:val="6"/>
            <w:noWrap w:val="0"/>
            <w:tcMar>
              <w:top w:w="0" w:type="dxa"/>
              <w:left w:w="75" w:type="dxa"/>
              <w:bottom w:w="0" w:type="dxa"/>
              <w:right w:w="0" w:type="dxa"/>
            </w:tcMar>
            <w:vAlign w:val="center"/>
          </w:tcPr>
          <w:p w14:paraId="0E93EB1F">
            <w:pPr>
              <w:keepNext w:val="0"/>
              <w:keepLines w:val="0"/>
              <w:widowControl/>
              <w:suppressLineNumbers w:val="0"/>
              <w:spacing w:before="0" w:beforeAutospacing="0" w:after="0" w:afterAutospacing="0" w:line="360" w:lineRule="atLeast"/>
              <w:ind w:left="0" w:right="185" w:rightChars="88"/>
              <w:jc w:val="left"/>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Calibri" w:hAnsi="Calibri" w:eastAsia="宋体" w:cs="宋体"/>
                <w:color w:val="auto"/>
                <w:kern w:val="0"/>
                <w:highlight w:val="none"/>
              </w:rPr>
              <w:t>）</w:t>
            </w:r>
          </w:p>
        </w:tc>
      </w:tr>
      <w:tr w14:paraId="2A70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99252A0">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开标时间</w:t>
            </w:r>
          </w:p>
        </w:tc>
        <w:tc>
          <w:tcPr>
            <w:tcW w:w="3294" w:type="dxa"/>
            <w:gridSpan w:val="3"/>
            <w:noWrap w:val="0"/>
            <w:tcMar>
              <w:top w:w="0" w:type="dxa"/>
              <w:left w:w="75" w:type="dxa"/>
              <w:bottom w:w="0" w:type="dxa"/>
              <w:right w:w="0" w:type="dxa"/>
            </w:tcMar>
            <w:vAlign w:val="center"/>
          </w:tcPr>
          <w:p w14:paraId="3D008A7F">
            <w:pPr>
              <w:keepNext w:val="0"/>
              <w:keepLines w:val="0"/>
              <w:widowControl/>
              <w:suppressLineNumbers w:val="0"/>
              <w:spacing w:before="0" w:beforeAutospacing="0" w:after="0" w:afterAutospacing="0" w:line="360" w:lineRule="atLeast"/>
              <w:ind w:left="0" w:right="0" w:firstLine="1050" w:firstLineChars="500"/>
              <w:jc w:val="center"/>
              <w:rPr>
                <w:rFonts w:hint="default" w:ascii="Calibri" w:hAnsi="宋体" w:eastAsia="宋体" w:cs="Times New Roman"/>
                <w:color w:val="auto"/>
                <w:kern w:val="0"/>
                <w:highlight w:val="none"/>
              </w:rPr>
            </w:pPr>
          </w:p>
        </w:tc>
        <w:tc>
          <w:tcPr>
            <w:tcW w:w="1440" w:type="dxa"/>
            <w:gridSpan w:val="2"/>
            <w:noWrap w:val="0"/>
            <w:vAlign w:val="center"/>
          </w:tcPr>
          <w:p w14:paraId="284C3C4C">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开标地点</w:t>
            </w:r>
          </w:p>
        </w:tc>
        <w:tc>
          <w:tcPr>
            <w:tcW w:w="3006" w:type="dxa"/>
            <w:noWrap w:val="0"/>
            <w:tcMar>
              <w:top w:w="0" w:type="dxa"/>
              <w:left w:w="75" w:type="dxa"/>
              <w:bottom w:w="0" w:type="dxa"/>
              <w:right w:w="0" w:type="dxa"/>
            </w:tcMar>
            <w:vAlign w:val="center"/>
          </w:tcPr>
          <w:p w14:paraId="269E292E">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p>
        </w:tc>
      </w:tr>
      <w:tr w14:paraId="72F0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EF3F5A5">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公示开始时间</w:t>
            </w:r>
          </w:p>
        </w:tc>
        <w:tc>
          <w:tcPr>
            <w:tcW w:w="3294" w:type="dxa"/>
            <w:gridSpan w:val="3"/>
            <w:noWrap w:val="0"/>
            <w:tcMar>
              <w:top w:w="0" w:type="dxa"/>
              <w:left w:w="75" w:type="dxa"/>
              <w:bottom w:w="0" w:type="dxa"/>
              <w:right w:w="0" w:type="dxa"/>
            </w:tcMar>
            <w:vAlign w:val="center"/>
          </w:tcPr>
          <w:p w14:paraId="28FCA0E1">
            <w:pPr>
              <w:keepNext w:val="0"/>
              <w:keepLines w:val="0"/>
              <w:widowControl/>
              <w:suppressLineNumbers w:val="0"/>
              <w:spacing w:before="0" w:beforeAutospacing="0" w:after="0" w:afterAutospacing="0" w:line="360" w:lineRule="atLeas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c>
          <w:tcPr>
            <w:tcW w:w="1440" w:type="dxa"/>
            <w:gridSpan w:val="2"/>
            <w:noWrap w:val="0"/>
            <w:vAlign w:val="center"/>
          </w:tcPr>
          <w:p w14:paraId="3409F57E">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公示截止时间</w:t>
            </w:r>
          </w:p>
        </w:tc>
        <w:tc>
          <w:tcPr>
            <w:tcW w:w="3006" w:type="dxa"/>
            <w:noWrap w:val="0"/>
            <w:tcMar>
              <w:top w:w="0" w:type="dxa"/>
              <w:left w:w="75" w:type="dxa"/>
              <w:bottom w:w="0" w:type="dxa"/>
              <w:right w:w="0" w:type="dxa"/>
            </w:tcMar>
            <w:vAlign w:val="center"/>
          </w:tcPr>
          <w:p w14:paraId="317CB57C">
            <w:pPr>
              <w:keepNext w:val="0"/>
              <w:keepLines w:val="0"/>
              <w:widowControl/>
              <w:suppressLineNumbers w:val="0"/>
              <w:spacing w:before="0" w:beforeAutospacing="0" w:after="0" w:afterAutospacing="0" w:line="360" w:lineRule="atLeas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r>
      <w:tr w14:paraId="1074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009" w:type="dxa"/>
            <w:gridSpan w:val="2"/>
            <w:vMerge w:val="restart"/>
            <w:noWrap w:val="0"/>
            <w:vAlign w:val="center"/>
          </w:tcPr>
          <w:p w14:paraId="1623AFA4">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拟中标人</w:t>
            </w:r>
          </w:p>
        </w:tc>
        <w:tc>
          <w:tcPr>
            <w:tcW w:w="2580" w:type="dxa"/>
            <w:gridSpan w:val="2"/>
            <w:vMerge w:val="restart"/>
            <w:noWrap w:val="0"/>
            <w:tcMar>
              <w:top w:w="0" w:type="dxa"/>
              <w:left w:w="75" w:type="dxa"/>
              <w:bottom w:w="0" w:type="dxa"/>
              <w:right w:w="0" w:type="dxa"/>
            </w:tcMar>
            <w:vAlign w:val="center"/>
          </w:tcPr>
          <w:p w14:paraId="48FAC18E">
            <w:pPr>
              <w:keepNext w:val="0"/>
              <w:keepLines w:val="0"/>
              <w:widowControl/>
              <w:suppressLineNumbers w:val="0"/>
              <w:spacing w:before="0" w:beforeAutospacing="0" w:after="0" w:afterAutospacing="0" w:line="360" w:lineRule="atLeast"/>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480" w:type="dxa"/>
            <w:gridSpan w:val="2"/>
            <w:vMerge w:val="restart"/>
            <w:noWrap w:val="0"/>
            <w:vAlign w:val="center"/>
          </w:tcPr>
          <w:p w14:paraId="466437B5">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80" w:type="dxa"/>
            <w:gridSpan w:val="2"/>
            <w:noWrap w:val="0"/>
            <w:vAlign w:val="center"/>
          </w:tcPr>
          <w:p w14:paraId="54BBDCC8">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02BC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009" w:type="dxa"/>
            <w:gridSpan w:val="2"/>
            <w:vMerge w:val="continue"/>
            <w:noWrap w:val="0"/>
            <w:vAlign w:val="center"/>
          </w:tcPr>
          <w:p w14:paraId="4A7743E3">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p>
        </w:tc>
        <w:tc>
          <w:tcPr>
            <w:tcW w:w="2580" w:type="dxa"/>
            <w:gridSpan w:val="2"/>
            <w:vMerge w:val="continue"/>
            <w:noWrap w:val="0"/>
            <w:tcMar>
              <w:top w:w="0" w:type="dxa"/>
              <w:left w:w="75" w:type="dxa"/>
              <w:bottom w:w="0" w:type="dxa"/>
              <w:right w:w="0" w:type="dxa"/>
            </w:tcMar>
            <w:vAlign w:val="center"/>
          </w:tcPr>
          <w:p w14:paraId="2CF12A9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480" w:type="dxa"/>
            <w:gridSpan w:val="2"/>
            <w:vMerge w:val="continue"/>
            <w:noWrap w:val="0"/>
            <w:vAlign w:val="center"/>
          </w:tcPr>
          <w:p w14:paraId="1BEA1471">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3680" w:type="dxa"/>
            <w:gridSpan w:val="2"/>
            <w:noWrap w:val="0"/>
            <w:vAlign w:val="center"/>
          </w:tcPr>
          <w:p w14:paraId="530C863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5FF2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7EFE0033">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中标候选人情况</w:t>
            </w:r>
          </w:p>
        </w:tc>
        <w:tc>
          <w:tcPr>
            <w:tcW w:w="1206" w:type="dxa"/>
            <w:vMerge w:val="restart"/>
            <w:noWrap w:val="0"/>
            <w:vAlign w:val="center"/>
          </w:tcPr>
          <w:p w14:paraId="3C919E47">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第一中标</w:t>
            </w:r>
          </w:p>
          <w:p w14:paraId="083EF4E5">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298D0E37">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33434F4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4D10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56A769B">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p>
        </w:tc>
        <w:tc>
          <w:tcPr>
            <w:tcW w:w="1206" w:type="dxa"/>
            <w:vMerge w:val="continue"/>
            <w:noWrap w:val="0"/>
            <w:vAlign w:val="center"/>
          </w:tcPr>
          <w:p w14:paraId="717B163F">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2DAD2721">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5D1FEBEE">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095F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35C355B">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BBCC1D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072F39B8">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1805E73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04C1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B1A1F0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2EE352E">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10E41261">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0278992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031D5220">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31AD447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r>
      <w:tr w14:paraId="637C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8AA6B2B">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8A5CA7C">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195DCBB0">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3102578F">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018C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7524D9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884C29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7293ABBF">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1F391FEA">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35AE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6272AF3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28343E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47CA1D3E">
            <w:pPr>
              <w:keepNext w:val="0"/>
              <w:keepLines w:val="0"/>
              <w:widowControl/>
              <w:suppressLineNumbers w:val="0"/>
              <w:spacing w:before="0" w:beforeAutospacing="0" w:after="0" w:afterAutospacing="0" w:line="360" w:lineRule="atLeast"/>
              <w:ind w:left="0" w:right="0"/>
              <w:jc w:val="center"/>
              <w:rPr>
                <w:rFonts w:hint="eastAsia"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4AF67DFB">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6E9C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BE8CFF1">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752AF5CC">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第二中标</w:t>
            </w:r>
          </w:p>
          <w:p w14:paraId="3A227E85">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6766A2A3">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7956FB13">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48B2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9F25D4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561EF21">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69FCDAB8">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372DD0A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3F4B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7E4B143">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290372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3C966E4B">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7092289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14A2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160871A">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0C4A4E2">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6171FD94">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70BE5EF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2258ECBF">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6F8118E7">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r>
      <w:tr w14:paraId="6D57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5018292">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95F5202">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8A159A0">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4A3E07A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5BEC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A05A24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3FF6E2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63CE3DB7">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5FCEE166">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689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36DDE6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5D5FCBB">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6D4DDBE">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3236C912">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7B17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1CAE558">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3FE8D8B4">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第三中标</w:t>
            </w:r>
          </w:p>
          <w:p w14:paraId="17089440">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217" w:type="dxa"/>
            <w:noWrap w:val="0"/>
            <w:tcMar>
              <w:top w:w="0" w:type="dxa"/>
              <w:left w:w="75" w:type="dxa"/>
              <w:bottom w:w="0" w:type="dxa"/>
              <w:right w:w="0" w:type="dxa"/>
            </w:tcMar>
            <w:vAlign w:val="center"/>
          </w:tcPr>
          <w:p w14:paraId="12A2181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523" w:type="dxa"/>
            <w:gridSpan w:val="5"/>
            <w:noWrap w:val="0"/>
            <w:tcMar>
              <w:top w:w="0" w:type="dxa"/>
              <w:left w:w="75" w:type="dxa"/>
              <w:bottom w:w="0" w:type="dxa"/>
              <w:right w:w="0" w:type="dxa"/>
            </w:tcMar>
            <w:vAlign w:val="center"/>
          </w:tcPr>
          <w:p w14:paraId="15BB6263">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583D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FD6283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86230FB">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p>
        </w:tc>
        <w:tc>
          <w:tcPr>
            <w:tcW w:w="2217" w:type="dxa"/>
            <w:noWrap w:val="0"/>
            <w:tcMar>
              <w:top w:w="0" w:type="dxa"/>
              <w:left w:w="75" w:type="dxa"/>
              <w:bottom w:w="0" w:type="dxa"/>
              <w:right w:w="0" w:type="dxa"/>
            </w:tcMar>
            <w:vAlign w:val="center"/>
          </w:tcPr>
          <w:p w14:paraId="4A34658D">
            <w:pPr>
              <w:keepNext w:val="0"/>
              <w:keepLines w:val="0"/>
              <w:widowControl/>
              <w:suppressLineNumbers w:val="0"/>
              <w:spacing w:before="0" w:beforeAutospacing="0" w:after="0" w:afterAutospacing="0" w:line="360" w:lineRule="atLeas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523" w:type="dxa"/>
            <w:gridSpan w:val="5"/>
            <w:noWrap w:val="0"/>
            <w:tcMar>
              <w:top w:w="0" w:type="dxa"/>
              <w:left w:w="75" w:type="dxa"/>
              <w:bottom w:w="0" w:type="dxa"/>
              <w:right w:w="0" w:type="dxa"/>
            </w:tcMar>
            <w:vAlign w:val="center"/>
          </w:tcPr>
          <w:p w14:paraId="069D3A7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3D92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4B1322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49A40C8">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7D600C6C">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投标报价</w:t>
            </w:r>
          </w:p>
        </w:tc>
        <w:tc>
          <w:tcPr>
            <w:tcW w:w="5523" w:type="dxa"/>
            <w:gridSpan w:val="5"/>
            <w:noWrap w:val="0"/>
            <w:tcMar>
              <w:top w:w="0" w:type="dxa"/>
              <w:left w:w="75" w:type="dxa"/>
              <w:bottom w:w="0" w:type="dxa"/>
              <w:right w:w="0" w:type="dxa"/>
            </w:tcMar>
            <w:vAlign w:val="center"/>
          </w:tcPr>
          <w:p w14:paraId="4F78E2D0">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0CFC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26BA27A">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CEE3224">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67B2778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1077" w:type="dxa"/>
            <w:gridSpan w:val="2"/>
            <w:noWrap w:val="0"/>
            <w:tcMar>
              <w:top w:w="0" w:type="dxa"/>
              <w:left w:w="75" w:type="dxa"/>
              <w:bottom w:w="0" w:type="dxa"/>
              <w:right w:w="0" w:type="dxa"/>
            </w:tcMar>
            <w:vAlign w:val="center"/>
          </w:tcPr>
          <w:p w14:paraId="000B580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02CD3C5C">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22143DD0">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p>
        </w:tc>
      </w:tr>
      <w:tr w14:paraId="0FB1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0493FF3">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61E743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29DB6362">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项目经理</w:t>
            </w:r>
          </w:p>
        </w:tc>
        <w:tc>
          <w:tcPr>
            <w:tcW w:w="5523" w:type="dxa"/>
            <w:gridSpan w:val="5"/>
            <w:noWrap w:val="0"/>
            <w:tcMar>
              <w:top w:w="0" w:type="dxa"/>
              <w:left w:w="75" w:type="dxa"/>
              <w:bottom w:w="0" w:type="dxa"/>
              <w:right w:w="0" w:type="dxa"/>
            </w:tcMar>
            <w:vAlign w:val="center"/>
          </w:tcPr>
          <w:p w14:paraId="7ECE9A6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3581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6832E61">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4535D3D">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30B2F586">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523" w:type="dxa"/>
            <w:gridSpan w:val="5"/>
            <w:noWrap w:val="0"/>
            <w:tcMar>
              <w:top w:w="0" w:type="dxa"/>
              <w:left w:w="75" w:type="dxa"/>
              <w:bottom w:w="0" w:type="dxa"/>
              <w:right w:w="0" w:type="dxa"/>
            </w:tcMar>
            <w:vAlign w:val="center"/>
          </w:tcPr>
          <w:p w14:paraId="6CDD3040">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w:t>
            </w:r>
            <w:r>
              <w:rPr>
                <w:rFonts w:hint="eastAsia" w:ascii="方正楷体_GB2312" w:hAnsi="方正楷体_GB2312" w:eastAsia="方正楷体_GB2312" w:cs="方正楷体_GB2312"/>
                <w:color w:val="auto"/>
                <w:kern w:val="0"/>
                <w:highlight w:val="none"/>
              </w:rPr>
              <w:t>全部拟投入专职安全生产管理人员</w:t>
            </w:r>
            <w:r>
              <w:rPr>
                <w:rFonts w:hint="eastAsia" w:ascii="Calibri" w:hAnsi="宋体" w:eastAsia="宋体" w:cs="宋体"/>
                <w:color w:val="auto"/>
                <w:kern w:val="0"/>
                <w:highlight w:val="none"/>
              </w:rPr>
              <w:t>】</w:t>
            </w:r>
          </w:p>
        </w:tc>
      </w:tr>
      <w:tr w14:paraId="246A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FBFAE3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BC27A7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c>
          <w:tcPr>
            <w:tcW w:w="2217" w:type="dxa"/>
            <w:noWrap w:val="0"/>
            <w:tcMar>
              <w:top w:w="0" w:type="dxa"/>
              <w:left w:w="75" w:type="dxa"/>
              <w:bottom w:w="0" w:type="dxa"/>
              <w:right w:w="0" w:type="dxa"/>
            </w:tcMar>
            <w:vAlign w:val="center"/>
          </w:tcPr>
          <w:p w14:paraId="45D4B0D3">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方正楷体_GB2312" w:hAnsi="方正楷体_GB2312" w:eastAsia="方正楷体_GB2312" w:cs="方正楷体_GB2312"/>
                <w:color w:val="auto"/>
                <w:kern w:val="0"/>
                <w:highlight w:val="none"/>
              </w:rPr>
              <w:t>包括资格要求和</w:t>
            </w:r>
            <w:r>
              <w:rPr>
                <w:rFonts w:hint="eastAsia" w:ascii="方正楷体_GB2312" w:hAnsi="方正楷体_GB2312" w:eastAsia="方正楷体_GB2312" w:cs="方正楷体_GB2312"/>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523" w:type="dxa"/>
            <w:gridSpan w:val="5"/>
            <w:noWrap w:val="0"/>
            <w:tcMar>
              <w:top w:w="0" w:type="dxa"/>
              <w:left w:w="75" w:type="dxa"/>
              <w:bottom w:w="0" w:type="dxa"/>
              <w:right w:w="0" w:type="dxa"/>
            </w:tcMar>
            <w:vAlign w:val="center"/>
          </w:tcPr>
          <w:p w14:paraId="5BAC63D5">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kern w:val="0"/>
                <w:highlight w:val="none"/>
              </w:rPr>
            </w:pPr>
          </w:p>
        </w:tc>
      </w:tr>
      <w:tr w14:paraId="7432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5AB6DD5E">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被否决投标或不合格的投标人名称、否决原因及其依据</w:t>
            </w:r>
          </w:p>
        </w:tc>
        <w:tc>
          <w:tcPr>
            <w:tcW w:w="7740" w:type="dxa"/>
            <w:gridSpan w:val="6"/>
            <w:noWrap w:val="0"/>
            <w:tcMar>
              <w:top w:w="0" w:type="dxa"/>
              <w:left w:w="75" w:type="dxa"/>
              <w:bottom w:w="0" w:type="dxa"/>
              <w:right w:w="0" w:type="dxa"/>
            </w:tcMar>
            <w:vAlign w:val="center"/>
          </w:tcPr>
          <w:p w14:paraId="25BFA3F6">
            <w:pPr>
              <w:keepNext w:val="0"/>
              <w:keepLines w:val="0"/>
              <w:widowControl/>
              <w:suppressLineNumbers w:val="0"/>
              <w:spacing w:before="0" w:beforeAutospacing="0" w:after="0" w:afterAutospacing="0" w:line="360" w:lineRule="atLeast"/>
              <w:ind w:left="0" w:right="178" w:rightChars="85"/>
              <w:rPr>
                <w:rFonts w:hint="default" w:ascii="Calibri" w:hAnsi="Calibri" w:eastAsia="宋体" w:cs="Times New Roman"/>
                <w:color w:val="auto"/>
                <w:kern w:val="0"/>
                <w:highlight w:val="none"/>
              </w:rPr>
            </w:pPr>
          </w:p>
        </w:tc>
      </w:tr>
      <w:tr w14:paraId="74FA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7F3EF1CE">
            <w:pPr>
              <w:keepNext w:val="0"/>
              <w:keepLines w:val="0"/>
              <w:widowControl/>
              <w:suppressLineNumbers w:val="0"/>
              <w:spacing w:before="0" w:beforeAutospacing="0" w:after="0" w:afterAutospacing="0" w:line="360" w:lineRule="atLeas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其他公示内容（如有）</w:t>
            </w:r>
          </w:p>
        </w:tc>
        <w:tc>
          <w:tcPr>
            <w:tcW w:w="7740" w:type="dxa"/>
            <w:gridSpan w:val="6"/>
            <w:noWrap w:val="0"/>
            <w:tcMar>
              <w:top w:w="0" w:type="dxa"/>
              <w:left w:w="75" w:type="dxa"/>
              <w:bottom w:w="0" w:type="dxa"/>
              <w:right w:w="0" w:type="dxa"/>
            </w:tcMar>
            <w:vAlign w:val="center"/>
          </w:tcPr>
          <w:p w14:paraId="4841F574">
            <w:pPr>
              <w:keepNext w:val="0"/>
              <w:keepLines w:val="0"/>
              <w:widowControl/>
              <w:suppressLineNumbers w:val="0"/>
              <w:spacing w:before="0" w:beforeAutospacing="0" w:after="0" w:afterAutospacing="0" w:line="360" w:lineRule="atLeast"/>
              <w:ind w:left="0" w:right="178" w:rightChars="85"/>
              <w:rPr>
                <w:rFonts w:hint="default" w:ascii="Calibri" w:hAnsi="Calibri" w:eastAsia="宋体" w:cs="Times New Roman"/>
                <w:color w:val="auto"/>
                <w:kern w:val="0"/>
                <w:highlight w:val="none"/>
              </w:rPr>
            </w:pPr>
          </w:p>
        </w:tc>
      </w:tr>
      <w:tr w14:paraId="2386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A4D2BDF">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公示媒介</w:t>
            </w:r>
          </w:p>
        </w:tc>
        <w:tc>
          <w:tcPr>
            <w:tcW w:w="7740" w:type="dxa"/>
            <w:gridSpan w:val="6"/>
            <w:noWrap w:val="0"/>
            <w:tcMar>
              <w:top w:w="0" w:type="dxa"/>
              <w:left w:w="75" w:type="dxa"/>
              <w:bottom w:w="0" w:type="dxa"/>
              <w:right w:w="0" w:type="dxa"/>
            </w:tcMar>
            <w:vAlign w:val="center"/>
          </w:tcPr>
          <w:p w14:paraId="310EB416">
            <w:pPr>
              <w:keepNext w:val="0"/>
              <w:keepLines w:val="0"/>
              <w:widowControl/>
              <w:suppressLineNumbers w:val="0"/>
              <w:spacing w:before="0" w:beforeAutospacing="0" w:after="0" w:afterAutospacing="0" w:line="360" w:lineRule="atLeast"/>
              <w:ind w:left="0" w:right="178" w:rightChars="85"/>
              <w:rPr>
                <w:rFonts w:hint="default" w:ascii="Calibri" w:hAnsi="Calibri" w:eastAsia="宋体" w:cs="Times New Roman"/>
                <w:color w:val="auto"/>
                <w:highlight w:val="none"/>
              </w:rPr>
            </w:pPr>
          </w:p>
        </w:tc>
      </w:tr>
      <w:tr w14:paraId="13CB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78E9F6B3">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异议和投诉</w:t>
            </w:r>
          </w:p>
        </w:tc>
        <w:tc>
          <w:tcPr>
            <w:tcW w:w="7740" w:type="dxa"/>
            <w:gridSpan w:val="6"/>
            <w:noWrap w:val="0"/>
            <w:tcMar>
              <w:top w:w="0" w:type="dxa"/>
              <w:left w:w="75" w:type="dxa"/>
              <w:bottom w:w="0" w:type="dxa"/>
              <w:right w:w="0" w:type="dxa"/>
            </w:tcMar>
            <w:vAlign w:val="center"/>
          </w:tcPr>
          <w:p w14:paraId="506AD6D8">
            <w:pPr>
              <w:keepNext w:val="0"/>
              <w:keepLines w:val="0"/>
              <w:widowControl/>
              <w:suppressLineNumbers w:val="0"/>
              <w:spacing w:before="0" w:beforeAutospacing="0" w:after="0" w:afterAutospacing="0" w:line="360" w:lineRule="atLeast"/>
              <w:ind w:left="0" w:right="178" w:rightChars="85"/>
              <w:rPr>
                <w:rFonts w:hint="default" w:ascii="Calibri" w:hAnsi="Calibri" w:eastAsia="宋体" w:cs="Times New Roman"/>
                <w:color w:val="auto"/>
                <w:highlight w:val="none"/>
              </w:rPr>
            </w:pPr>
            <w:r>
              <w:rPr>
                <w:rFonts w:hint="eastAsia" w:ascii="Calibri" w:hAnsi="宋体" w:eastAsia="宋体" w:cs="宋体"/>
                <w:color w:val="auto"/>
                <w:kern w:val="0"/>
                <w:highlight w:val="none"/>
              </w:rPr>
              <w:t>投标人或者其他利害关系人对评标结果有异议的，应当在中标候选人公示期间提出，</w:t>
            </w:r>
            <w:r>
              <w:rPr>
                <w:rFonts w:hint="eastAsia" w:ascii="Calibri" w:hAnsi="Calibri" w:eastAsia="宋体" w:cs="宋体"/>
                <w:color w:val="auto"/>
                <w:highlight w:val="none"/>
              </w:rPr>
              <w:t>招标人应当自收到异议之日起</w:t>
            </w:r>
            <w:r>
              <w:rPr>
                <w:rFonts w:hint="default" w:ascii="Calibri" w:hAnsi="Calibri" w:eastAsia="宋体" w:cs="Times New Roman"/>
                <w:color w:val="auto"/>
                <w:highlight w:val="none"/>
              </w:rPr>
              <w:t>3</w:t>
            </w:r>
            <w:r>
              <w:rPr>
                <w:rFonts w:hint="eastAsia" w:ascii="Calibri" w:hAnsi="Calibri" w:eastAsia="宋体" w:cs="宋体"/>
                <w:color w:val="auto"/>
                <w:highlight w:val="none"/>
              </w:rPr>
              <w:t>日内作出答复；若招标人拒不答复或认为招标人答复内容不符合</w:t>
            </w:r>
            <w:r>
              <w:rPr>
                <w:rFonts w:hint="eastAsia" w:ascii="Calibri" w:hAnsi="Calibri" w:cs="宋体"/>
                <w:color w:val="auto"/>
                <w:highlight w:val="none"/>
                <w:lang w:eastAsia="zh-CN"/>
              </w:rPr>
              <w:t>法律法规</w:t>
            </w:r>
            <w:r>
              <w:rPr>
                <w:rFonts w:hint="eastAsia" w:ascii="Calibri" w:hAnsi="Calibri" w:eastAsia="宋体" w:cs="宋体"/>
                <w:color w:val="auto"/>
                <w:highlight w:val="none"/>
              </w:rPr>
              <w:t>和规章规定或认为权益受到侵害的，请在自知道或应当知道</w:t>
            </w:r>
            <w:r>
              <w:rPr>
                <w:rFonts w:hint="eastAsia" w:ascii="Calibri" w:hAnsi="宋体" w:eastAsia="宋体" w:cs="宋体"/>
                <w:color w:val="auto"/>
                <w:kern w:val="0"/>
                <w:highlight w:val="none"/>
              </w:rPr>
              <w:t>之日起</w:t>
            </w:r>
            <w:r>
              <w:rPr>
                <w:rFonts w:hint="default" w:ascii="Calibri" w:hAnsi="宋体" w:eastAsia="宋体" w:cs="Times New Roman"/>
                <w:color w:val="auto"/>
                <w:kern w:val="0"/>
                <w:highlight w:val="none"/>
              </w:rPr>
              <w:t>10</w:t>
            </w:r>
            <w:r>
              <w:rPr>
                <w:rFonts w:hint="eastAsia" w:ascii="Calibri" w:hAnsi="宋体" w:eastAsia="宋体" w:cs="宋体"/>
                <w:color w:val="auto"/>
                <w:kern w:val="0"/>
                <w:highlight w:val="none"/>
              </w:rPr>
              <w:t>日内通过全国公共资源交易平台（广西壮族自治区）或提交纸质书面材料向投诉受理部门提出书面投诉书，逾期不予受理。若招标人对项目评标结果有异议的，可在</w:t>
            </w:r>
            <w:r>
              <w:rPr>
                <w:rFonts w:hint="eastAsia" w:ascii="Calibri" w:hAnsi="Calibri" w:eastAsia="宋体" w:cs="宋体"/>
                <w:color w:val="auto"/>
                <w:highlight w:val="none"/>
              </w:rPr>
              <w:t>公示开始日起</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日内通过全国公共资源交易平台（广西壮族自治区）或提交纸质书面材料直接向投诉受理部门提交书面投诉书。</w:t>
            </w:r>
          </w:p>
        </w:tc>
      </w:tr>
      <w:tr w14:paraId="4FD0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0E412A39">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投诉受理部门</w:t>
            </w:r>
          </w:p>
        </w:tc>
        <w:tc>
          <w:tcPr>
            <w:tcW w:w="3294" w:type="dxa"/>
            <w:gridSpan w:val="3"/>
            <w:noWrap w:val="0"/>
            <w:tcMar>
              <w:top w:w="30" w:type="dxa"/>
              <w:left w:w="30" w:type="dxa"/>
              <w:bottom w:w="30" w:type="dxa"/>
              <w:right w:w="30" w:type="dxa"/>
            </w:tcMar>
            <w:vAlign w:val="center"/>
          </w:tcPr>
          <w:p w14:paraId="76C65B09">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highlight w:val="none"/>
              </w:rPr>
            </w:pPr>
          </w:p>
        </w:tc>
        <w:tc>
          <w:tcPr>
            <w:tcW w:w="1440" w:type="dxa"/>
            <w:gridSpan w:val="2"/>
            <w:noWrap w:val="0"/>
            <w:vAlign w:val="center"/>
          </w:tcPr>
          <w:p w14:paraId="515B5FD7">
            <w:pPr>
              <w:keepNext w:val="0"/>
              <w:keepLines w:val="0"/>
              <w:widowControl/>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投诉受理电话</w:t>
            </w:r>
          </w:p>
        </w:tc>
        <w:tc>
          <w:tcPr>
            <w:tcW w:w="3006" w:type="dxa"/>
            <w:noWrap w:val="0"/>
            <w:vAlign w:val="center"/>
          </w:tcPr>
          <w:p w14:paraId="01DCDB6F">
            <w:pPr>
              <w:keepNext w:val="0"/>
              <w:keepLines w:val="0"/>
              <w:widowControl/>
              <w:suppressLineNumbers w:val="0"/>
              <w:spacing w:before="0" w:beforeAutospacing="0" w:after="0" w:afterAutospacing="0" w:line="360" w:lineRule="atLeast"/>
              <w:ind w:left="0" w:right="0"/>
              <w:jc w:val="left"/>
              <w:rPr>
                <w:rFonts w:hint="default" w:ascii="Calibri" w:hAnsi="Calibri" w:eastAsia="宋体" w:cs="Times New Roman"/>
                <w:color w:val="auto"/>
                <w:highlight w:val="none"/>
              </w:rPr>
            </w:pPr>
          </w:p>
        </w:tc>
      </w:tr>
    </w:tbl>
    <w:p w14:paraId="2B7AAB63">
      <w:pPr>
        <w:pStyle w:val="27"/>
        <w:pBdr>
          <w:top w:val="none" w:color="auto" w:sz="0" w:space="0"/>
          <w:left w:val="none" w:color="auto" w:sz="0" w:space="0"/>
          <w:bottom w:val="none" w:color="auto" w:sz="0" w:space="1"/>
          <w:right w:val="none" w:color="auto" w:sz="0" w:space="0"/>
          <w:between w:val="none" w:color="auto" w:sz="0" w:space="0"/>
        </w:pBdr>
        <w:spacing w:before="120" w:beforeLines="50"/>
        <w:jc w:val="both"/>
        <w:rPr>
          <w:rFonts w:hint="eastAsia" w:hAnsi="宋体" w:cs="宋体"/>
          <w:color w:val="auto"/>
          <w:highlight w:val="none"/>
        </w:rPr>
      </w:pPr>
      <w:r>
        <w:rPr>
          <w:rFonts w:hint="eastAsia" w:hAnsi="宋体" w:cs="宋体"/>
          <w:color w:val="auto"/>
          <w:highlight w:val="none"/>
        </w:rPr>
        <w:t>一式</w:t>
      </w:r>
      <w:r>
        <w:rPr>
          <w:rFonts w:hint="eastAsia" w:hAnsi="宋体"/>
          <w:color w:val="auto"/>
          <w:highlight w:val="none"/>
        </w:rPr>
        <w:t>5</w:t>
      </w:r>
      <w:r>
        <w:rPr>
          <w:rFonts w:hint="eastAsia" w:hAnsi="宋体" w:cs="宋体"/>
          <w:color w:val="auto"/>
          <w:highlight w:val="none"/>
        </w:rPr>
        <w:t>份。其中：招标人</w:t>
      </w:r>
      <w:r>
        <w:rPr>
          <w:rFonts w:hint="eastAsia" w:hAnsi="宋体"/>
          <w:color w:val="auto"/>
          <w:highlight w:val="none"/>
        </w:rPr>
        <w:t>2</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3206D887">
      <w:pPr>
        <w:pStyle w:val="27"/>
        <w:pBdr>
          <w:top w:val="none" w:color="auto" w:sz="0" w:space="0"/>
          <w:left w:val="none" w:color="auto" w:sz="0" w:space="0"/>
          <w:bottom w:val="none" w:color="auto" w:sz="0" w:space="1"/>
          <w:right w:val="none" w:color="auto" w:sz="0" w:space="0"/>
          <w:between w:val="none" w:color="auto" w:sz="0" w:space="0"/>
        </w:pBdr>
        <w:spacing w:before="120" w:beforeLines="50"/>
        <w:jc w:val="both"/>
        <w:rPr>
          <w:rFonts w:hint="eastAsia" w:hAnsi="宋体" w:cs="宋体"/>
          <w:color w:val="auto"/>
          <w:highlight w:val="none"/>
        </w:rPr>
      </w:pPr>
    </w:p>
    <w:p w14:paraId="78979C88">
      <w:pPr>
        <w:pStyle w:val="27"/>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57B96EE3">
      <w:pPr>
        <w:pStyle w:val="27"/>
        <w:pBdr>
          <w:top w:val="none" w:color="auto" w:sz="0" w:space="0"/>
          <w:left w:val="none" w:color="auto" w:sz="0" w:space="0"/>
          <w:bottom w:val="none" w:color="auto" w:sz="0" w:space="0"/>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5264E8FE">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6D4E5771">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5ED716AB">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3E31156E">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bookmarkStart w:id="730" w:name="_Toc78449731"/>
      <w:bookmarkStart w:id="731" w:name="_Toc1660006785"/>
      <w:bookmarkStart w:id="732" w:name="_Toc1059208005"/>
    </w:p>
    <w:p w14:paraId="2B636887">
      <w:pPr>
        <w:pStyle w:val="27"/>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5C444DC6">
      <w:pPr>
        <w:pStyle w:val="27"/>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31B4B0D3">
      <w:pPr>
        <w:pStyle w:val="27"/>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3BBE42D6">
      <w:pPr>
        <w:pStyle w:val="27"/>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7022CE6F">
      <w:pPr>
        <w:pStyle w:val="27"/>
        <w:pBdr>
          <w:top w:val="none" w:color="auto" w:sz="0" w:space="0"/>
          <w:left w:val="none" w:color="auto" w:sz="0" w:space="0"/>
          <w:bottom w:val="none" w:color="auto" w:sz="0" w:space="1"/>
          <w:right w:val="none" w:color="auto" w:sz="0" w:space="0"/>
          <w:between w:val="none" w:color="auto" w:sz="0" w:space="0"/>
        </w:pBdr>
        <w:rPr>
          <w:rFonts w:hint="eastAsia" w:hAnsi="宋体" w:cs="宋体"/>
          <w:color w:val="auto"/>
          <w:highlight w:val="none"/>
        </w:rPr>
      </w:pPr>
    </w:p>
    <w:p w14:paraId="36BE2593">
      <w:pPr>
        <w:pStyle w:val="4"/>
        <w:spacing w:line="240" w:lineRule="auto"/>
        <w:rPr>
          <w:color w:val="auto"/>
          <w:sz w:val="28"/>
          <w:szCs w:val="28"/>
          <w:highlight w:val="none"/>
        </w:rPr>
      </w:pPr>
      <w:bookmarkStart w:id="733" w:name="_Toc4198"/>
      <w:bookmarkStart w:id="734" w:name="_Toc3879"/>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8</w:t>
      </w:r>
      <w:r>
        <w:rPr>
          <w:rFonts w:hint="eastAsia"/>
          <w:color w:val="auto"/>
          <w:sz w:val="28"/>
          <w:szCs w:val="28"/>
          <w:highlight w:val="none"/>
        </w:rPr>
        <w:t>：中标通知书</w:t>
      </w:r>
      <w:bookmarkEnd w:id="730"/>
      <w:bookmarkEnd w:id="731"/>
      <w:bookmarkEnd w:id="732"/>
      <w:bookmarkEnd w:id="733"/>
      <w:bookmarkEnd w:id="734"/>
    </w:p>
    <w:p w14:paraId="0A1CC8BE">
      <w:pPr>
        <w:jc w:val="center"/>
        <w:rPr>
          <w:b/>
          <w:bCs/>
          <w:color w:val="auto"/>
          <w:sz w:val="28"/>
          <w:szCs w:val="28"/>
          <w:highlight w:val="none"/>
        </w:rPr>
      </w:pPr>
      <w:r>
        <w:rPr>
          <w:rFonts w:hint="eastAsia" w:eastAsia="黑体" w:cs="黑体"/>
          <w:color w:val="auto"/>
          <w:sz w:val="28"/>
          <w:szCs w:val="28"/>
          <w:highlight w:val="none"/>
        </w:rPr>
        <w:t>中标通知书</w:t>
      </w:r>
    </w:p>
    <w:p w14:paraId="57A948F0">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rPr>
        <w:t xml:space="preserve">   </w:t>
      </w:r>
      <w:r>
        <w:rPr>
          <w:color w:val="auto"/>
          <w:highlight w:val="none"/>
        </w:rPr>
        <w:t xml:space="preserve">                                </w:t>
      </w:r>
      <w:r>
        <w:rPr>
          <w:rFonts w:hint="eastAsia" w:hAnsi="宋体" w:cs="宋体"/>
          <w:color w:val="auto"/>
          <w:highlight w:val="none"/>
        </w:rPr>
        <w:t>中标通知书编号（如有）：</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978"/>
        <w:gridCol w:w="1515"/>
        <w:gridCol w:w="52"/>
        <w:gridCol w:w="1132"/>
        <w:gridCol w:w="569"/>
        <w:gridCol w:w="985"/>
        <w:gridCol w:w="579"/>
        <w:gridCol w:w="271"/>
        <w:gridCol w:w="1119"/>
        <w:gridCol w:w="1876"/>
      </w:tblGrid>
      <w:tr w14:paraId="2986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42E72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w:t>
            </w:r>
            <w:r>
              <w:rPr>
                <w:rFonts w:hint="default" w:ascii="Calibri" w:hAnsi="宋体" w:eastAsia="宋体" w:cs="宋体"/>
                <w:color w:val="auto"/>
                <w:highlight w:val="none"/>
              </w:rPr>
              <w:t>人</w:t>
            </w:r>
          </w:p>
        </w:tc>
        <w:tc>
          <w:tcPr>
            <w:tcW w:w="8098" w:type="dxa"/>
            <w:gridSpan w:val="9"/>
            <w:noWrap w:val="0"/>
            <w:vAlign w:val="center"/>
          </w:tcPr>
          <w:p w14:paraId="16C6E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2729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1AB21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alibri" w:hAnsi="宋体" w:eastAsia="宋体" w:cs="宋体"/>
                <w:color w:val="auto"/>
                <w:highlight w:val="none"/>
              </w:rPr>
            </w:pPr>
            <w:r>
              <w:rPr>
                <w:rFonts w:hint="eastAsia" w:ascii="Calibri" w:hAnsi="宋体" w:eastAsia="宋体" w:cs="宋体"/>
                <w:color w:val="auto"/>
                <w:highlight w:val="none"/>
              </w:rPr>
              <w:t>建设单位</w:t>
            </w:r>
          </w:p>
        </w:tc>
        <w:tc>
          <w:tcPr>
            <w:tcW w:w="8098" w:type="dxa"/>
            <w:gridSpan w:val="9"/>
            <w:noWrap w:val="0"/>
            <w:vAlign w:val="center"/>
          </w:tcPr>
          <w:p w14:paraId="5DDC7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2CCB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2F7B2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代建单位（如有）</w:t>
            </w:r>
          </w:p>
        </w:tc>
        <w:tc>
          <w:tcPr>
            <w:tcW w:w="8098" w:type="dxa"/>
            <w:gridSpan w:val="9"/>
            <w:noWrap w:val="0"/>
            <w:vAlign w:val="center"/>
          </w:tcPr>
          <w:p w14:paraId="263C0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54B6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8" w:type="dxa"/>
            <w:gridSpan w:val="3"/>
            <w:vMerge w:val="restart"/>
            <w:noWrap w:val="0"/>
            <w:vAlign w:val="center"/>
          </w:tcPr>
          <w:p w14:paraId="7DCFD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中标人</w:t>
            </w:r>
          </w:p>
        </w:tc>
        <w:tc>
          <w:tcPr>
            <w:tcW w:w="2699" w:type="dxa"/>
            <w:gridSpan w:val="3"/>
            <w:vMerge w:val="restart"/>
            <w:noWrap w:val="0"/>
            <w:vAlign w:val="center"/>
          </w:tcPr>
          <w:p w14:paraId="724BD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（非联合体）</w:t>
            </w:r>
          </w:p>
        </w:tc>
        <w:tc>
          <w:tcPr>
            <w:tcW w:w="1554" w:type="dxa"/>
            <w:gridSpan w:val="2"/>
            <w:vMerge w:val="restart"/>
            <w:noWrap w:val="0"/>
            <w:vAlign w:val="center"/>
          </w:tcPr>
          <w:p w14:paraId="14E48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联合体</w:t>
            </w:r>
          </w:p>
        </w:tc>
        <w:tc>
          <w:tcPr>
            <w:tcW w:w="3845" w:type="dxa"/>
            <w:gridSpan w:val="4"/>
            <w:noWrap w:val="0"/>
            <w:vAlign w:val="center"/>
          </w:tcPr>
          <w:p w14:paraId="0F9C6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牵头人：</w:t>
            </w:r>
          </w:p>
        </w:tc>
      </w:tr>
      <w:tr w14:paraId="732E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8" w:type="dxa"/>
            <w:gridSpan w:val="3"/>
            <w:vMerge w:val="continue"/>
            <w:noWrap w:val="0"/>
            <w:vAlign w:val="center"/>
          </w:tcPr>
          <w:p w14:paraId="358DB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Calibri" w:hAnsi="宋体" w:eastAsia="宋体" w:cs="宋体"/>
                <w:color w:val="auto"/>
                <w:highlight w:val="none"/>
              </w:rPr>
            </w:pPr>
          </w:p>
        </w:tc>
        <w:tc>
          <w:tcPr>
            <w:tcW w:w="2699" w:type="dxa"/>
            <w:gridSpan w:val="3"/>
            <w:vMerge w:val="continue"/>
            <w:noWrap w:val="0"/>
            <w:vAlign w:val="center"/>
          </w:tcPr>
          <w:p w14:paraId="19A8A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c>
          <w:tcPr>
            <w:tcW w:w="1554" w:type="dxa"/>
            <w:gridSpan w:val="2"/>
            <w:vMerge w:val="continue"/>
            <w:noWrap w:val="0"/>
            <w:vAlign w:val="center"/>
          </w:tcPr>
          <w:p w14:paraId="7DCB5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c>
          <w:tcPr>
            <w:tcW w:w="3845" w:type="dxa"/>
            <w:gridSpan w:val="4"/>
            <w:noWrap w:val="0"/>
            <w:vAlign w:val="center"/>
          </w:tcPr>
          <w:p w14:paraId="35FAF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成员单位：</w:t>
            </w:r>
          </w:p>
        </w:tc>
      </w:tr>
      <w:tr w14:paraId="2714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5FE22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设计单位</w:t>
            </w:r>
          </w:p>
        </w:tc>
        <w:tc>
          <w:tcPr>
            <w:tcW w:w="8098" w:type="dxa"/>
            <w:gridSpan w:val="9"/>
            <w:noWrap w:val="0"/>
            <w:vAlign w:val="center"/>
          </w:tcPr>
          <w:p w14:paraId="3DD5E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0060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74612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招标代理机构</w:t>
            </w:r>
          </w:p>
        </w:tc>
        <w:tc>
          <w:tcPr>
            <w:tcW w:w="8098" w:type="dxa"/>
            <w:gridSpan w:val="9"/>
            <w:noWrap w:val="0"/>
            <w:vAlign w:val="center"/>
          </w:tcPr>
          <w:p w14:paraId="3A611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5F47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76DB3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cs="宋体"/>
                <w:color w:val="auto"/>
                <w:highlight w:val="none"/>
                <w:lang w:val="en-US" w:eastAsia="zh-CN"/>
              </w:rPr>
              <w:t>招标</w:t>
            </w:r>
            <w:r>
              <w:rPr>
                <w:rFonts w:hint="eastAsia" w:ascii="Calibri" w:hAnsi="宋体" w:eastAsia="宋体" w:cs="宋体"/>
                <w:color w:val="auto"/>
                <w:highlight w:val="none"/>
              </w:rPr>
              <w:t>项目名称</w:t>
            </w:r>
          </w:p>
        </w:tc>
        <w:tc>
          <w:tcPr>
            <w:tcW w:w="8098" w:type="dxa"/>
            <w:gridSpan w:val="9"/>
            <w:noWrap w:val="0"/>
            <w:vAlign w:val="center"/>
          </w:tcPr>
          <w:p w14:paraId="7F6CE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E2F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23AD2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工程地址</w:t>
            </w:r>
          </w:p>
        </w:tc>
        <w:tc>
          <w:tcPr>
            <w:tcW w:w="8098" w:type="dxa"/>
            <w:gridSpan w:val="9"/>
            <w:noWrap w:val="0"/>
            <w:vAlign w:val="center"/>
          </w:tcPr>
          <w:p w14:paraId="4769B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69FC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3FBE5E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中标范围</w:t>
            </w:r>
          </w:p>
        </w:tc>
        <w:tc>
          <w:tcPr>
            <w:tcW w:w="8098" w:type="dxa"/>
            <w:gridSpan w:val="9"/>
            <w:noWrap w:val="0"/>
            <w:vAlign w:val="center"/>
          </w:tcPr>
          <w:p w14:paraId="4C335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0B5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360CE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结构类型</w:t>
            </w:r>
          </w:p>
        </w:tc>
        <w:tc>
          <w:tcPr>
            <w:tcW w:w="3268" w:type="dxa"/>
            <w:gridSpan w:val="4"/>
            <w:noWrap w:val="0"/>
            <w:vAlign w:val="center"/>
          </w:tcPr>
          <w:p w14:paraId="2184F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eastAsia" w:ascii="Calibri" w:hAnsi="Calibri" w:eastAsia="宋体" w:cs="宋体"/>
                <w:color w:val="auto"/>
                <w:kern w:val="0"/>
                <w:highlight w:val="none"/>
              </w:rPr>
              <w:t>）</w:t>
            </w:r>
          </w:p>
        </w:tc>
        <w:tc>
          <w:tcPr>
            <w:tcW w:w="1835" w:type="dxa"/>
            <w:gridSpan w:val="3"/>
            <w:noWrap w:val="0"/>
            <w:vAlign w:val="center"/>
          </w:tcPr>
          <w:p w14:paraId="6929F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工程规模</w:t>
            </w:r>
          </w:p>
        </w:tc>
        <w:tc>
          <w:tcPr>
            <w:tcW w:w="2995" w:type="dxa"/>
            <w:gridSpan w:val="2"/>
            <w:noWrap w:val="0"/>
            <w:vAlign w:val="center"/>
          </w:tcPr>
          <w:p w14:paraId="05898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0C68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8" w:type="dxa"/>
            <w:gridSpan w:val="3"/>
            <w:noWrap w:val="0"/>
            <w:vAlign w:val="center"/>
          </w:tcPr>
          <w:p w14:paraId="684C4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承包方式</w:t>
            </w:r>
          </w:p>
        </w:tc>
        <w:tc>
          <w:tcPr>
            <w:tcW w:w="3268" w:type="dxa"/>
            <w:gridSpan w:val="4"/>
            <w:noWrap w:val="0"/>
            <w:vAlign w:val="center"/>
          </w:tcPr>
          <w:p w14:paraId="325F3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835" w:type="dxa"/>
            <w:gridSpan w:val="3"/>
            <w:noWrap w:val="0"/>
            <w:vAlign w:val="center"/>
          </w:tcPr>
          <w:p w14:paraId="16CB9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承包类型</w:t>
            </w:r>
          </w:p>
        </w:tc>
        <w:tc>
          <w:tcPr>
            <w:tcW w:w="2995" w:type="dxa"/>
            <w:gridSpan w:val="2"/>
            <w:noWrap w:val="0"/>
            <w:vAlign w:val="center"/>
          </w:tcPr>
          <w:p w14:paraId="48A56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16BC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noWrap w:val="0"/>
            <w:vAlign w:val="center"/>
          </w:tcPr>
          <w:p w14:paraId="4353C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项目经理</w:t>
            </w:r>
          </w:p>
        </w:tc>
        <w:tc>
          <w:tcPr>
            <w:tcW w:w="1515" w:type="dxa"/>
            <w:noWrap w:val="0"/>
            <w:vAlign w:val="center"/>
          </w:tcPr>
          <w:p w14:paraId="087F4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753" w:type="dxa"/>
            <w:gridSpan w:val="3"/>
            <w:noWrap w:val="0"/>
            <w:vAlign w:val="center"/>
          </w:tcPr>
          <w:p w14:paraId="7993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注册专业、等级及注册编号</w:t>
            </w:r>
          </w:p>
        </w:tc>
        <w:tc>
          <w:tcPr>
            <w:tcW w:w="1835" w:type="dxa"/>
            <w:gridSpan w:val="3"/>
            <w:noWrap w:val="0"/>
            <w:vAlign w:val="center"/>
          </w:tcPr>
          <w:p w14:paraId="71B90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1119" w:type="dxa"/>
            <w:noWrap w:val="0"/>
            <w:vAlign w:val="center"/>
          </w:tcPr>
          <w:p w14:paraId="35A42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kern w:val="0"/>
                <w:highlight w:val="none"/>
              </w:rPr>
              <w:t>身份证号</w:t>
            </w:r>
          </w:p>
        </w:tc>
        <w:tc>
          <w:tcPr>
            <w:tcW w:w="1876" w:type="dxa"/>
            <w:noWrap w:val="0"/>
            <w:vAlign w:val="center"/>
          </w:tcPr>
          <w:p w14:paraId="7BBFE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7C99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restart"/>
            <w:noWrap w:val="0"/>
            <w:vAlign w:val="center"/>
          </w:tcPr>
          <w:p w14:paraId="336DB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r>
              <w:rPr>
                <w:rFonts w:hint="eastAsia" w:ascii="Calibri" w:hAnsi="宋体" w:eastAsia="宋体" w:cs="宋体"/>
                <w:color w:val="auto"/>
                <w:highlight w:val="none"/>
              </w:rPr>
              <w:t>技术负责人及证书编号</w:t>
            </w:r>
          </w:p>
        </w:tc>
        <w:tc>
          <w:tcPr>
            <w:tcW w:w="3268" w:type="dxa"/>
            <w:gridSpan w:val="4"/>
            <w:vMerge w:val="restart"/>
            <w:noWrap w:val="0"/>
            <w:vAlign w:val="center"/>
          </w:tcPr>
          <w:p w14:paraId="09D6E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1835" w:type="dxa"/>
            <w:gridSpan w:val="3"/>
            <w:vMerge w:val="restart"/>
            <w:noWrap w:val="0"/>
            <w:vAlign w:val="center"/>
          </w:tcPr>
          <w:p w14:paraId="68A27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r>
              <w:rPr>
                <w:rFonts w:hint="eastAsia" w:ascii="Calibri" w:hAnsi="宋体" w:eastAsia="宋体" w:cs="宋体"/>
                <w:color w:val="auto"/>
                <w:highlight w:val="none"/>
              </w:rPr>
              <w:t>专职安全生产管理人员及安全生产考核合格证书编号、身份证</w:t>
            </w:r>
            <w:r>
              <w:rPr>
                <w:rFonts w:hint="default" w:ascii="Calibri" w:hAnsi="宋体" w:eastAsia="宋体" w:cs="宋体"/>
                <w:color w:val="auto"/>
                <w:highlight w:val="none"/>
              </w:rPr>
              <w:t>号</w:t>
            </w:r>
            <w:r>
              <w:rPr>
                <w:rFonts w:hint="eastAsia" w:ascii="Calibri" w:hAnsi="宋体" w:eastAsia="宋体" w:cs="宋体"/>
                <w:color w:val="auto"/>
                <w:highlight w:val="none"/>
              </w:rPr>
              <w:t>（全部）</w:t>
            </w:r>
          </w:p>
        </w:tc>
        <w:tc>
          <w:tcPr>
            <w:tcW w:w="2995" w:type="dxa"/>
            <w:gridSpan w:val="2"/>
            <w:noWrap w:val="0"/>
            <w:vAlign w:val="center"/>
          </w:tcPr>
          <w:p w14:paraId="64B90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38A7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continue"/>
            <w:noWrap w:val="0"/>
            <w:vAlign w:val="center"/>
          </w:tcPr>
          <w:p w14:paraId="7C6AC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3268" w:type="dxa"/>
            <w:gridSpan w:val="4"/>
            <w:vMerge w:val="continue"/>
            <w:noWrap w:val="0"/>
            <w:vAlign w:val="center"/>
          </w:tcPr>
          <w:p w14:paraId="3175B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宋体" w:eastAsia="宋体" w:cs="Times New Roman"/>
                <w:color w:val="auto"/>
                <w:highlight w:val="none"/>
              </w:rPr>
            </w:pPr>
          </w:p>
        </w:tc>
        <w:tc>
          <w:tcPr>
            <w:tcW w:w="1835" w:type="dxa"/>
            <w:gridSpan w:val="3"/>
            <w:vMerge w:val="continue"/>
            <w:noWrap w:val="0"/>
            <w:vAlign w:val="center"/>
          </w:tcPr>
          <w:p w14:paraId="074D6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2995" w:type="dxa"/>
            <w:gridSpan w:val="2"/>
            <w:noWrap w:val="0"/>
            <w:vAlign w:val="center"/>
          </w:tcPr>
          <w:p w14:paraId="028CE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5232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8" w:type="dxa"/>
            <w:gridSpan w:val="3"/>
            <w:vMerge w:val="continue"/>
            <w:noWrap w:val="0"/>
            <w:vAlign w:val="center"/>
          </w:tcPr>
          <w:p w14:paraId="7809B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p>
        </w:tc>
        <w:tc>
          <w:tcPr>
            <w:tcW w:w="3268" w:type="dxa"/>
            <w:gridSpan w:val="4"/>
            <w:vMerge w:val="continue"/>
            <w:noWrap w:val="0"/>
            <w:vAlign w:val="center"/>
          </w:tcPr>
          <w:p w14:paraId="2B501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p>
        </w:tc>
        <w:tc>
          <w:tcPr>
            <w:tcW w:w="1835" w:type="dxa"/>
            <w:gridSpan w:val="3"/>
            <w:vMerge w:val="continue"/>
            <w:noWrap w:val="0"/>
            <w:vAlign w:val="center"/>
          </w:tcPr>
          <w:p w14:paraId="43ADE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b/>
                <w:bCs/>
                <w:color w:val="auto"/>
                <w:highlight w:val="none"/>
              </w:rPr>
            </w:pPr>
          </w:p>
        </w:tc>
        <w:tc>
          <w:tcPr>
            <w:tcW w:w="2995" w:type="dxa"/>
            <w:gridSpan w:val="2"/>
            <w:noWrap w:val="0"/>
            <w:vAlign w:val="center"/>
          </w:tcPr>
          <w:p w14:paraId="78E64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b/>
                <w:bCs/>
                <w:color w:val="auto"/>
                <w:highlight w:val="none"/>
              </w:rPr>
            </w:pPr>
          </w:p>
        </w:tc>
      </w:tr>
      <w:tr w14:paraId="47DD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0D58E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w:t>
            </w:r>
          </w:p>
          <w:p w14:paraId="20547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w:t>
            </w:r>
          </w:p>
          <w:p w14:paraId="6AEB3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条件</w:t>
            </w:r>
          </w:p>
        </w:tc>
        <w:tc>
          <w:tcPr>
            <w:tcW w:w="978" w:type="dxa"/>
            <w:noWrap w:val="0"/>
            <w:vAlign w:val="center"/>
          </w:tcPr>
          <w:p w14:paraId="3C761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中标价</w:t>
            </w:r>
          </w:p>
        </w:tc>
        <w:tc>
          <w:tcPr>
            <w:tcW w:w="3268" w:type="dxa"/>
            <w:gridSpan w:val="4"/>
            <w:noWrap w:val="0"/>
            <w:vAlign w:val="center"/>
          </w:tcPr>
          <w:p w14:paraId="2ED05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restart"/>
            <w:noWrap w:val="0"/>
            <w:vAlign w:val="center"/>
          </w:tcPr>
          <w:p w14:paraId="5D4DE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主要材料</w:t>
            </w:r>
          </w:p>
        </w:tc>
        <w:tc>
          <w:tcPr>
            <w:tcW w:w="1119" w:type="dxa"/>
            <w:noWrap w:val="0"/>
            <w:vAlign w:val="center"/>
          </w:tcPr>
          <w:p w14:paraId="2C85E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钢</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筋</w:t>
            </w:r>
          </w:p>
        </w:tc>
        <w:tc>
          <w:tcPr>
            <w:tcW w:w="1876" w:type="dxa"/>
            <w:noWrap w:val="0"/>
            <w:vAlign w:val="center"/>
          </w:tcPr>
          <w:p w14:paraId="49AD5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7E81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0A563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78" w:type="dxa"/>
            <w:noWrap w:val="0"/>
            <w:vAlign w:val="center"/>
          </w:tcPr>
          <w:p w14:paraId="1E831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工期</w:t>
            </w:r>
          </w:p>
        </w:tc>
        <w:tc>
          <w:tcPr>
            <w:tcW w:w="3268" w:type="dxa"/>
            <w:gridSpan w:val="4"/>
            <w:noWrap w:val="0"/>
            <w:vAlign w:val="center"/>
          </w:tcPr>
          <w:p w14:paraId="322A0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continue"/>
            <w:noWrap w:val="0"/>
            <w:vAlign w:val="top"/>
          </w:tcPr>
          <w:p w14:paraId="11ED6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1119" w:type="dxa"/>
            <w:noWrap w:val="0"/>
            <w:vAlign w:val="center"/>
          </w:tcPr>
          <w:p w14:paraId="51633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水</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泥</w:t>
            </w:r>
          </w:p>
        </w:tc>
        <w:tc>
          <w:tcPr>
            <w:tcW w:w="1876" w:type="dxa"/>
            <w:noWrap w:val="0"/>
            <w:vAlign w:val="center"/>
          </w:tcPr>
          <w:p w14:paraId="404AA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3F1F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03625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78" w:type="dxa"/>
            <w:noWrap w:val="0"/>
            <w:vAlign w:val="center"/>
          </w:tcPr>
          <w:p w14:paraId="48BD5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质量</w:t>
            </w:r>
          </w:p>
        </w:tc>
        <w:tc>
          <w:tcPr>
            <w:tcW w:w="3268" w:type="dxa"/>
            <w:gridSpan w:val="4"/>
            <w:noWrap w:val="0"/>
            <w:vAlign w:val="center"/>
          </w:tcPr>
          <w:p w14:paraId="3BEDF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c>
          <w:tcPr>
            <w:tcW w:w="1835" w:type="dxa"/>
            <w:gridSpan w:val="3"/>
            <w:vMerge w:val="continue"/>
            <w:noWrap w:val="0"/>
            <w:vAlign w:val="top"/>
          </w:tcPr>
          <w:p w14:paraId="65CEB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1119" w:type="dxa"/>
            <w:noWrap w:val="0"/>
            <w:vAlign w:val="center"/>
          </w:tcPr>
          <w:p w14:paraId="291DC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商品砼</w:t>
            </w:r>
          </w:p>
        </w:tc>
        <w:tc>
          <w:tcPr>
            <w:tcW w:w="1876" w:type="dxa"/>
            <w:noWrap w:val="0"/>
            <w:vAlign w:val="center"/>
          </w:tcPr>
          <w:p w14:paraId="0DDCF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right"/>
              <w:textAlignment w:val="auto"/>
              <w:rPr>
                <w:rFonts w:hint="default" w:ascii="Calibri" w:hAnsi="Calibri" w:eastAsia="宋体" w:cs="Times New Roman"/>
                <w:b/>
                <w:bCs/>
                <w:color w:val="auto"/>
                <w:highlight w:val="none"/>
              </w:rPr>
            </w:pPr>
          </w:p>
        </w:tc>
      </w:tr>
      <w:tr w14:paraId="2424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0" w:type="dxa"/>
            <w:gridSpan w:val="2"/>
            <w:vMerge w:val="continue"/>
            <w:noWrap w:val="0"/>
            <w:vAlign w:val="top"/>
          </w:tcPr>
          <w:p w14:paraId="65F0D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tc>
        <w:tc>
          <w:tcPr>
            <w:tcW w:w="9076" w:type="dxa"/>
            <w:gridSpan w:val="10"/>
            <w:noWrap w:val="0"/>
            <w:vAlign w:val="center"/>
          </w:tcPr>
          <w:p w14:paraId="0475E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Times New Roman"/>
                <w:color w:val="auto"/>
                <w:highlight w:val="none"/>
              </w:rPr>
            </w:pPr>
            <w:r>
              <w:rPr>
                <w:rFonts w:hint="eastAsia" w:ascii="Calibri" w:hAnsi="宋体" w:eastAsia="宋体" w:cs="宋体"/>
                <w:color w:val="auto"/>
                <w:highlight w:val="none"/>
              </w:rPr>
              <w:t>其中：安全</w:t>
            </w:r>
            <w:r>
              <w:rPr>
                <w:rFonts w:hint="eastAsia" w:ascii="Calibri" w:hAnsi="宋体" w:eastAsia="宋体" w:cs="宋体"/>
                <w:color w:val="auto"/>
                <w:highlight w:val="none"/>
                <w:lang w:val="en-US" w:eastAsia="zh-CN"/>
              </w:rPr>
              <w:t>生产</w:t>
            </w:r>
            <w:r>
              <w:rPr>
                <w:rFonts w:hint="eastAsia" w:ascii="Calibri" w:hAnsi="宋体" w:eastAsia="宋体" w:cs="宋体"/>
                <w:color w:val="auto"/>
                <w:highlight w:val="none"/>
              </w:rPr>
              <w:t>费：</w:t>
            </w:r>
          </w:p>
        </w:tc>
      </w:tr>
      <w:tr w14:paraId="3309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265" w:type="dxa"/>
            <w:gridSpan w:val="5"/>
            <w:noWrap w:val="0"/>
            <w:vAlign w:val="top"/>
          </w:tcPr>
          <w:p w14:paraId="66681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代建单位（如有）：</w:t>
            </w:r>
          </w:p>
          <w:p w14:paraId="42FB3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64327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76FF8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20D45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6B217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54A1F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021C4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c>
          <w:tcPr>
            <w:tcW w:w="3265" w:type="dxa"/>
            <w:gridSpan w:val="4"/>
            <w:noWrap w:val="0"/>
            <w:vAlign w:val="top"/>
          </w:tcPr>
          <w:p w14:paraId="50C1F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建设单位：</w:t>
            </w:r>
          </w:p>
          <w:p w14:paraId="48A64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63B30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5B645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77071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72F36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1C76F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4FF6D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260" w:firstLineChars="600"/>
              <w:jc w:val="right"/>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p w14:paraId="3021F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p>
        </w:tc>
        <w:tc>
          <w:tcPr>
            <w:tcW w:w="3266" w:type="dxa"/>
            <w:gridSpan w:val="3"/>
            <w:noWrap w:val="0"/>
            <w:vAlign w:val="top"/>
          </w:tcPr>
          <w:p w14:paraId="75D69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宋体" w:eastAsia="宋体" w:cs="Times New Roman"/>
                <w:color w:val="auto"/>
                <w:highlight w:val="none"/>
              </w:rPr>
              <w:t>招标</w:t>
            </w:r>
            <w:r>
              <w:rPr>
                <w:rFonts w:hint="default" w:ascii="Calibri" w:hAnsi="宋体" w:eastAsia="宋体" w:cs="Times New Roman"/>
                <w:color w:val="auto"/>
                <w:highlight w:val="none"/>
              </w:rPr>
              <w:t>代理</w:t>
            </w:r>
            <w:r>
              <w:rPr>
                <w:rFonts w:hint="eastAsia" w:ascii="Calibri" w:hAnsi="宋体" w:eastAsia="宋体" w:cs="Times New Roman"/>
                <w:color w:val="auto"/>
                <w:highlight w:val="none"/>
              </w:rPr>
              <w:t>机构</w:t>
            </w:r>
            <w:r>
              <w:rPr>
                <w:rFonts w:hint="default" w:ascii="Calibri" w:hAnsi="宋体" w:eastAsia="宋体" w:cs="Times New Roman"/>
                <w:color w:val="auto"/>
                <w:highlight w:val="none"/>
              </w:rPr>
              <w:t>：</w:t>
            </w:r>
          </w:p>
          <w:p w14:paraId="5A5CD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4252C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24D24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p>
          <w:p w14:paraId="220E2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45637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（签字或盖章）</w:t>
            </w:r>
          </w:p>
          <w:p w14:paraId="4186A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1155" w:firstLineChars="550"/>
              <w:textAlignment w:val="auto"/>
              <w:rPr>
                <w:rFonts w:hint="default" w:ascii="Calibri" w:hAnsi="宋体" w:eastAsia="宋体" w:cs="Times New Roman"/>
                <w:color w:val="auto"/>
                <w:highlight w:val="none"/>
              </w:rPr>
            </w:pPr>
          </w:p>
          <w:p w14:paraId="140B7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r>
      <w:tr w14:paraId="2610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5E902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备注</w:t>
            </w:r>
          </w:p>
        </w:tc>
        <w:tc>
          <w:tcPr>
            <w:tcW w:w="9232" w:type="dxa"/>
            <w:gridSpan w:val="11"/>
            <w:noWrap w:val="0"/>
            <w:vAlign w:val="center"/>
          </w:tcPr>
          <w:p w14:paraId="54C93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日内向招标人足额提交履约保证金，否则招标人可以取消其中标资格。招标人和中标人应当在投标有效期内以及中标通知书发出之日起</w:t>
            </w:r>
            <w:r>
              <w:rPr>
                <w:rFonts w:hint="default" w:ascii="Calibri" w:hAnsi="Calibri" w:eastAsia="宋体" w:cs="Times New Roman"/>
                <w:color w:val="auto"/>
                <w:highlight w:val="none"/>
              </w:rPr>
              <w:t>30</w:t>
            </w:r>
            <w:r>
              <w:rPr>
                <w:rFonts w:hint="eastAsia" w:ascii="Calibri" w:hAnsi="Calibri" w:eastAsia="宋体" w:cs="宋体"/>
                <w:color w:val="auto"/>
                <w:highlight w:val="none"/>
              </w:rPr>
              <w:t>天内，根据招标文件和中标人的投标文件订立书面合同。</w:t>
            </w:r>
          </w:p>
        </w:tc>
      </w:tr>
    </w:tbl>
    <w:p w14:paraId="4A11B5FA">
      <w:pPr>
        <w:spacing w:before="120" w:beforeLines="50"/>
        <w:rPr>
          <w:rFonts w:hAnsi="宋体" w:cs="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份。其中：建设单位</w:t>
      </w:r>
      <w:r>
        <w:rPr>
          <w:rFonts w:hAnsi="宋体"/>
          <w:color w:val="auto"/>
          <w:highlight w:val="none"/>
        </w:rPr>
        <w:t>6</w:t>
      </w:r>
      <w:r>
        <w:rPr>
          <w:rFonts w:hint="eastAsia" w:hAnsi="宋体" w:cs="宋体"/>
          <w:color w:val="auto"/>
          <w:highlight w:val="none"/>
        </w:rPr>
        <w:t>份（用于办理工程质量监督、安全监督、施工许可证以及存档等有关手续）、中标单位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0C94912F">
      <w:pPr>
        <w:spacing w:before="120" w:beforeLines="50"/>
        <w:rPr>
          <w:rFonts w:hint="eastAsia" w:hAnsi="宋体"/>
          <w:color w:val="auto"/>
          <w:highlight w:val="none"/>
        </w:rPr>
      </w:pPr>
    </w:p>
    <w:p w14:paraId="413B15D6">
      <w:pPr>
        <w:pStyle w:val="4"/>
        <w:spacing w:line="240" w:lineRule="auto"/>
        <w:rPr>
          <w:rFonts w:hint="eastAsia" w:eastAsia="黑体"/>
          <w:color w:val="auto"/>
          <w:sz w:val="28"/>
          <w:szCs w:val="28"/>
          <w:highlight w:val="none"/>
          <w:lang w:eastAsia="zh-CN"/>
        </w:rPr>
      </w:pPr>
      <w:bookmarkStart w:id="735" w:name="_Toc1620819593"/>
      <w:bookmarkStart w:id="736" w:name="_Toc1652661836"/>
      <w:bookmarkStart w:id="737" w:name="_Toc78449732"/>
      <w:bookmarkStart w:id="738" w:name="_Toc23690"/>
      <w:bookmarkStart w:id="739" w:name="_Toc19121"/>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9</w:t>
      </w:r>
      <w:r>
        <w:rPr>
          <w:rFonts w:hint="eastAsia"/>
          <w:color w:val="auto"/>
          <w:sz w:val="28"/>
          <w:szCs w:val="28"/>
          <w:highlight w:val="none"/>
        </w:rPr>
        <w:t>：</w:t>
      </w:r>
      <w:bookmarkEnd w:id="735"/>
      <w:bookmarkEnd w:id="736"/>
      <w:bookmarkEnd w:id="737"/>
      <w:r>
        <w:rPr>
          <w:rFonts w:hint="eastAsia"/>
          <w:color w:val="auto"/>
          <w:sz w:val="28"/>
          <w:szCs w:val="28"/>
          <w:highlight w:val="none"/>
          <w:lang w:eastAsia="zh-CN"/>
        </w:rPr>
        <w:t>中标结果公告</w:t>
      </w:r>
      <w:bookmarkEnd w:id="738"/>
      <w:bookmarkEnd w:id="739"/>
    </w:p>
    <w:p w14:paraId="7AE26881">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0"/>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2580"/>
        <w:gridCol w:w="714"/>
        <w:gridCol w:w="10"/>
        <w:gridCol w:w="656"/>
        <w:gridCol w:w="774"/>
        <w:gridCol w:w="25"/>
        <w:gridCol w:w="2981"/>
      </w:tblGrid>
      <w:tr w14:paraId="59DB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29E122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cs="宋体"/>
                <w:color w:val="auto"/>
                <w:highlight w:val="none"/>
                <w:lang w:val="en-US" w:eastAsia="zh-CN"/>
              </w:rPr>
              <w:t>招标</w:t>
            </w:r>
            <w:r>
              <w:rPr>
                <w:rFonts w:hint="eastAsia" w:ascii="Calibri" w:hAnsi="宋体" w:eastAsia="宋体" w:cs="宋体"/>
                <w:color w:val="auto"/>
                <w:kern w:val="0"/>
                <w:highlight w:val="none"/>
              </w:rPr>
              <w:t>项目名称</w:t>
            </w:r>
          </w:p>
        </w:tc>
        <w:tc>
          <w:tcPr>
            <w:tcW w:w="7740" w:type="dxa"/>
            <w:gridSpan w:val="7"/>
            <w:noWrap w:val="0"/>
            <w:tcMar>
              <w:top w:w="0" w:type="dxa"/>
              <w:left w:w="75" w:type="dxa"/>
              <w:bottom w:w="0" w:type="dxa"/>
              <w:right w:w="0" w:type="dxa"/>
            </w:tcMar>
            <w:vAlign w:val="center"/>
          </w:tcPr>
          <w:p w14:paraId="16F7B88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299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F1DA6A9">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7740" w:type="dxa"/>
            <w:gridSpan w:val="7"/>
            <w:noWrap w:val="0"/>
            <w:tcMar>
              <w:top w:w="0" w:type="dxa"/>
              <w:left w:w="75" w:type="dxa"/>
              <w:bottom w:w="0" w:type="dxa"/>
              <w:right w:w="0" w:type="dxa"/>
            </w:tcMar>
            <w:vAlign w:val="center"/>
          </w:tcPr>
          <w:p w14:paraId="5ABB4C50">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27B9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C1F6E0C">
            <w:pPr>
              <w:keepNext w:val="0"/>
              <w:keepLines w:val="0"/>
              <w:widowControl/>
              <w:suppressLineNumbers w:val="0"/>
              <w:spacing w:before="0" w:beforeAutospacing="0" w:after="0" w:afterAutospacing="0" w:line="360" w:lineRule="auto"/>
              <w:ind w:left="0" w:right="0"/>
              <w:jc w:val="center"/>
              <w:rPr>
                <w:rFonts w:hint="default" w:ascii="Calibri" w:hAnsi="Calibri"/>
                <w:color w:val="auto"/>
                <w:highlight w:val="none"/>
              </w:rPr>
            </w:pPr>
            <w:r>
              <w:rPr>
                <w:rFonts w:hint="eastAsia" w:ascii="Calibri" w:hAnsi="宋体" w:cs="宋体"/>
                <w:color w:val="auto"/>
                <w:kern w:val="0"/>
                <w:highlight w:val="none"/>
              </w:rPr>
              <w:t>招标人</w:t>
            </w:r>
          </w:p>
        </w:tc>
        <w:tc>
          <w:tcPr>
            <w:tcW w:w="7740" w:type="dxa"/>
            <w:gridSpan w:val="7"/>
            <w:noWrap w:val="0"/>
            <w:tcMar>
              <w:top w:w="0" w:type="dxa"/>
              <w:left w:w="75" w:type="dxa"/>
              <w:bottom w:w="0" w:type="dxa"/>
              <w:right w:w="0" w:type="dxa"/>
            </w:tcMar>
            <w:vAlign w:val="center"/>
          </w:tcPr>
          <w:p w14:paraId="74ECC025">
            <w:pPr>
              <w:keepNext w:val="0"/>
              <w:keepLines w:val="0"/>
              <w:widowControl/>
              <w:suppressLineNumbers w:val="0"/>
              <w:spacing w:before="0" w:beforeAutospacing="0" w:after="0" w:afterAutospacing="0" w:line="360" w:lineRule="auto"/>
              <w:ind w:left="0" w:right="0"/>
              <w:jc w:val="left"/>
              <w:rPr>
                <w:rFonts w:hint="default" w:ascii="Calibri" w:hAnsi="Calibri"/>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04D5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0BB9269">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建设单位</w:t>
            </w:r>
          </w:p>
        </w:tc>
        <w:tc>
          <w:tcPr>
            <w:tcW w:w="7740" w:type="dxa"/>
            <w:gridSpan w:val="7"/>
            <w:noWrap w:val="0"/>
            <w:tcMar>
              <w:top w:w="0" w:type="dxa"/>
              <w:left w:w="75" w:type="dxa"/>
              <w:bottom w:w="0" w:type="dxa"/>
              <w:right w:w="0" w:type="dxa"/>
            </w:tcMar>
            <w:vAlign w:val="center"/>
          </w:tcPr>
          <w:p w14:paraId="7F297B3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4EBA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F72EBB0">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r>
              <w:rPr>
                <w:rFonts w:hint="eastAsia" w:ascii="Calibri" w:hAnsi="宋体" w:cs="宋体"/>
                <w:color w:val="auto"/>
                <w:kern w:val="0"/>
                <w:highlight w:val="none"/>
              </w:rPr>
              <w:t>代建单位（如有）</w:t>
            </w:r>
          </w:p>
        </w:tc>
        <w:tc>
          <w:tcPr>
            <w:tcW w:w="7740" w:type="dxa"/>
            <w:gridSpan w:val="7"/>
            <w:noWrap w:val="0"/>
            <w:tcMar>
              <w:top w:w="0" w:type="dxa"/>
              <w:left w:w="75" w:type="dxa"/>
              <w:bottom w:w="0" w:type="dxa"/>
              <w:right w:w="0" w:type="dxa"/>
            </w:tcMar>
            <w:vAlign w:val="center"/>
          </w:tcPr>
          <w:p w14:paraId="21241E4F">
            <w:pPr>
              <w:keepNext w:val="0"/>
              <w:keepLines w:val="0"/>
              <w:widowControl/>
              <w:suppressLineNumbers w:val="0"/>
              <w:spacing w:before="0" w:beforeAutospacing="0" w:after="0" w:afterAutospacing="0" w:line="360" w:lineRule="auto"/>
              <w:ind w:left="0" w:right="0"/>
              <w:jc w:val="left"/>
              <w:rPr>
                <w:rFonts w:hint="default" w:ascii="Calibri" w:hAnsi="Calibri"/>
                <w:color w:val="auto"/>
                <w:highlight w:val="none"/>
                <w:u w:val="single"/>
              </w:rPr>
            </w:pPr>
          </w:p>
        </w:tc>
      </w:tr>
      <w:tr w14:paraId="55DC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A2A4BD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0BC35E9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3"/>
            <w:noWrap w:val="0"/>
            <w:vAlign w:val="center"/>
          </w:tcPr>
          <w:p w14:paraId="5A36C0C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gridSpan w:val="2"/>
            <w:noWrap w:val="0"/>
            <w:tcMar>
              <w:top w:w="0" w:type="dxa"/>
              <w:left w:w="75" w:type="dxa"/>
              <w:bottom w:w="0" w:type="dxa"/>
              <w:right w:w="0" w:type="dxa"/>
            </w:tcMar>
            <w:vAlign w:val="center"/>
          </w:tcPr>
          <w:p w14:paraId="22979474">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68B0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757EE83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7"/>
            <w:noWrap w:val="0"/>
            <w:tcMar>
              <w:top w:w="0" w:type="dxa"/>
              <w:left w:w="75" w:type="dxa"/>
              <w:bottom w:w="0" w:type="dxa"/>
              <w:right w:w="0" w:type="dxa"/>
            </w:tcMar>
            <w:vAlign w:val="center"/>
          </w:tcPr>
          <w:p w14:paraId="7E250526">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21F6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B9F576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中标范围</w:t>
            </w:r>
          </w:p>
        </w:tc>
        <w:tc>
          <w:tcPr>
            <w:tcW w:w="7740" w:type="dxa"/>
            <w:gridSpan w:val="7"/>
            <w:noWrap w:val="0"/>
            <w:tcMar>
              <w:top w:w="0" w:type="dxa"/>
              <w:left w:w="75" w:type="dxa"/>
              <w:bottom w:w="0" w:type="dxa"/>
              <w:right w:w="0" w:type="dxa"/>
            </w:tcMar>
            <w:vAlign w:val="center"/>
          </w:tcPr>
          <w:p w14:paraId="3A343565">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453E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B546AE8">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评</w:t>
            </w:r>
            <w:r>
              <w:rPr>
                <w:rFonts w:hint="default" w:ascii="Calibri" w:hAnsi="宋体" w:eastAsia="宋体" w:cs="宋体"/>
                <w:color w:val="auto"/>
                <w:kern w:val="0"/>
                <w:highlight w:val="none"/>
              </w:rPr>
              <w:t>标委员会</w:t>
            </w:r>
            <w:r>
              <w:rPr>
                <w:rFonts w:hint="eastAsia" w:ascii="Calibri" w:hAnsi="宋体" w:eastAsia="宋体" w:cs="宋体"/>
                <w:color w:val="auto"/>
                <w:kern w:val="0"/>
                <w:highlight w:val="none"/>
              </w:rPr>
              <w:t>成员</w:t>
            </w:r>
          </w:p>
        </w:tc>
        <w:tc>
          <w:tcPr>
            <w:tcW w:w="7740" w:type="dxa"/>
            <w:gridSpan w:val="7"/>
            <w:noWrap w:val="0"/>
            <w:tcMar>
              <w:top w:w="0" w:type="dxa"/>
              <w:left w:w="75" w:type="dxa"/>
              <w:bottom w:w="0" w:type="dxa"/>
              <w:right w:w="0" w:type="dxa"/>
            </w:tcMar>
            <w:vAlign w:val="center"/>
          </w:tcPr>
          <w:p w14:paraId="6BEDF0FE">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1C1D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noWrap w:val="0"/>
            <w:vAlign w:val="center"/>
          </w:tcPr>
          <w:p w14:paraId="07E78D5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开标时间</w:t>
            </w:r>
          </w:p>
        </w:tc>
        <w:tc>
          <w:tcPr>
            <w:tcW w:w="3304" w:type="dxa"/>
            <w:gridSpan w:val="3"/>
            <w:noWrap w:val="0"/>
            <w:tcMar>
              <w:top w:w="0" w:type="dxa"/>
              <w:left w:w="75" w:type="dxa"/>
              <w:bottom w:w="0" w:type="dxa"/>
              <w:right w:w="0" w:type="dxa"/>
            </w:tcMar>
            <w:vAlign w:val="center"/>
          </w:tcPr>
          <w:p w14:paraId="41E219D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455" w:type="dxa"/>
            <w:gridSpan w:val="3"/>
            <w:noWrap w:val="0"/>
            <w:tcMar>
              <w:top w:w="0" w:type="dxa"/>
              <w:left w:w="75" w:type="dxa"/>
              <w:bottom w:w="0" w:type="dxa"/>
              <w:right w:w="0" w:type="dxa"/>
            </w:tcMar>
            <w:vAlign w:val="center"/>
          </w:tcPr>
          <w:p w14:paraId="0A611280">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开标地点</w:t>
            </w:r>
          </w:p>
        </w:tc>
        <w:tc>
          <w:tcPr>
            <w:tcW w:w="2981" w:type="dxa"/>
            <w:noWrap w:val="0"/>
            <w:tcMar>
              <w:top w:w="0" w:type="dxa"/>
              <w:left w:w="75" w:type="dxa"/>
              <w:bottom w:w="0" w:type="dxa"/>
              <w:right w:w="0" w:type="dxa"/>
            </w:tcMar>
            <w:vAlign w:val="center"/>
          </w:tcPr>
          <w:p w14:paraId="5BDD53F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0632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926" w:type="dxa"/>
            <w:vMerge w:val="restart"/>
            <w:noWrap w:val="0"/>
            <w:vAlign w:val="center"/>
          </w:tcPr>
          <w:p w14:paraId="20E6883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中标人</w:t>
            </w:r>
          </w:p>
        </w:tc>
        <w:tc>
          <w:tcPr>
            <w:tcW w:w="2580" w:type="dxa"/>
            <w:vMerge w:val="restart"/>
            <w:noWrap w:val="0"/>
            <w:tcMar>
              <w:top w:w="0" w:type="dxa"/>
              <w:left w:w="75" w:type="dxa"/>
              <w:bottom w:w="0" w:type="dxa"/>
              <w:right w:w="0" w:type="dxa"/>
            </w:tcMar>
            <w:vAlign w:val="center"/>
          </w:tcPr>
          <w:p w14:paraId="1A6AFCC4">
            <w:pPr>
              <w:keepNext w:val="0"/>
              <w:keepLines w:val="0"/>
              <w:widowControl/>
              <w:suppressLineNumbers w:val="0"/>
              <w:spacing w:before="0" w:beforeAutospacing="0" w:after="0" w:afterAutospacing="0" w:line="360" w:lineRule="auto"/>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380" w:type="dxa"/>
            <w:gridSpan w:val="3"/>
            <w:vMerge w:val="restart"/>
            <w:noWrap w:val="0"/>
            <w:vAlign w:val="center"/>
          </w:tcPr>
          <w:p w14:paraId="0BD52DF2">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780" w:type="dxa"/>
            <w:gridSpan w:val="3"/>
            <w:noWrap w:val="0"/>
            <w:vAlign w:val="center"/>
          </w:tcPr>
          <w:p w14:paraId="592151D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023C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1926" w:type="dxa"/>
            <w:vMerge w:val="continue"/>
            <w:noWrap w:val="0"/>
            <w:vAlign w:val="center"/>
          </w:tcPr>
          <w:p w14:paraId="6974A974">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p>
        </w:tc>
        <w:tc>
          <w:tcPr>
            <w:tcW w:w="2580" w:type="dxa"/>
            <w:vMerge w:val="continue"/>
            <w:noWrap w:val="0"/>
            <w:tcMar>
              <w:top w:w="0" w:type="dxa"/>
              <w:left w:w="75" w:type="dxa"/>
              <w:bottom w:w="0" w:type="dxa"/>
              <w:right w:w="0" w:type="dxa"/>
            </w:tcMar>
            <w:vAlign w:val="center"/>
          </w:tcPr>
          <w:p w14:paraId="0C7E6F0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380" w:type="dxa"/>
            <w:gridSpan w:val="3"/>
            <w:vMerge w:val="continue"/>
            <w:noWrap w:val="0"/>
            <w:vAlign w:val="center"/>
          </w:tcPr>
          <w:p w14:paraId="2601B2D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3780" w:type="dxa"/>
            <w:gridSpan w:val="3"/>
            <w:noWrap w:val="0"/>
            <w:vAlign w:val="center"/>
          </w:tcPr>
          <w:p w14:paraId="3E0C52B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6A7D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F0B6AF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中标价</w:t>
            </w:r>
          </w:p>
        </w:tc>
        <w:tc>
          <w:tcPr>
            <w:tcW w:w="7740" w:type="dxa"/>
            <w:gridSpan w:val="7"/>
            <w:noWrap w:val="0"/>
            <w:tcMar>
              <w:top w:w="0" w:type="dxa"/>
              <w:left w:w="75" w:type="dxa"/>
              <w:bottom w:w="0" w:type="dxa"/>
              <w:right w:w="0" w:type="dxa"/>
            </w:tcMar>
            <w:vAlign w:val="center"/>
          </w:tcPr>
          <w:p w14:paraId="636C1F4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334E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E059BF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7740" w:type="dxa"/>
            <w:gridSpan w:val="7"/>
            <w:noWrap w:val="0"/>
            <w:tcMar>
              <w:top w:w="0" w:type="dxa"/>
              <w:left w:w="75" w:type="dxa"/>
              <w:bottom w:w="0" w:type="dxa"/>
              <w:right w:w="0" w:type="dxa"/>
            </w:tcMar>
            <w:vAlign w:val="center"/>
          </w:tcPr>
          <w:p w14:paraId="2420097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6B7C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45C1967">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7740" w:type="dxa"/>
            <w:gridSpan w:val="7"/>
            <w:noWrap w:val="0"/>
            <w:tcMar>
              <w:top w:w="0" w:type="dxa"/>
              <w:left w:w="75" w:type="dxa"/>
              <w:bottom w:w="0" w:type="dxa"/>
              <w:right w:w="0" w:type="dxa"/>
            </w:tcMar>
            <w:vAlign w:val="center"/>
          </w:tcPr>
          <w:p w14:paraId="0513CDE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16D1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noWrap w:val="0"/>
            <w:vAlign w:val="center"/>
          </w:tcPr>
          <w:p w14:paraId="60CB753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7740" w:type="dxa"/>
            <w:gridSpan w:val="7"/>
            <w:noWrap w:val="0"/>
            <w:tcMar>
              <w:top w:w="0" w:type="dxa"/>
              <w:left w:w="75" w:type="dxa"/>
              <w:bottom w:w="0" w:type="dxa"/>
              <w:right w:w="0" w:type="dxa"/>
            </w:tcMar>
            <w:vAlign w:val="center"/>
          </w:tcPr>
          <w:p w14:paraId="59F352A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p>
        </w:tc>
      </w:tr>
      <w:tr w14:paraId="755C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46D6CE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公告媒介</w:t>
            </w:r>
          </w:p>
        </w:tc>
        <w:tc>
          <w:tcPr>
            <w:tcW w:w="7740" w:type="dxa"/>
            <w:gridSpan w:val="7"/>
            <w:noWrap w:val="0"/>
            <w:tcMar>
              <w:top w:w="0" w:type="dxa"/>
              <w:left w:w="75" w:type="dxa"/>
              <w:bottom w:w="0" w:type="dxa"/>
              <w:right w:w="0" w:type="dxa"/>
            </w:tcMar>
            <w:vAlign w:val="center"/>
          </w:tcPr>
          <w:p w14:paraId="5482119C">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r w14:paraId="0064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3036E8C">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公告日期（即中标通知书签发日期）</w:t>
            </w:r>
          </w:p>
        </w:tc>
        <w:tc>
          <w:tcPr>
            <w:tcW w:w="7740" w:type="dxa"/>
            <w:gridSpan w:val="7"/>
            <w:noWrap w:val="0"/>
            <w:tcMar>
              <w:top w:w="0" w:type="dxa"/>
              <w:left w:w="75" w:type="dxa"/>
              <w:bottom w:w="0" w:type="dxa"/>
              <w:right w:w="0" w:type="dxa"/>
            </w:tcMar>
            <w:vAlign w:val="center"/>
          </w:tcPr>
          <w:p w14:paraId="35ECD968">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bl>
    <w:p w14:paraId="01155333">
      <w:pPr>
        <w:pStyle w:val="27"/>
        <w:pBdr>
          <w:top w:val="none" w:color="auto" w:sz="0" w:space="0"/>
          <w:left w:val="none" w:color="auto" w:sz="0" w:space="0"/>
          <w:bottom w:val="none" w:color="auto" w:sz="0" w:space="1"/>
          <w:right w:val="none" w:color="auto" w:sz="0" w:space="0"/>
          <w:between w:val="none" w:color="auto" w:sz="0" w:space="0"/>
        </w:pBdr>
        <w:rPr>
          <w:rFonts w:hint="eastAsia"/>
          <w:color w:val="auto"/>
          <w:highlight w:val="none"/>
          <w:u w:val="none"/>
          <w:lang w:val="en-US" w:eastAsia="zh-CN"/>
        </w:rPr>
      </w:pPr>
      <w:r>
        <w:rPr>
          <w:rFonts w:hint="eastAsia"/>
          <w:color w:val="auto"/>
          <w:highlight w:val="none"/>
          <w:u w:val="single"/>
          <w:lang w:val="en-US" w:eastAsia="zh-CN"/>
        </w:rPr>
        <w:t xml:space="preserve"> </w:t>
      </w:r>
      <w:r>
        <w:rPr>
          <w:rFonts w:hint="eastAsia"/>
          <w:color w:val="auto"/>
          <w:highlight w:val="none"/>
          <w:u w:val="none"/>
          <w:lang w:val="en-US" w:eastAsia="zh-CN"/>
        </w:rPr>
        <w:t xml:space="preserve">                               </w:t>
      </w:r>
    </w:p>
    <w:p w14:paraId="4A3A326E">
      <w:pPr>
        <w:pStyle w:val="27"/>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060A5D14">
      <w:pPr>
        <w:pStyle w:val="27"/>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46B60383">
      <w:pPr>
        <w:spacing w:before="0" w:beforeLines="-2147483648" w:line="360" w:lineRule="auto"/>
        <w:ind w:firstLine="420" w:firstLineChars="200"/>
        <w:rPr>
          <w:rFonts w:hint="eastAsia" w:ascii="方正楷体_GB2312" w:hAnsi="方正楷体_GB2312" w:eastAsia="方正楷体_GB2312" w:cs="方正楷体_GB2312"/>
          <w:color w:val="auto"/>
          <w:highlight w:val="none"/>
        </w:rPr>
      </w:pPr>
      <w:r>
        <w:rPr>
          <w:rFonts w:hint="eastAsia" w:eastAsia="楷体_GB2312" w:cs="楷体_GB2312"/>
          <w:color w:val="auto"/>
          <w:highlight w:val="none"/>
        </w:rPr>
        <w:t>【备注：</w:t>
      </w:r>
      <w:r>
        <w:rPr>
          <w:rFonts w:hint="eastAsia" w:eastAsia="楷体_GB2312" w:cs="楷体_GB2312"/>
          <w:color w:val="auto"/>
          <w:highlight w:val="none"/>
          <w:lang w:eastAsia="zh-CN"/>
        </w:rPr>
        <w:t>1.</w:t>
      </w:r>
      <w:r>
        <w:rPr>
          <w:rFonts w:hint="eastAsia" w:eastAsia="楷体_GB2312" w:cs="楷体_GB2312"/>
          <w:color w:val="auto"/>
          <w:highlight w:val="none"/>
        </w:rPr>
        <w:t>招标人应在发布媒介发布</w:t>
      </w:r>
      <w:r>
        <w:rPr>
          <w:rFonts w:hint="eastAsia" w:eastAsia="楷体_GB2312" w:cs="楷体_GB2312"/>
          <w:color w:val="auto"/>
          <w:highlight w:val="none"/>
          <w:lang w:eastAsia="zh-CN"/>
        </w:rPr>
        <w:t>中标结果公告</w:t>
      </w:r>
      <w:r>
        <w:rPr>
          <w:rFonts w:hint="eastAsia" w:eastAsia="楷体_GB2312" w:cs="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p w14:paraId="11B92400">
      <w:pPr>
        <w:spacing w:line="360" w:lineRule="auto"/>
        <w:ind w:firstLine="420" w:firstLineChars="200"/>
        <w:rPr>
          <w:rFonts w:hint="eastAsia" w:ascii="方正楷体_GB2312" w:hAnsi="方正楷体_GB2312" w:eastAsia="方正楷体_GB2312" w:cs="方正楷体_GB2312"/>
          <w:color w:val="auto"/>
          <w:highlight w:val="none"/>
        </w:rPr>
      </w:pPr>
    </w:p>
    <w:p w14:paraId="253092D1">
      <w:pPr>
        <w:spacing w:line="360" w:lineRule="auto"/>
        <w:ind w:firstLine="420" w:firstLineChars="200"/>
        <w:rPr>
          <w:rFonts w:hint="eastAsia" w:ascii="方正楷体_GB2312" w:hAnsi="方正楷体_GB2312" w:eastAsia="方正楷体_GB2312" w:cs="方正楷体_GB2312"/>
          <w:color w:val="auto"/>
          <w:highlight w:val="none"/>
        </w:rPr>
      </w:pPr>
    </w:p>
    <w:p w14:paraId="547477A1">
      <w:pPr>
        <w:spacing w:line="360" w:lineRule="auto"/>
        <w:ind w:firstLine="420" w:firstLineChars="200"/>
        <w:rPr>
          <w:rFonts w:hint="eastAsia" w:ascii="方正楷体_GB2312" w:hAnsi="方正楷体_GB2312" w:eastAsia="方正楷体_GB2312" w:cs="方正楷体_GB2312"/>
          <w:color w:val="auto"/>
          <w:highlight w:val="none"/>
        </w:rPr>
      </w:pPr>
    </w:p>
    <w:p w14:paraId="7465FED3">
      <w:pPr>
        <w:pStyle w:val="2"/>
        <w:jc w:val="center"/>
        <w:rPr>
          <w:color w:val="auto"/>
          <w:highlight w:val="none"/>
        </w:rPr>
      </w:pPr>
      <w:bookmarkStart w:id="740" w:name="_Toc78449733"/>
      <w:bookmarkStart w:id="741" w:name="_Toc407135168"/>
      <w:bookmarkStart w:id="742" w:name="_Toc29783"/>
      <w:bookmarkStart w:id="743" w:name="_Toc190382899"/>
      <w:bookmarkStart w:id="744" w:name="_Toc389065238"/>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bookmarkEnd w:id="740"/>
      <w:bookmarkEnd w:id="741"/>
      <w:bookmarkEnd w:id="742"/>
      <w:bookmarkEnd w:id="743"/>
      <w:bookmarkEnd w:id="744"/>
    </w:p>
    <w:p w14:paraId="4D846945">
      <w:pPr>
        <w:pStyle w:val="2"/>
        <w:jc w:val="center"/>
        <w:rPr>
          <w:color w:val="auto"/>
          <w:highlight w:val="none"/>
        </w:rPr>
      </w:pPr>
      <w:bookmarkStart w:id="745" w:name="_Toc407135169"/>
      <w:bookmarkStart w:id="746" w:name="_Toc734019074"/>
      <w:bookmarkStart w:id="747" w:name="_Toc389065239"/>
      <w:bookmarkStart w:id="748" w:name="_Toc78449734"/>
      <w:bookmarkStart w:id="749" w:name="_Toc20976"/>
      <w:r>
        <w:rPr>
          <w:rFonts w:hint="eastAsia" w:cs="黑体"/>
          <w:color w:val="auto"/>
          <w:highlight w:val="none"/>
        </w:rPr>
        <w:t>评标办法前附表</w:t>
      </w:r>
      <w:bookmarkEnd w:id="745"/>
      <w:bookmarkEnd w:id="746"/>
      <w:bookmarkEnd w:id="747"/>
      <w:bookmarkEnd w:id="748"/>
      <w:bookmarkEnd w:id="749"/>
    </w:p>
    <w:tbl>
      <w:tblPr>
        <w:tblStyle w:val="40"/>
        <w:tblW w:w="10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
        <w:gridCol w:w="384"/>
        <w:gridCol w:w="998"/>
        <w:gridCol w:w="561"/>
        <w:gridCol w:w="94"/>
        <w:gridCol w:w="1241"/>
        <w:gridCol w:w="359"/>
        <w:gridCol w:w="236"/>
        <w:gridCol w:w="5421"/>
        <w:gridCol w:w="57"/>
        <w:gridCol w:w="142"/>
      </w:tblGrid>
      <w:tr w14:paraId="1312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shd w:val="clear" w:color="auto" w:fill="E6E6E6"/>
            <w:noWrap w:val="0"/>
            <w:vAlign w:val="center"/>
          </w:tcPr>
          <w:p w14:paraId="4171FE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条款号</w:t>
            </w:r>
          </w:p>
        </w:tc>
        <w:tc>
          <w:tcPr>
            <w:tcW w:w="3637" w:type="dxa"/>
            <w:gridSpan w:val="6"/>
            <w:shd w:val="clear" w:color="auto" w:fill="E6E6E6"/>
            <w:noWrap w:val="0"/>
            <w:vAlign w:val="center"/>
          </w:tcPr>
          <w:p w14:paraId="61E107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评审因素</w:t>
            </w:r>
          </w:p>
        </w:tc>
        <w:tc>
          <w:tcPr>
            <w:tcW w:w="5714" w:type="dxa"/>
            <w:gridSpan w:val="3"/>
            <w:shd w:val="clear" w:color="auto" w:fill="E6E6E6"/>
            <w:noWrap w:val="0"/>
            <w:vAlign w:val="center"/>
          </w:tcPr>
          <w:p w14:paraId="3EC4E7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tc>
      </w:tr>
      <w:tr w14:paraId="6635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restart"/>
            <w:shd w:val="clear" w:color="auto" w:fill="E6E6E6"/>
            <w:noWrap w:val="0"/>
            <w:vAlign w:val="center"/>
          </w:tcPr>
          <w:p w14:paraId="0C60B3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2.1.1</w:t>
            </w:r>
          </w:p>
        </w:tc>
        <w:tc>
          <w:tcPr>
            <w:tcW w:w="1382" w:type="dxa"/>
            <w:gridSpan w:val="2"/>
            <w:vMerge w:val="restart"/>
            <w:shd w:val="clear" w:color="auto" w:fill="E6E6E6"/>
            <w:noWrap w:val="0"/>
            <w:vAlign w:val="center"/>
          </w:tcPr>
          <w:p w14:paraId="78229D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形式</w:t>
            </w:r>
          </w:p>
          <w:p w14:paraId="679E44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评审标准</w:t>
            </w:r>
          </w:p>
        </w:tc>
        <w:tc>
          <w:tcPr>
            <w:tcW w:w="7969" w:type="dxa"/>
            <w:gridSpan w:val="7"/>
            <w:shd w:val="clear" w:color="auto" w:fill="E6E6E6"/>
            <w:noWrap w:val="0"/>
            <w:vAlign w:val="center"/>
          </w:tcPr>
          <w:p w14:paraId="1E63EB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合格标准：缺少任何一项或有任何一项不合格者，其形式评审视为不合格</w:t>
            </w:r>
          </w:p>
        </w:tc>
      </w:tr>
      <w:tr w14:paraId="177C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7B7478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AFB7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03BEF8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投标人名称</w:t>
            </w:r>
          </w:p>
        </w:tc>
        <w:tc>
          <w:tcPr>
            <w:tcW w:w="5714" w:type="dxa"/>
            <w:gridSpan w:val="3"/>
            <w:shd w:val="clear" w:color="auto" w:fill="E6E6E6"/>
            <w:noWrap w:val="0"/>
            <w:vAlign w:val="center"/>
          </w:tcPr>
          <w:p w14:paraId="27A30E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与营业执照、资质证书、安全生产许可证一致</w:t>
            </w:r>
          </w:p>
        </w:tc>
      </w:tr>
      <w:tr w14:paraId="48A8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0D8730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28817D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1E61A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投标函盖章</w:t>
            </w:r>
          </w:p>
        </w:tc>
        <w:tc>
          <w:tcPr>
            <w:tcW w:w="5714" w:type="dxa"/>
            <w:gridSpan w:val="3"/>
            <w:shd w:val="clear" w:color="auto" w:fill="E6E6E6"/>
            <w:noWrap w:val="0"/>
            <w:vAlign w:val="center"/>
          </w:tcPr>
          <w:p w14:paraId="396AC4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盖法人单位电子印章</w:t>
            </w:r>
          </w:p>
        </w:tc>
      </w:tr>
      <w:tr w14:paraId="24D1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425224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3327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580EE9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lang w:val="en-US"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5714" w:type="dxa"/>
            <w:gridSpan w:val="3"/>
            <w:shd w:val="clear" w:color="auto" w:fill="E6E6E6"/>
            <w:noWrap w:val="0"/>
            <w:vAlign w:val="center"/>
          </w:tcPr>
          <w:p w14:paraId="7CB49F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rPr>
              <w:t>在投标总价封面规定的相关位置盖投标人法人单位电子印章</w:t>
            </w:r>
            <w:r>
              <w:rPr>
                <w:rFonts w:hint="eastAsia" w:ascii="Calibri" w:hAnsi="Calibri" w:cs="宋体"/>
                <w:color w:val="auto"/>
                <w:highlight w:val="none"/>
                <w:lang w:eastAsia="zh-CN"/>
              </w:rPr>
              <w:t>，</w:t>
            </w:r>
            <w:r>
              <w:rPr>
                <w:rFonts w:hint="eastAsia" w:ascii="Calibri" w:hAnsi="Calibri" w:eastAsia="宋体" w:cs="宋体"/>
                <w:color w:val="auto"/>
                <w:highlight w:val="none"/>
              </w:rPr>
              <w:t>并由法定代表人盖电子签字章</w:t>
            </w:r>
            <w:r>
              <w:rPr>
                <w:rFonts w:hint="eastAsia" w:ascii="Calibri" w:hAnsi="Calibri" w:cs="宋体"/>
                <w:color w:val="auto"/>
                <w:highlight w:val="none"/>
                <w:lang w:eastAsia="zh-CN"/>
              </w:rPr>
              <w:t>（</w:t>
            </w:r>
            <w:r>
              <w:rPr>
                <w:rFonts w:hint="eastAsia" w:ascii="Calibri" w:hAnsi="Calibri" w:eastAsia="宋体" w:cs="宋体"/>
                <w:color w:val="auto"/>
                <w:highlight w:val="none"/>
              </w:rPr>
              <w:t>或盖电子</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cs="宋体"/>
                <w:color w:val="auto"/>
                <w:highlight w:val="none"/>
                <w:lang w:eastAsia="zh-CN"/>
              </w:rPr>
              <w:t>），</w:t>
            </w:r>
            <w:r>
              <w:rPr>
                <w:rFonts w:hint="eastAsia" w:ascii="Calibri" w:hAnsi="Calibri" w:eastAsia="宋体" w:cs="宋体"/>
                <w:color w:val="auto"/>
                <w:highlight w:val="none"/>
              </w:rPr>
              <w:t>编制人在投标总价封面规定的相关位置签字盖专用章。</w:t>
            </w:r>
          </w:p>
        </w:tc>
      </w:tr>
      <w:tr w14:paraId="3381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47DA7E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2EB46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7FFDCD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投标文件格式</w:t>
            </w:r>
          </w:p>
        </w:tc>
        <w:tc>
          <w:tcPr>
            <w:tcW w:w="5714" w:type="dxa"/>
            <w:gridSpan w:val="3"/>
            <w:shd w:val="clear" w:color="auto" w:fill="E6E6E6"/>
            <w:noWrap w:val="0"/>
            <w:vAlign w:val="center"/>
          </w:tcPr>
          <w:p w14:paraId="151199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符合第九章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投标文件格式</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的要求</w:t>
            </w:r>
          </w:p>
        </w:tc>
      </w:tr>
      <w:tr w14:paraId="5A40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6301B8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897FC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488443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联合体投标人</w:t>
            </w:r>
            <w:r>
              <w:rPr>
                <w:rFonts w:hint="eastAsia" w:ascii="楷体_GB2312" w:hAnsi="Calibri" w:eastAsia="楷体_GB2312" w:cs="楷体_GB2312"/>
                <w:color w:val="auto"/>
                <w:highlight w:val="none"/>
                <w:shd w:val="clear" w:color="auto" w:fill="auto"/>
              </w:rPr>
              <w:t>（如有）</w:t>
            </w:r>
          </w:p>
        </w:tc>
        <w:tc>
          <w:tcPr>
            <w:tcW w:w="5714" w:type="dxa"/>
            <w:gridSpan w:val="3"/>
            <w:shd w:val="clear" w:color="auto" w:fill="E6E6E6"/>
            <w:noWrap w:val="0"/>
            <w:vAlign w:val="center"/>
          </w:tcPr>
          <w:p w14:paraId="66687D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提交联合体协议书，并明确联合体牵头人</w:t>
            </w:r>
          </w:p>
        </w:tc>
      </w:tr>
      <w:tr w14:paraId="42F4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0DDA25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2CFFF7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vMerge w:val="restart"/>
            <w:shd w:val="clear" w:color="auto" w:fill="E6E6E6"/>
            <w:noWrap w:val="0"/>
            <w:vAlign w:val="center"/>
          </w:tcPr>
          <w:p w14:paraId="34E6DC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w:t>
            </w:r>
          </w:p>
        </w:tc>
        <w:tc>
          <w:tcPr>
            <w:tcW w:w="5714" w:type="dxa"/>
            <w:gridSpan w:val="3"/>
            <w:shd w:val="clear" w:color="auto" w:fill="E6E6E6"/>
            <w:noWrap w:val="0"/>
            <w:vAlign w:val="center"/>
          </w:tcPr>
          <w:p w14:paraId="0D6307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报价唯一</w:t>
            </w: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rPr>
              <w:t>只能有一个有效报价。</w:t>
            </w:r>
          </w:p>
        </w:tc>
      </w:tr>
      <w:tr w14:paraId="4F26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46F316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77A3C5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vMerge w:val="continue"/>
            <w:shd w:val="clear" w:color="auto" w:fill="E6E6E6"/>
            <w:noWrap w:val="0"/>
            <w:vAlign w:val="center"/>
          </w:tcPr>
          <w:p w14:paraId="2D1EB5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5714" w:type="dxa"/>
            <w:gridSpan w:val="3"/>
            <w:shd w:val="clear" w:color="auto" w:fill="E6E6E6"/>
            <w:noWrap w:val="0"/>
            <w:vAlign w:val="center"/>
          </w:tcPr>
          <w:p w14:paraId="222204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所有投标报价均大于等于</w:t>
            </w:r>
            <w:r>
              <w:rPr>
                <w:rFonts w:hint="eastAsia" w:ascii="Calibri" w:hAnsi="Calibri" w:eastAsia="宋体" w:cs="宋体"/>
                <w:color w:val="auto"/>
                <w:highlight w:val="none"/>
                <w:shd w:val="clear" w:color="auto" w:fill="auto"/>
                <w:lang w:eastAsia="zh-CN"/>
              </w:rPr>
              <w:t>最高投标限价</w:t>
            </w:r>
            <w:r>
              <w:rPr>
                <w:rFonts w:hint="default" w:ascii="Calibri" w:hAnsi="Calibri" w:eastAsia="宋体" w:cs="宋体"/>
                <w:color w:val="auto"/>
                <w:highlight w:val="none"/>
                <w:shd w:val="clear" w:color="auto" w:fill="auto"/>
              </w:rPr>
              <w:t>x</w:t>
            </w:r>
            <w:r>
              <w:rPr>
                <w:rFonts w:hint="eastAsia" w:ascii="Calibri" w:hAnsi="Calibri" w:eastAsia="宋体" w:cs="宋体"/>
                <w:color w:val="auto"/>
                <w:highlight w:val="none"/>
                <w:shd w:val="clear" w:color="auto" w:fill="auto"/>
              </w:rPr>
              <w:t>（1-D%）的，则本项目招标失败，由招标人依法重新招标。D=</w:t>
            </w:r>
            <w:r>
              <w:rPr>
                <w:rFonts w:hint="eastAsia" w:ascii="Calibri" w:hAnsi="Calibri" w:eastAsia="宋体" w:cs="宋体"/>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（备注：由招标人在招标文件中确定，D值可取0~5）</w:t>
            </w:r>
          </w:p>
        </w:tc>
      </w:tr>
      <w:tr w14:paraId="0C8F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3DA1C6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67F2C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288087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714" w:type="dxa"/>
            <w:gridSpan w:val="3"/>
            <w:shd w:val="clear" w:color="auto" w:fill="E6E6E6"/>
            <w:noWrap w:val="0"/>
            <w:vAlign w:val="center"/>
          </w:tcPr>
          <w:p w14:paraId="26E71E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7AE2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restart"/>
            <w:shd w:val="clear" w:color="auto" w:fill="E6E6E6"/>
            <w:noWrap w:val="0"/>
            <w:vAlign w:val="center"/>
          </w:tcPr>
          <w:p w14:paraId="399BE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2.1.2</w:t>
            </w:r>
          </w:p>
        </w:tc>
        <w:tc>
          <w:tcPr>
            <w:tcW w:w="1382" w:type="dxa"/>
            <w:gridSpan w:val="2"/>
            <w:vMerge w:val="restart"/>
            <w:shd w:val="clear" w:color="auto" w:fill="E6E6E6"/>
            <w:noWrap w:val="0"/>
            <w:vAlign w:val="center"/>
          </w:tcPr>
          <w:p w14:paraId="62932A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响应性</w:t>
            </w:r>
          </w:p>
          <w:p w14:paraId="1C7810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p w14:paraId="1628D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楷体_GB2312" w:cs="楷体_GB2312"/>
                <w:color w:val="auto"/>
                <w:highlight w:val="none"/>
                <w:shd w:val="clear" w:color="auto" w:fill="auto"/>
              </w:rPr>
              <w:t>【备注：招标人可按项目需求分为商务标响应性评审和技术标响应性评审两部分】</w:t>
            </w:r>
          </w:p>
        </w:tc>
        <w:tc>
          <w:tcPr>
            <w:tcW w:w="7969" w:type="dxa"/>
            <w:gridSpan w:val="7"/>
            <w:shd w:val="clear" w:color="auto" w:fill="E6E6E6"/>
            <w:noWrap w:val="0"/>
            <w:vAlign w:val="center"/>
          </w:tcPr>
          <w:p w14:paraId="7393FB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合格标准：缺少任何一项或有任何一项不合格者，其响应性评审视为不合格</w:t>
            </w:r>
          </w:p>
        </w:tc>
      </w:tr>
      <w:tr w14:paraId="2E7A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692537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0F2E8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31B284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投标内容</w:t>
            </w:r>
          </w:p>
        </w:tc>
        <w:tc>
          <w:tcPr>
            <w:tcW w:w="5714" w:type="dxa"/>
            <w:gridSpan w:val="3"/>
            <w:shd w:val="clear" w:color="auto" w:fill="E6E6E6"/>
            <w:noWrap w:val="0"/>
            <w:vAlign w:val="center"/>
          </w:tcPr>
          <w:p w14:paraId="573600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1.3.1</w:t>
            </w:r>
            <w:r>
              <w:rPr>
                <w:rFonts w:hint="eastAsia" w:ascii="Calibri" w:hAnsi="Calibri" w:eastAsia="宋体" w:cs="宋体"/>
                <w:color w:val="auto"/>
                <w:highlight w:val="none"/>
                <w:shd w:val="clear" w:color="auto" w:fill="auto"/>
              </w:rPr>
              <w:t>项规定</w:t>
            </w:r>
          </w:p>
        </w:tc>
      </w:tr>
      <w:tr w14:paraId="13CD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20D9DA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730DA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466315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工期</w:t>
            </w:r>
          </w:p>
        </w:tc>
        <w:tc>
          <w:tcPr>
            <w:tcW w:w="5714" w:type="dxa"/>
            <w:gridSpan w:val="3"/>
            <w:shd w:val="clear" w:color="auto" w:fill="E6E6E6"/>
            <w:noWrap w:val="0"/>
            <w:vAlign w:val="center"/>
          </w:tcPr>
          <w:p w14:paraId="6B33FA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1.3.2</w:t>
            </w:r>
            <w:r>
              <w:rPr>
                <w:rFonts w:hint="eastAsia" w:ascii="Calibri" w:hAnsi="Calibri" w:eastAsia="宋体" w:cs="宋体"/>
                <w:color w:val="auto"/>
                <w:highlight w:val="none"/>
                <w:shd w:val="clear" w:color="auto" w:fill="auto"/>
              </w:rPr>
              <w:t>项规定</w:t>
            </w:r>
          </w:p>
        </w:tc>
      </w:tr>
      <w:tr w14:paraId="61DB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039C1A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5032AD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65D750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工程质量</w:t>
            </w:r>
          </w:p>
        </w:tc>
        <w:tc>
          <w:tcPr>
            <w:tcW w:w="5714" w:type="dxa"/>
            <w:gridSpan w:val="3"/>
            <w:shd w:val="clear" w:color="auto" w:fill="E6E6E6"/>
            <w:noWrap w:val="0"/>
            <w:vAlign w:val="center"/>
          </w:tcPr>
          <w:p w14:paraId="53D452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1.3.3</w:t>
            </w:r>
            <w:r>
              <w:rPr>
                <w:rFonts w:hint="eastAsia" w:ascii="Calibri" w:hAnsi="Calibri" w:eastAsia="宋体" w:cs="宋体"/>
                <w:color w:val="auto"/>
                <w:highlight w:val="none"/>
                <w:shd w:val="clear" w:color="auto" w:fill="auto"/>
              </w:rPr>
              <w:t>项规定</w:t>
            </w:r>
          </w:p>
        </w:tc>
      </w:tr>
      <w:tr w14:paraId="6BAB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11FF1D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4E18D0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41DC44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投标有效期</w:t>
            </w:r>
          </w:p>
        </w:tc>
        <w:tc>
          <w:tcPr>
            <w:tcW w:w="5714" w:type="dxa"/>
            <w:gridSpan w:val="3"/>
            <w:shd w:val="clear" w:color="auto" w:fill="E6E6E6"/>
            <w:noWrap w:val="0"/>
            <w:vAlign w:val="center"/>
          </w:tcPr>
          <w:p w14:paraId="63E4F3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3.3.1</w:t>
            </w:r>
            <w:r>
              <w:rPr>
                <w:rFonts w:hint="eastAsia" w:ascii="Calibri" w:hAnsi="Calibri" w:eastAsia="宋体" w:cs="宋体"/>
                <w:color w:val="auto"/>
                <w:highlight w:val="none"/>
                <w:shd w:val="clear" w:color="auto" w:fill="auto"/>
              </w:rPr>
              <w:t>项规定</w:t>
            </w:r>
          </w:p>
        </w:tc>
      </w:tr>
      <w:tr w14:paraId="7775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4A27E4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18C274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72FFEE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权利义务</w:t>
            </w:r>
          </w:p>
        </w:tc>
        <w:tc>
          <w:tcPr>
            <w:tcW w:w="5714" w:type="dxa"/>
            <w:gridSpan w:val="3"/>
            <w:shd w:val="clear" w:color="auto" w:fill="E6E6E6"/>
            <w:noWrap w:val="0"/>
            <w:vAlign w:val="center"/>
          </w:tcPr>
          <w:p w14:paraId="205F83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投标函附录中的相关承诺符合或优于第四章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合同条款及格式</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的相关规定</w:t>
            </w:r>
          </w:p>
        </w:tc>
      </w:tr>
      <w:tr w14:paraId="61A1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5555EB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682C03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55F63E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技术标准和要求</w:t>
            </w:r>
          </w:p>
        </w:tc>
        <w:tc>
          <w:tcPr>
            <w:tcW w:w="5714" w:type="dxa"/>
            <w:gridSpan w:val="3"/>
            <w:shd w:val="clear" w:color="auto" w:fill="E6E6E6"/>
            <w:noWrap w:val="0"/>
            <w:vAlign w:val="center"/>
          </w:tcPr>
          <w:p w14:paraId="46773A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符合第八章</w:t>
            </w:r>
            <w:r>
              <w:rPr>
                <w:rFonts w:hint="default" w:ascii="Calibri" w:hAnsi="Calibri" w:eastAsia="宋体" w:cs="Times New Roman"/>
                <w:color w:val="auto"/>
                <w:highlight w:val="none"/>
                <w:shd w:val="clear" w:color="auto" w:fill="auto"/>
              </w:rPr>
              <w:t xml:space="preserve"> “</w:t>
            </w:r>
            <w:r>
              <w:rPr>
                <w:rFonts w:hint="eastAsia" w:ascii="Calibri" w:hAnsi="Calibri" w:eastAsia="宋体" w:cs="宋体"/>
                <w:color w:val="auto"/>
                <w:highlight w:val="none"/>
                <w:shd w:val="clear" w:color="auto" w:fill="auto"/>
              </w:rPr>
              <w:t>技术标准和要求</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规定（包括建筑材料和设备的节能环保要求）</w:t>
            </w:r>
          </w:p>
        </w:tc>
      </w:tr>
      <w:tr w14:paraId="17FA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0E6092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90F6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427625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投标价格</w:t>
            </w:r>
          </w:p>
        </w:tc>
        <w:tc>
          <w:tcPr>
            <w:tcW w:w="5714" w:type="dxa"/>
            <w:gridSpan w:val="3"/>
            <w:shd w:val="clear" w:color="auto" w:fill="E6E6E6"/>
            <w:noWrap w:val="0"/>
            <w:vAlign w:val="center"/>
          </w:tcPr>
          <w:p w14:paraId="54E6D7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低于（含等于）招标人公布的</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且无本章附件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否决投标条件的相应情况的。</w:t>
            </w:r>
          </w:p>
        </w:tc>
      </w:tr>
      <w:tr w14:paraId="3D70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3E561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5E160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0B53F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分包计划</w:t>
            </w:r>
          </w:p>
        </w:tc>
        <w:tc>
          <w:tcPr>
            <w:tcW w:w="5714" w:type="dxa"/>
            <w:gridSpan w:val="3"/>
            <w:shd w:val="clear" w:color="auto" w:fill="E6E6E6"/>
            <w:noWrap w:val="0"/>
            <w:vAlign w:val="center"/>
          </w:tcPr>
          <w:p w14:paraId="22B83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1.11</w:t>
            </w:r>
            <w:r>
              <w:rPr>
                <w:rFonts w:hint="eastAsia" w:ascii="Calibri" w:hAnsi="Calibri" w:eastAsia="宋体" w:cs="宋体"/>
                <w:color w:val="auto"/>
                <w:highlight w:val="none"/>
                <w:shd w:val="clear" w:color="auto" w:fill="auto"/>
              </w:rPr>
              <w:t>款规定</w:t>
            </w:r>
          </w:p>
        </w:tc>
      </w:tr>
      <w:tr w14:paraId="380C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09D200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C712B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346DA1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已标价工程量清单</w:t>
            </w:r>
          </w:p>
        </w:tc>
        <w:tc>
          <w:tcPr>
            <w:tcW w:w="5714" w:type="dxa"/>
            <w:gridSpan w:val="3"/>
            <w:shd w:val="clear" w:color="auto" w:fill="E6E6E6"/>
            <w:noWrap w:val="0"/>
            <w:vAlign w:val="center"/>
          </w:tcPr>
          <w:p w14:paraId="5D7A24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w:t>
            </w:r>
          </w:p>
        </w:tc>
      </w:tr>
      <w:tr w14:paraId="76B4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shd w:val="clear" w:color="auto" w:fill="E6E6E6"/>
            <w:noWrap w:val="0"/>
            <w:vAlign w:val="center"/>
          </w:tcPr>
          <w:p w14:paraId="40F589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gridSpan w:val="2"/>
            <w:vMerge w:val="continue"/>
            <w:shd w:val="clear" w:color="auto" w:fill="E6E6E6"/>
            <w:noWrap w:val="0"/>
            <w:vAlign w:val="center"/>
          </w:tcPr>
          <w:p w14:paraId="333836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4"/>
            <w:shd w:val="clear" w:color="auto" w:fill="E6E6E6"/>
            <w:noWrap w:val="0"/>
            <w:vAlign w:val="center"/>
          </w:tcPr>
          <w:p w14:paraId="7B1DED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714" w:type="dxa"/>
            <w:gridSpan w:val="3"/>
            <w:shd w:val="clear" w:color="auto" w:fill="E6E6E6"/>
            <w:noWrap w:val="0"/>
            <w:vAlign w:val="center"/>
          </w:tcPr>
          <w:p w14:paraId="517805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r>
      <w:tr w14:paraId="4191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restart"/>
            <w:noWrap w:val="0"/>
            <w:vAlign w:val="center"/>
          </w:tcPr>
          <w:p w14:paraId="3CEB08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2.1.3</w:t>
            </w:r>
          </w:p>
        </w:tc>
        <w:tc>
          <w:tcPr>
            <w:tcW w:w="384" w:type="dxa"/>
            <w:vMerge w:val="restart"/>
            <w:noWrap w:val="0"/>
            <w:vAlign w:val="center"/>
          </w:tcPr>
          <w:p w14:paraId="1DA934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资格评审标准</w:t>
            </w:r>
          </w:p>
        </w:tc>
        <w:tc>
          <w:tcPr>
            <w:tcW w:w="998" w:type="dxa"/>
            <w:vMerge w:val="restart"/>
            <w:noWrap w:val="0"/>
            <w:vAlign w:val="center"/>
          </w:tcPr>
          <w:p w14:paraId="0AB519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□合格制</w:t>
            </w:r>
          </w:p>
        </w:tc>
        <w:tc>
          <w:tcPr>
            <w:tcW w:w="7969" w:type="dxa"/>
            <w:gridSpan w:val="7"/>
            <w:noWrap w:val="0"/>
            <w:vAlign w:val="center"/>
          </w:tcPr>
          <w:p w14:paraId="5FB7D1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合格标准：缺少任何一项或有任何一项不合格者，其资格审查视为不合格</w:t>
            </w:r>
          </w:p>
        </w:tc>
      </w:tr>
      <w:tr w14:paraId="1155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noWrap w:val="0"/>
            <w:vAlign w:val="center"/>
          </w:tcPr>
          <w:p w14:paraId="00AB7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34EB86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DF91E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1AC7DB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投标文件签署</w:t>
            </w:r>
          </w:p>
        </w:tc>
        <w:tc>
          <w:tcPr>
            <w:tcW w:w="5714" w:type="dxa"/>
            <w:gridSpan w:val="3"/>
            <w:noWrap w:val="0"/>
            <w:vAlign w:val="center"/>
          </w:tcPr>
          <w:p w14:paraId="41897B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投标人在招标文件规定的投标文件相关位置加盖投标人法人单位电子印章</w:t>
            </w:r>
            <w:r>
              <w:rPr>
                <w:rFonts w:hint="eastAsia" w:ascii="Times New Roman" w:hAnsi="Times New Roman" w:eastAsia="宋体" w:cs="宋体"/>
                <w:color w:val="auto"/>
                <w:sz w:val="21"/>
                <w:szCs w:val="21"/>
                <w:highlight w:val="none"/>
              </w:rPr>
              <w:t>（联合体协议书可以由联合体各方在纸质文件上加盖法人</w:t>
            </w:r>
            <w:r>
              <w:rPr>
                <w:rFonts w:hint="eastAsia" w:ascii="Times New Roman" w:hAnsi="Times New Roman" w:eastAsia="宋体" w:cs="宋体"/>
                <w:color w:val="auto"/>
                <w:sz w:val="21"/>
                <w:szCs w:val="21"/>
                <w:highlight w:val="none"/>
                <w:lang w:eastAsia="zh-CN"/>
              </w:rPr>
              <w:t>单</w:t>
            </w:r>
            <w:r>
              <w:rPr>
                <w:rFonts w:hint="eastAsia" w:cs="宋体"/>
                <w:color w:val="auto"/>
                <w:sz w:val="21"/>
                <w:szCs w:val="21"/>
                <w:highlight w:val="none"/>
                <w:lang w:eastAsia="zh-CN"/>
              </w:rPr>
              <w:t>位公</w:t>
            </w:r>
            <w:r>
              <w:rPr>
                <w:rFonts w:hint="eastAsia" w:ascii="Times New Roman" w:hAnsi="Times New Roman" w:eastAsia="宋体" w:cs="宋体"/>
                <w:color w:val="auto"/>
                <w:sz w:val="21"/>
                <w:szCs w:val="21"/>
                <w:highlight w:val="none"/>
              </w:rPr>
              <w:t>章再扫描上传</w:t>
            </w:r>
            <w:r>
              <w:rPr>
                <w:rFonts w:hint="eastAsia" w:cs="宋体"/>
                <w:color w:val="auto"/>
                <w:sz w:val="21"/>
                <w:szCs w:val="21"/>
                <w:highlight w:val="none"/>
                <w:lang w:eastAsia="zh-CN"/>
              </w:rPr>
              <w:t>，</w:t>
            </w:r>
            <w:r>
              <w:rPr>
                <w:rFonts w:hint="eastAsia" w:cs="宋体"/>
                <w:color w:val="auto"/>
                <w:sz w:val="21"/>
                <w:szCs w:val="21"/>
                <w:highlight w:val="none"/>
                <w:lang w:val="en-US" w:eastAsia="zh-CN"/>
              </w:rPr>
              <w:t>也可以盖法人单位电子印章</w:t>
            </w:r>
            <w:r>
              <w:rPr>
                <w:rFonts w:hint="eastAsia" w:ascii="Times New Roman" w:hAnsi="Times New Roman" w:eastAsia="宋体" w:cs="宋体"/>
                <w:color w:val="auto"/>
                <w:sz w:val="21"/>
                <w:szCs w:val="21"/>
                <w:highlight w:val="none"/>
              </w:rPr>
              <w:t>）</w:t>
            </w:r>
          </w:p>
        </w:tc>
      </w:tr>
      <w:tr w14:paraId="5CDD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69" w:hRule="atLeast"/>
          <w:jc w:val="center"/>
        </w:trPr>
        <w:tc>
          <w:tcPr>
            <w:tcW w:w="780" w:type="dxa"/>
            <w:gridSpan w:val="2"/>
            <w:vMerge w:val="continue"/>
            <w:noWrap w:val="0"/>
            <w:vAlign w:val="center"/>
          </w:tcPr>
          <w:p w14:paraId="241DE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5DCFE9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E79E1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27897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营业执照</w:t>
            </w:r>
          </w:p>
        </w:tc>
        <w:tc>
          <w:tcPr>
            <w:tcW w:w="5714" w:type="dxa"/>
            <w:gridSpan w:val="3"/>
            <w:noWrap w:val="0"/>
            <w:vAlign w:val="center"/>
          </w:tcPr>
          <w:p w14:paraId="04D1CD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具备有效的营业执照</w:t>
            </w:r>
          </w:p>
        </w:tc>
      </w:tr>
      <w:tr w14:paraId="2B8E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05" w:hRule="atLeast"/>
          <w:jc w:val="center"/>
        </w:trPr>
        <w:tc>
          <w:tcPr>
            <w:tcW w:w="780" w:type="dxa"/>
            <w:gridSpan w:val="2"/>
            <w:vMerge w:val="continue"/>
            <w:noWrap w:val="0"/>
            <w:vAlign w:val="center"/>
          </w:tcPr>
          <w:p w14:paraId="124621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09A37C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AB464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1331F4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安全生产许可证</w:t>
            </w:r>
          </w:p>
        </w:tc>
        <w:tc>
          <w:tcPr>
            <w:tcW w:w="5714" w:type="dxa"/>
            <w:gridSpan w:val="3"/>
            <w:noWrap w:val="0"/>
            <w:vAlign w:val="center"/>
          </w:tcPr>
          <w:p w14:paraId="52996A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具备有效的安全生产许可证</w:t>
            </w:r>
          </w:p>
        </w:tc>
      </w:tr>
      <w:tr w14:paraId="5D9E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noWrap w:val="0"/>
            <w:vAlign w:val="center"/>
          </w:tcPr>
          <w:p w14:paraId="043B49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7921A6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6A07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468EB5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资质等级</w:t>
            </w:r>
          </w:p>
        </w:tc>
        <w:tc>
          <w:tcPr>
            <w:tcW w:w="5714" w:type="dxa"/>
            <w:gridSpan w:val="3"/>
            <w:noWrap w:val="0"/>
            <w:vAlign w:val="center"/>
          </w:tcPr>
          <w:p w14:paraId="7511D5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1DBE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62" w:hRule="atLeast"/>
          <w:jc w:val="center"/>
        </w:trPr>
        <w:tc>
          <w:tcPr>
            <w:tcW w:w="780" w:type="dxa"/>
            <w:gridSpan w:val="2"/>
            <w:vMerge w:val="continue"/>
            <w:noWrap w:val="0"/>
            <w:vAlign w:val="center"/>
          </w:tcPr>
          <w:p w14:paraId="5FE9F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74F14B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1F9858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49A208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财务状况</w:t>
            </w:r>
          </w:p>
        </w:tc>
        <w:tc>
          <w:tcPr>
            <w:tcW w:w="5714" w:type="dxa"/>
            <w:gridSpan w:val="3"/>
            <w:noWrap w:val="0"/>
            <w:vAlign w:val="center"/>
          </w:tcPr>
          <w:p w14:paraId="52888D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25CD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noWrap w:val="0"/>
            <w:vAlign w:val="center"/>
          </w:tcPr>
          <w:p w14:paraId="769B11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578942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76E65A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25149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类似工程业绩</w:t>
            </w:r>
            <w:r>
              <w:rPr>
                <w:rFonts w:hint="eastAsia" w:ascii="楷体_GB2312" w:hAnsi="Calibri" w:eastAsia="楷体_GB2312" w:cs="楷体_GB2312"/>
                <w:color w:val="auto"/>
                <w:highlight w:val="none"/>
                <w:shd w:val="clear" w:color="auto" w:fill="auto"/>
              </w:rPr>
              <w:t>（如有）</w:t>
            </w:r>
          </w:p>
        </w:tc>
        <w:tc>
          <w:tcPr>
            <w:tcW w:w="5714" w:type="dxa"/>
            <w:gridSpan w:val="3"/>
            <w:noWrap w:val="0"/>
            <w:vAlign w:val="center"/>
          </w:tcPr>
          <w:p w14:paraId="55546C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45D4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64" w:hRule="atLeast"/>
          <w:jc w:val="center"/>
        </w:trPr>
        <w:tc>
          <w:tcPr>
            <w:tcW w:w="780" w:type="dxa"/>
            <w:gridSpan w:val="2"/>
            <w:vMerge w:val="continue"/>
            <w:noWrap w:val="0"/>
            <w:vAlign w:val="center"/>
          </w:tcPr>
          <w:p w14:paraId="4D1734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3DFC33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3265B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357E2F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诚信</w:t>
            </w:r>
          </w:p>
        </w:tc>
        <w:tc>
          <w:tcPr>
            <w:tcW w:w="5714" w:type="dxa"/>
            <w:gridSpan w:val="3"/>
            <w:noWrap w:val="0"/>
            <w:vAlign w:val="center"/>
          </w:tcPr>
          <w:p w14:paraId="506DE2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0312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958" w:hRule="atLeast"/>
          <w:jc w:val="center"/>
        </w:trPr>
        <w:tc>
          <w:tcPr>
            <w:tcW w:w="780" w:type="dxa"/>
            <w:gridSpan w:val="2"/>
            <w:vMerge w:val="continue"/>
            <w:noWrap w:val="0"/>
            <w:vAlign w:val="center"/>
          </w:tcPr>
          <w:p w14:paraId="621DF1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13717B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70B22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550291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项目经理</w:t>
            </w:r>
          </w:p>
        </w:tc>
        <w:tc>
          <w:tcPr>
            <w:tcW w:w="5714" w:type="dxa"/>
            <w:gridSpan w:val="3"/>
            <w:noWrap w:val="0"/>
            <w:vAlign w:val="center"/>
          </w:tcPr>
          <w:p w14:paraId="2B6A7E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宋体"/>
                <w:color w:val="auto"/>
                <w:highlight w:val="none"/>
                <w:shd w:val="clear" w:color="auto" w:fill="auto"/>
              </w:rPr>
              <w:t>1.4.1</w:t>
            </w:r>
            <w:r>
              <w:rPr>
                <w:rFonts w:hint="eastAsia" w:ascii="Calibri" w:hAnsi="Calibri" w:eastAsia="宋体" w:cs="宋体"/>
                <w:color w:val="auto"/>
                <w:highlight w:val="none"/>
                <w:shd w:val="clear" w:color="auto" w:fill="auto"/>
              </w:rPr>
              <w:t>项规定，且和开标时身份证验证的项目经理一致</w:t>
            </w:r>
          </w:p>
        </w:tc>
      </w:tr>
      <w:tr w14:paraId="3593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984" w:hRule="atLeast"/>
          <w:jc w:val="center"/>
        </w:trPr>
        <w:tc>
          <w:tcPr>
            <w:tcW w:w="780" w:type="dxa"/>
            <w:gridSpan w:val="2"/>
            <w:vMerge w:val="continue"/>
            <w:noWrap w:val="0"/>
            <w:vAlign w:val="center"/>
          </w:tcPr>
          <w:p w14:paraId="712B44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541EAC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24F2E3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178B54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专职安全生产管理人员</w:t>
            </w:r>
          </w:p>
        </w:tc>
        <w:tc>
          <w:tcPr>
            <w:tcW w:w="5714" w:type="dxa"/>
            <w:gridSpan w:val="3"/>
            <w:noWrap w:val="0"/>
            <w:vAlign w:val="center"/>
          </w:tcPr>
          <w:p w14:paraId="4387A6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宋体"/>
                <w:color w:val="auto"/>
                <w:highlight w:val="none"/>
                <w:shd w:val="clear" w:color="auto" w:fill="auto"/>
              </w:rPr>
              <w:t>1.4.1</w:t>
            </w:r>
            <w:r>
              <w:rPr>
                <w:rFonts w:hint="eastAsia" w:ascii="Calibri" w:hAnsi="Calibri" w:eastAsia="宋体" w:cs="宋体"/>
                <w:color w:val="auto"/>
                <w:highlight w:val="none"/>
                <w:shd w:val="clear" w:color="auto" w:fill="auto"/>
              </w:rPr>
              <w:t>项规定，且和开标时身份证验证的专职安全生产管理人员一致</w:t>
            </w:r>
          </w:p>
        </w:tc>
      </w:tr>
      <w:tr w14:paraId="47E9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454" w:hRule="atLeast"/>
          <w:jc w:val="center"/>
        </w:trPr>
        <w:tc>
          <w:tcPr>
            <w:tcW w:w="780" w:type="dxa"/>
            <w:gridSpan w:val="2"/>
            <w:vMerge w:val="continue"/>
            <w:noWrap w:val="0"/>
            <w:vAlign w:val="center"/>
          </w:tcPr>
          <w:p w14:paraId="300099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4980AA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3BF39D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570290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联合体投标人</w:t>
            </w:r>
            <w:r>
              <w:rPr>
                <w:rFonts w:hint="eastAsia" w:ascii="楷体_GB2312" w:hAnsi="Calibri" w:eastAsia="楷体_GB2312" w:cs="楷体_GB2312"/>
                <w:color w:val="auto"/>
                <w:highlight w:val="none"/>
                <w:shd w:val="clear" w:color="auto" w:fill="auto"/>
              </w:rPr>
              <w:t>（如有）</w:t>
            </w:r>
          </w:p>
        </w:tc>
        <w:tc>
          <w:tcPr>
            <w:tcW w:w="5714" w:type="dxa"/>
            <w:gridSpan w:val="3"/>
            <w:noWrap w:val="0"/>
            <w:vAlign w:val="center"/>
          </w:tcPr>
          <w:p w14:paraId="5AFC9F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1.4.2</w:t>
            </w:r>
            <w:r>
              <w:rPr>
                <w:rFonts w:hint="eastAsia" w:ascii="Calibri" w:hAnsi="Calibri" w:eastAsia="宋体" w:cs="宋体"/>
                <w:color w:val="auto"/>
                <w:highlight w:val="none"/>
                <w:shd w:val="clear" w:color="auto" w:fill="auto"/>
              </w:rPr>
              <w:t>项规定</w:t>
            </w:r>
          </w:p>
        </w:tc>
      </w:tr>
      <w:tr w14:paraId="0717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96" w:hRule="atLeast"/>
          <w:jc w:val="center"/>
        </w:trPr>
        <w:tc>
          <w:tcPr>
            <w:tcW w:w="780" w:type="dxa"/>
            <w:gridSpan w:val="2"/>
            <w:vMerge w:val="continue"/>
            <w:noWrap w:val="0"/>
            <w:vAlign w:val="center"/>
          </w:tcPr>
          <w:p w14:paraId="56CC9E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515C3F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679998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444B3F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投标保证金</w:t>
            </w:r>
          </w:p>
        </w:tc>
        <w:tc>
          <w:tcPr>
            <w:tcW w:w="5714" w:type="dxa"/>
            <w:gridSpan w:val="3"/>
            <w:noWrap w:val="0"/>
            <w:vAlign w:val="center"/>
          </w:tcPr>
          <w:p w14:paraId="09205D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3.4.1</w:t>
            </w:r>
            <w:r>
              <w:rPr>
                <w:rFonts w:hint="eastAsia" w:ascii="Calibri" w:hAnsi="Calibri" w:eastAsia="宋体" w:cs="宋体"/>
                <w:color w:val="auto"/>
                <w:highlight w:val="none"/>
                <w:shd w:val="clear" w:color="auto" w:fill="auto"/>
              </w:rPr>
              <w:t>项规定</w:t>
            </w:r>
          </w:p>
        </w:tc>
      </w:tr>
      <w:tr w14:paraId="7BB4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461" w:hRule="atLeast"/>
          <w:jc w:val="center"/>
        </w:trPr>
        <w:tc>
          <w:tcPr>
            <w:tcW w:w="780" w:type="dxa"/>
            <w:gridSpan w:val="2"/>
            <w:vMerge w:val="continue"/>
            <w:noWrap w:val="0"/>
            <w:vAlign w:val="center"/>
          </w:tcPr>
          <w:p w14:paraId="49189A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384" w:type="dxa"/>
            <w:vMerge w:val="continue"/>
            <w:noWrap w:val="0"/>
            <w:vAlign w:val="center"/>
          </w:tcPr>
          <w:p w14:paraId="4554F4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998" w:type="dxa"/>
            <w:vMerge w:val="continue"/>
            <w:noWrap w:val="0"/>
            <w:vAlign w:val="center"/>
          </w:tcPr>
          <w:p w14:paraId="05848F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2255" w:type="dxa"/>
            <w:gridSpan w:val="4"/>
            <w:noWrap w:val="0"/>
            <w:vAlign w:val="center"/>
          </w:tcPr>
          <w:p w14:paraId="36458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其他要求</w:t>
            </w:r>
            <w:r>
              <w:rPr>
                <w:rFonts w:hint="eastAsia" w:ascii="Calibri" w:hAnsi="Calibri" w:eastAsia="楷体_GB2312" w:cs="楷体_GB2312"/>
                <w:color w:val="auto"/>
                <w:highlight w:val="none"/>
                <w:shd w:val="clear" w:color="auto" w:fill="auto"/>
              </w:rPr>
              <w:t>【</w:t>
            </w:r>
            <w:r>
              <w:rPr>
                <w:rFonts w:hint="eastAsia" w:ascii="楷体_GB2312" w:hAnsi="Calibri" w:eastAsia="楷体_GB2312" w:cs="楷体_GB2312"/>
                <w:color w:val="auto"/>
                <w:highlight w:val="none"/>
                <w:shd w:val="clear" w:color="auto" w:fill="auto"/>
              </w:rPr>
              <w:t>备注：招标人可根据招标项目情况自主调整</w:t>
            </w:r>
            <w:r>
              <w:rPr>
                <w:rFonts w:hint="eastAsia" w:ascii="Calibri" w:hAnsi="Calibri" w:eastAsia="楷体_GB2312" w:cs="楷体_GB2312"/>
                <w:color w:val="auto"/>
                <w:highlight w:val="none"/>
                <w:shd w:val="clear" w:color="auto" w:fill="auto"/>
              </w:rPr>
              <w:t>】</w:t>
            </w:r>
          </w:p>
        </w:tc>
        <w:tc>
          <w:tcPr>
            <w:tcW w:w="5714" w:type="dxa"/>
            <w:gridSpan w:val="3"/>
            <w:noWrap w:val="0"/>
            <w:vAlign w:val="center"/>
          </w:tcPr>
          <w:p w14:paraId="7C322E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项规定且按规定提交了第二章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投标人须知前附表</w:t>
            </w:r>
            <w:r>
              <w:rPr>
                <w:rFonts w:hint="default" w:ascii="Calibri" w:hAnsi="Calibri" w:eastAsia="宋体" w:cs="Times New Roman"/>
                <w:color w:val="auto"/>
                <w:highlight w:val="none"/>
                <w:shd w:val="clear" w:color="auto" w:fill="auto"/>
              </w:rPr>
              <w:t>”3.1.1</w:t>
            </w:r>
            <w:r>
              <w:rPr>
                <w:rFonts w:hint="eastAsia" w:ascii="Calibri" w:hAnsi="Calibri" w:eastAsia="宋体" w:cs="宋体"/>
                <w:color w:val="auto"/>
                <w:highlight w:val="none"/>
                <w:shd w:val="clear" w:color="auto" w:fill="auto"/>
              </w:rPr>
              <w:t>项资格审查部分（</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）项内容的。</w:t>
            </w:r>
          </w:p>
          <w:p w14:paraId="23E54F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w:t>
            </w:r>
            <w:r>
              <w:rPr>
                <w:rFonts w:hint="eastAsia" w:ascii="Calibri" w:hAnsi="Calibri" w:eastAsia="楷体_GB2312" w:cs="楷体_GB2312"/>
                <w:color w:val="auto"/>
                <w:highlight w:val="none"/>
                <w:shd w:val="clear" w:color="auto" w:fill="auto"/>
              </w:rPr>
              <w:t>如：项目经理</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专职投标员</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技术负责人</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专职安全生产管理人员</w:t>
            </w:r>
            <w:r>
              <w:rPr>
                <w:rFonts w:hint="default"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其它管理人员在现任职单位的近</w:t>
            </w:r>
            <w:r>
              <w:rPr>
                <w:rFonts w:hint="eastAsia" w:ascii="Calibri" w:hAnsi="Calibri" w:eastAsia="楷体_GB2312"/>
                <w:color w:val="auto"/>
                <w:highlight w:val="none"/>
                <w:shd w:val="clear" w:color="auto" w:fill="auto"/>
              </w:rPr>
              <w:t>1个月（</w:t>
            </w:r>
            <w:r>
              <w:rPr>
                <w:rFonts w:hint="eastAsia" w:ascii="Calibri" w:hAnsi="Calibri" w:eastAsia="楷体_GB2312"/>
                <w:color w:val="auto"/>
                <w:highlight w:val="none"/>
                <w:u w:val="single"/>
                <w:shd w:val="clear" w:color="auto" w:fill="auto"/>
              </w:rPr>
              <w:t xml:space="preserve">  </w:t>
            </w:r>
            <w:r>
              <w:rPr>
                <w:rFonts w:hint="eastAsia" w:ascii="Calibri" w:hAnsi="Calibri" w:eastAsia="楷体_GB2312"/>
                <w:color w:val="auto"/>
                <w:highlight w:val="none"/>
                <w:shd w:val="clear" w:color="auto" w:fill="auto"/>
              </w:rPr>
              <w:t>年</w:t>
            </w:r>
            <w:r>
              <w:rPr>
                <w:rFonts w:hint="eastAsia" w:ascii="Calibri" w:hAnsi="Calibri" w:eastAsia="楷体_GB2312"/>
                <w:color w:val="auto"/>
                <w:highlight w:val="none"/>
                <w:u w:val="single"/>
                <w:shd w:val="clear" w:color="auto" w:fill="auto"/>
              </w:rPr>
              <w:t xml:space="preserve">  </w:t>
            </w:r>
            <w:r>
              <w:rPr>
                <w:rFonts w:hint="eastAsia" w:ascii="Calibri" w:hAnsi="Calibri" w:eastAsia="楷体_GB2312"/>
                <w:color w:val="auto"/>
                <w:highlight w:val="none"/>
                <w:shd w:val="clear" w:color="auto" w:fill="auto"/>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Calibri" w:hAnsi="Calibri" w:eastAsia="楷体_GB2312"/>
                <w:color w:val="auto"/>
                <w:highlight w:val="none"/>
                <w:shd w:val="clear" w:color="auto" w:fill="auto"/>
              </w:rPr>
              <w:t>）</w:t>
            </w:r>
            <w:r>
              <w:rPr>
                <w:rFonts w:hint="eastAsia" w:ascii="Calibri" w:hAnsi="Calibri" w:eastAsia="楷体_GB2312" w:cs="楷体_GB2312"/>
                <w:color w:val="auto"/>
                <w:highlight w:val="none"/>
                <w:shd w:val="clear" w:color="auto" w:fill="auto"/>
              </w:rPr>
              <w:t>的社会保险缴纳情况（已</w:t>
            </w:r>
            <w:r>
              <w:rPr>
                <w:rFonts w:hint="default" w:ascii="Calibri" w:hAnsi="Calibri" w:eastAsia="楷体_GB2312" w:cs="楷体_GB2312"/>
                <w:color w:val="auto"/>
                <w:highlight w:val="none"/>
                <w:shd w:val="clear" w:color="auto" w:fill="auto"/>
              </w:rPr>
              <w:t>退休未满</w:t>
            </w:r>
            <w:r>
              <w:rPr>
                <w:rFonts w:hint="eastAsia" w:ascii="Calibri" w:hAnsi="Calibri" w:eastAsia="楷体_GB2312" w:cs="楷体_GB2312"/>
                <w:color w:val="auto"/>
                <w:highlight w:val="none"/>
                <w:shd w:val="clear" w:color="auto" w:fill="auto"/>
              </w:rPr>
              <w:t>65岁的项目经理不</w:t>
            </w:r>
            <w:r>
              <w:rPr>
                <w:rFonts w:hint="default" w:ascii="Calibri" w:hAnsi="Calibri" w:eastAsia="楷体_GB2312" w:cs="楷体_GB2312"/>
                <w:color w:val="auto"/>
                <w:highlight w:val="none"/>
                <w:shd w:val="clear" w:color="auto" w:fill="auto"/>
              </w:rPr>
              <w:t>用提供社保</w:t>
            </w:r>
            <w:r>
              <w:rPr>
                <w:rFonts w:hint="eastAsia" w:ascii="Calibri" w:hAnsi="Calibri" w:eastAsia="楷体_GB2312" w:cs="楷体_GB2312"/>
                <w:color w:val="auto"/>
                <w:highlight w:val="none"/>
                <w:shd w:val="clear" w:color="auto" w:fill="auto"/>
              </w:rPr>
              <w:t>，但应附退休证明文件的扫描件，且建造</w:t>
            </w:r>
            <w:r>
              <w:rPr>
                <w:rFonts w:hint="default" w:ascii="Calibri" w:hAnsi="Calibri" w:eastAsia="楷体_GB2312" w:cs="楷体_GB2312"/>
                <w:color w:val="auto"/>
                <w:highlight w:val="none"/>
                <w:shd w:val="clear" w:color="auto" w:fill="auto"/>
              </w:rPr>
              <w:t>师注册单位与投标单位一致</w:t>
            </w:r>
            <w:r>
              <w:rPr>
                <w:rFonts w:hint="eastAsia" w:ascii="Calibri" w:hAnsi="Calibri" w:eastAsia="楷体_GB2312" w:cs="楷体_GB2312"/>
                <w:color w:val="auto"/>
                <w:highlight w:val="none"/>
                <w:shd w:val="clear" w:color="auto" w:fill="auto"/>
              </w:rPr>
              <w:t>）、建设工程项目管理承诺（同“投标人须知前附表”</w:t>
            </w:r>
            <w:r>
              <w:rPr>
                <w:rFonts w:hint="default" w:ascii="Calibri" w:hAnsi="Calibri" w:eastAsia="楷体_GB2312"/>
                <w:color w:val="auto"/>
                <w:highlight w:val="none"/>
                <w:shd w:val="clear" w:color="auto" w:fill="auto"/>
              </w:rPr>
              <w:t>3.1.1</w:t>
            </w:r>
            <w:r>
              <w:rPr>
                <w:rFonts w:hint="eastAsia" w:ascii="Calibri" w:hAnsi="Calibri" w:eastAsia="楷体_GB2312" w:cs="楷体_GB2312"/>
                <w:color w:val="auto"/>
                <w:highlight w:val="none"/>
                <w:shd w:val="clear" w:color="auto" w:fill="auto"/>
              </w:rPr>
              <w:t>要求）</w:t>
            </w:r>
            <w:r>
              <w:rPr>
                <w:rFonts w:hint="eastAsia" w:ascii="Calibri" w:hAnsi="Calibri" w:eastAsia="楷体_GB2312" w:cs="楷体_GB2312"/>
                <w:color w:val="auto"/>
                <w:highlight w:val="none"/>
                <w:shd w:val="clear" w:color="auto" w:fill="auto"/>
                <w:lang w:eastAsia="zh-CN"/>
              </w:rPr>
              <w:t>……</w:t>
            </w:r>
            <w:r>
              <w:rPr>
                <w:rFonts w:hint="eastAsia" w:ascii="Calibri" w:hAnsi="Calibri" w:eastAsia="宋体" w:cs="宋体"/>
                <w:color w:val="auto"/>
                <w:highlight w:val="none"/>
                <w:shd w:val="clear" w:color="auto" w:fill="auto"/>
              </w:rPr>
              <w:t>】</w:t>
            </w:r>
          </w:p>
        </w:tc>
      </w:tr>
      <w:tr w14:paraId="3360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3818" w:hRule="atLeast"/>
          <w:jc w:val="center"/>
        </w:trPr>
        <w:tc>
          <w:tcPr>
            <w:tcW w:w="780" w:type="dxa"/>
            <w:gridSpan w:val="2"/>
            <w:vMerge w:val="continue"/>
            <w:noWrap w:val="0"/>
            <w:vAlign w:val="center"/>
          </w:tcPr>
          <w:p w14:paraId="570214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restart"/>
            <w:noWrap w:val="0"/>
            <w:vAlign w:val="center"/>
          </w:tcPr>
          <w:p w14:paraId="170B32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restart"/>
            <w:noWrap w:val="0"/>
            <w:vAlign w:val="center"/>
          </w:tcPr>
          <w:p w14:paraId="365AD4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□有限数量制</w:t>
            </w:r>
          </w:p>
        </w:tc>
        <w:tc>
          <w:tcPr>
            <w:tcW w:w="7257" w:type="dxa"/>
            <w:gridSpan w:val="4"/>
            <w:noWrap w:val="0"/>
            <w:vAlign w:val="center"/>
          </w:tcPr>
          <w:p w14:paraId="3C6054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1.</w:t>
            </w:r>
            <w:r>
              <w:rPr>
                <w:rFonts w:hint="eastAsia" w:ascii="Calibri" w:hAnsi="Calibri" w:eastAsia="宋体" w:cs="宋体"/>
                <w:color w:val="auto"/>
                <w:highlight w:val="none"/>
                <w:shd w:val="clear" w:color="auto" w:fill="auto"/>
              </w:rPr>
              <w:t>投标人符合第二章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w:t>
            </w:r>
            <w:r>
              <w:rPr>
                <w:rFonts w:hint="eastAsia" w:ascii="Calibri" w:hAnsi="Calibri" w:eastAsia="宋体" w:cs="宋体"/>
                <w:color w:val="auto"/>
                <w:highlight w:val="none"/>
                <w:shd w:val="clear" w:color="auto" w:fill="auto"/>
              </w:rPr>
              <w:t>项规定的，且按规定提交了第二章</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投标人须知前附表</w:t>
            </w:r>
            <w:r>
              <w:rPr>
                <w:rFonts w:hint="default" w:ascii="Calibri" w:hAnsi="Calibri" w:eastAsia="宋体" w:cs="Times New Roman"/>
                <w:color w:val="auto"/>
                <w:highlight w:val="none"/>
                <w:shd w:val="clear" w:color="auto" w:fill="auto"/>
              </w:rPr>
              <w:t>”3.1.1</w:t>
            </w:r>
            <w:r>
              <w:rPr>
                <w:rFonts w:hint="eastAsia" w:ascii="Calibri" w:hAnsi="Calibri" w:eastAsia="宋体" w:cs="宋体"/>
                <w:color w:val="auto"/>
                <w:highlight w:val="none"/>
                <w:shd w:val="clear" w:color="auto" w:fill="auto"/>
              </w:rPr>
              <w:t>项资格审查部分（</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）项内容的，方可进行资格审查评分。</w:t>
            </w:r>
          </w:p>
          <w:p w14:paraId="450331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2.</w:t>
            </w:r>
            <w:r>
              <w:rPr>
                <w:rFonts w:hint="eastAsia" w:ascii="Calibri" w:hAnsi="Calibri" w:eastAsia="宋体" w:cs="宋体"/>
                <w:color w:val="auto"/>
                <w:highlight w:val="none"/>
                <w:shd w:val="clear" w:color="auto" w:fill="auto"/>
              </w:rPr>
              <w:t>资格后审总分满分为</w:t>
            </w:r>
            <w:r>
              <w:rPr>
                <w:rFonts w:hint="default" w:ascii="Calibri" w:hAnsi="Calibri" w:eastAsia="宋体" w:cs="Times New Roman"/>
                <w:color w:val="auto"/>
                <w:highlight w:val="none"/>
                <w:shd w:val="clear" w:color="auto" w:fill="auto"/>
              </w:rPr>
              <w:t>100</w:t>
            </w:r>
            <w:r>
              <w:rPr>
                <w:rFonts w:hint="eastAsia" w:ascii="Calibri" w:hAnsi="Calibri" w:eastAsia="宋体" w:cs="宋体"/>
                <w:color w:val="auto"/>
                <w:highlight w:val="none"/>
                <w:shd w:val="clear" w:color="auto" w:fill="auto"/>
              </w:rPr>
              <w:t>分，总分</w:t>
            </w:r>
            <w:r>
              <w:rPr>
                <w:rFonts w:hint="default" w:ascii="Calibri" w:hAnsi="Calibri" w:eastAsia="宋体" w:cs="Times New Roman"/>
                <w:color w:val="auto"/>
                <w:highlight w:val="none"/>
                <w:shd w:val="clear" w:color="auto" w:fill="auto"/>
              </w:rPr>
              <w:t>60</w:t>
            </w:r>
            <w:r>
              <w:rPr>
                <w:rFonts w:hint="eastAsia" w:ascii="Calibri" w:hAnsi="Calibri" w:eastAsia="宋体" w:cs="宋体"/>
                <w:color w:val="auto"/>
                <w:highlight w:val="none"/>
                <w:shd w:val="clear" w:color="auto" w:fill="auto"/>
              </w:rPr>
              <w:t>分及以上为合格，按得分由高到低的顺序选择</w:t>
            </w:r>
            <w:r>
              <w:rPr>
                <w:rFonts w:hint="eastAsia" w:ascii="Calibri" w:hAnsi="Calibri" w:eastAsia="宋体" w:cs="宋体"/>
                <w:color w:val="auto"/>
                <w:highlight w:val="none"/>
                <w:u w:val="single"/>
                <w:shd w:val="clear" w:color="auto" w:fill="auto"/>
              </w:rPr>
              <w:t>（</w:t>
            </w:r>
            <w:r>
              <w:rPr>
                <w:rFonts w:hint="eastAsia" w:ascii="Calibri" w:hAnsi="Calibri" w:eastAsia="宋体" w:cs="Times New Roman"/>
                <w:color w:val="auto"/>
                <w:highlight w:val="none"/>
                <w:u w:val="single"/>
                <w:shd w:val="clear" w:color="auto" w:fill="auto"/>
                <w:lang w:eastAsia="zh-CN"/>
              </w:rPr>
              <w:t>7</w:t>
            </w:r>
            <w:r>
              <w:rPr>
                <w:rFonts w:hint="default" w:ascii="Calibri" w:hAnsi="Calibri" w:eastAsia="宋体" w:cs="Times New Roman"/>
                <w:color w:val="auto"/>
                <w:highlight w:val="none"/>
                <w:u w:val="single"/>
                <w:shd w:val="clear" w:color="auto" w:fill="auto"/>
              </w:rPr>
              <w:t>-15</w:t>
            </w:r>
            <w:r>
              <w:rPr>
                <w:rFonts w:hint="eastAsia" w:ascii="Calibri" w:hAnsi="Calibri" w:eastAsia="宋体" w:cs="宋体"/>
                <w:color w:val="auto"/>
                <w:highlight w:val="none"/>
                <w:u w:val="single"/>
                <w:shd w:val="clear" w:color="auto" w:fill="auto"/>
              </w:rPr>
              <w:t>）</w:t>
            </w:r>
            <w:r>
              <w:rPr>
                <w:rFonts w:hint="eastAsia" w:ascii="Calibri" w:hAnsi="Calibri" w:eastAsia="宋体" w:cs="宋体"/>
                <w:color w:val="auto"/>
                <w:highlight w:val="none"/>
                <w:shd w:val="clear" w:color="auto" w:fill="auto"/>
              </w:rPr>
              <w:t>家投标单位作为合格投标人进入本工程的下一阶段评审，如前第</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名有得分相同的，则一并进入下一阶段评审，如参加投标的单位不足</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名（含</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名），则全部达到合格分数线的投标人进入下一阶段评审。</w:t>
            </w:r>
          </w:p>
          <w:p w14:paraId="1C4C52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楷体_GB2312" w:cs="楷体_GB2312"/>
                <w:color w:val="auto"/>
                <w:highlight w:val="none"/>
                <w:shd w:val="clear" w:color="auto" w:fill="auto"/>
              </w:rPr>
            </w:pPr>
            <w:r>
              <w:rPr>
                <w:rFonts w:hint="eastAsia" w:cs="Times New Roman"/>
                <w:b/>
                <w:bCs/>
                <w:color w:val="auto"/>
                <w:highlight w:val="none"/>
                <w:lang w:val="en-US" w:eastAsia="zh-CN"/>
              </w:rPr>
              <w:t>3.技术标</w:t>
            </w:r>
            <w:r>
              <w:rPr>
                <w:rFonts w:hint="eastAsia" w:ascii="Times New Roman" w:hAnsi="Times New Roman" w:eastAsia="宋体" w:cs="Times New Roman"/>
                <w:b/>
                <w:bCs/>
                <w:color w:val="auto"/>
                <w:highlight w:val="none"/>
                <w:lang w:eastAsia="zh-CN"/>
              </w:rPr>
              <w:t>详细评审中</w:t>
            </w:r>
            <w:r>
              <w:rPr>
                <w:rFonts w:hint="eastAsia" w:cs="Times New Roman"/>
                <w:b/>
                <w:bCs/>
                <w:color w:val="auto"/>
                <w:highlight w:val="none"/>
                <w:lang w:eastAsia="zh-CN"/>
              </w:rPr>
              <w:t>，</w:t>
            </w:r>
            <w:r>
              <w:rPr>
                <w:rFonts w:hint="eastAsia" w:cs="Times New Roman"/>
                <w:b/>
                <w:bCs/>
                <w:color w:val="auto"/>
                <w:highlight w:val="none"/>
                <w:lang w:val="en-US" w:eastAsia="zh-CN"/>
              </w:rPr>
              <w:t>因否决投标导致参与详细评审的投标人少于3家时，可以从资格评审合格的投标人中递补满足第2点要求的投标人数量进入详细评审，其余情形</w:t>
            </w:r>
            <w:r>
              <w:rPr>
                <w:rFonts w:hint="eastAsia" w:ascii="Times New Roman" w:hAnsi="Times New Roman" w:eastAsia="宋体" w:cs="Times New Roman"/>
                <w:b/>
                <w:bCs/>
                <w:color w:val="auto"/>
                <w:highlight w:val="none"/>
                <w:lang w:eastAsia="zh-CN"/>
              </w:rPr>
              <w:t>不再递补</w:t>
            </w:r>
            <w:r>
              <w:rPr>
                <w:rFonts w:hint="eastAsia" w:cs="Times New Roman"/>
                <w:b/>
                <w:bCs/>
                <w:color w:val="auto"/>
                <w:highlight w:val="none"/>
                <w:lang w:val="en-US" w:eastAsia="zh-CN"/>
              </w:rPr>
              <w:t>进入详细评审的</w:t>
            </w:r>
            <w:r>
              <w:rPr>
                <w:rFonts w:hint="eastAsia" w:ascii="Times New Roman" w:hAnsi="Times New Roman" w:eastAsia="宋体" w:cs="Times New Roman"/>
                <w:b/>
                <w:bCs/>
                <w:color w:val="auto"/>
                <w:highlight w:val="none"/>
                <w:lang w:eastAsia="zh-CN"/>
              </w:rPr>
              <w:t>投标人。</w:t>
            </w:r>
          </w:p>
          <w:p w14:paraId="517E65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【备注：参照建市〔</w:t>
            </w:r>
            <w:r>
              <w:rPr>
                <w:rFonts w:hint="default" w:ascii="Calibri" w:hAnsi="Calibri" w:eastAsia="楷体_GB2312" w:cs="Times New Roman"/>
                <w:color w:val="auto"/>
                <w:highlight w:val="none"/>
                <w:shd w:val="clear" w:color="auto" w:fill="auto"/>
              </w:rPr>
              <w:t>2005</w:t>
            </w:r>
            <w:r>
              <w:rPr>
                <w:rFonts w:hint="eastAsia" w:ascii="Calibri" w:hAnsi="Calibri" w:eastAsia="楷体_GB2312" w:cs="楷体_GB2312"/>
                <w:color w:val="auto"/>
                <w:highlight w:val="none"/>
                <w:shd w:val="clear" w:color="auto" w:fill="auto"/>
              </w:rPr>
              <w:t>〕</w:t>
            </w:r>
            <w:r>
              <w:rPr>
                <w:rFonts w:hint="default" w:ascii="Calibri" w:hAnsi="Calibri" w:eastAsia="楷体_GB2312" w:cs="Times New Roman"/>
                <w:color w:val="auto"/>
                <w:highlight w:val="none"/>
                <w:shd w:val="clear" w:color="auto" w:fill="auto"/>
              </w:rPr>
              <w:t>208</w:t>
            </w:r>
            <w:r>
              <w:rPr>
                <w:rFonts w:hint="eastAsia" w:ascii="Calibri" w:hAnsi="Calibri" w:eastAsia="楷体_GB2312" w:cs="楷体_GB2312"/>
                <w:color w:val="auto"/>
                <w:highlight w:val="none"/>
                <w:shd w:val="clear" w:color="auto" w:fill="auto"/>
              </w:rPr>
              <w:t>号文，原则上工程投资额</w:t>
            </w:r>
            <w:r>
              <w:rPr>
                <w:rFonts w:hint="default" w:ascii="Calibri" w:hAnsi="Calibri" w:eastAsia="楷体_GB2312" w:cs="Times New Roman"/>
                <w:color w:val="auto"/>
                <w:highlight w:val="none"/>
                <w:shd w:val="clear" w:color="auto" w:fill="auto"/>
              </w:rPr>
              <w:t>1000</w:t>
            </w:r>
            <w:r>
              <w:rPr>
                <w:rFonts w:hint="eastAsia" w:ascii="Calibri" w:hAnsi="Calibri" w:eastAsia="楷体_GB2312" w:cs="楷体_GB2312"/>
                <w:color w:val="auto"/>
                <w:highlight w:val="none"/>
                <w:shd w:val="clear" w:color="auto" w:fill="auto"/>
              </w:rPr>
              <w:t>万元以上的工程项目，合格投标人家数应当不少于</w:t>
            </w:r>
            <w:r>
              <w:rPr>
                <w:rFonts w:hint="eastAsia" w:ascii="Calibri" w:hAnsi="Calibri" w:eastAsia="楷体_GB2312" w:cs="Times New Roman"/>
                <w:color w:val="auto"/>
                <w:highlight w:val="none"/>
                <w:shd w:val="clear" w:color="auto" w:fill="auto"/>
                <w:lang w:eastAsia="zh-CN"/>
              </w:rPr>
              <w:t>9</w:t>
            </w:r>
            <w:r>
              <w:rPr>
                <w:rFonts w:hint="eastAsia" w:ascii="Calibri" w:hAnsi="Calibri" w:eastAsia="楷体_GB2312" w:cs="楷体_GB2312"/>
                <w:color w:val="auto"/>
                <w:highlight w:val="none"/>
                <w:shd w:val="clear" w:color="auto" w:fill="auto"/>
              </w:rPr>
              <w:t>个】</w:t>
            </w:r>
          </w:p>
        </w:tc>
      </w:tr>
      <w:tr w14:paraId="3580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454" w:hRule="atLeast"/>
          <w:jc w:val="center"/>
        </w:trPr>
        <w:tc>
          <w:tcPr>
            <w:tcW w:w="780" w:type="dxa"/>
            <w:gridSpan w:val="2"/>
            <w:vMerge w:val="continue"/>
            <w:noWrap w:val="0"/>
            <w:vAlign w:val="center"/>
          </w:tcPr>
          <w:p w14:paraId="1EF72C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5390D2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77077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4994E9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（一）企业基本情况</w:t>
            </w:r>
          </w:p>
          <w:p w14:paraId="5530FD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 xml:space="preserve"> 20</w:t>
            </w:r>
            <w:r>
              <w:rPr>
                <w:rFonts w:hint="eastAsia" w:ascii="Calibri" w:hAnsi="Calibri" w:cs="Times New Roman"/>
                <w:color w:val="auto"/>
                <w:highlight w:val="none"/>
                <w:u w:val="single"/>
                <w:shd w:val="clear" w:color="auto" w:fill="auto"/>
                <w:lang w:eastAsia="zh-CN"/>
              </w:rPr>
              <w:t>～</w:t>
            </w:r>
            <w:r>
              <w:rPr>
                <w:rFonts w:hint="default" w:ascii="Calibri" w:hAnsi="Calibri" w:eastAsia="宋体" w:cs="Times New Roman"/>
                <w:color w:val="auto"/>
                <w:highlight w:val="none"/>
                <w:u w:val="single"/>
                <w:shd w:val="clear" w:color="auto" w:fill="auto"/>
              </w:rPr>
              <w:t>25</w:t>
            </w:r>
            <w:r>
              <w:rPr>
                <w:rFonts w:hint="eastAsia" w:ascii="Calibri" w:hAnsi="Calibri" w:eastAsia="宋体" w:cs="宋体"/>
                <w:color w:val="auto"/>
                <w:highlight w:val="none"/>
                <w:shd w:val="clear" w:color="auto" w:fill="auto"/>
              </w:rPr>
              <w:t>分）</w:t>
            </w:r>
          </w:p>
        </w:tc>
        <w:tc>
          <w:tcPr>
            <w:tcW w:w="5421" w:type="dxa"/>
            <w:noWrap w:val="0"/>
            <w:vAlign w:val="center"/>
          </w:tcPr>
          <w:p w14:paraId="72F0CA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）资质条件：</w:t>
            </w:r>
            <w:r>
              <w:rPr>
                <w:rFonts w:hint="eastAsia" w:ascii="Calibri" w:hAnsi="Calibri" w:eastAsia="宋体" w:cs="Times New Roman"/>
                <w:color w:val="auto"/>
                <w:highlight w:val="none"/>
                <w:shd w:val="clear" w:color="auto" w:fill="auto"/>
              </w:rPr>
              <w:t>满足或优于前附表要求的投标人资格</w:t>
            </w: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使用最低资质的项目不对优于资格要求的资质另外加分。</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none"/>
                <w:shd w:val="clear" w:color="auto" w:fill="auto"/>
                <w:lang w:val="en-US" w:eastAsia="zh-CN"/>
              </w:rPr>
              <w:t xml:space="preserve">                        )</w:t>
            </w:r>
          </w:p>
          <w:p w14:paraId="2387A0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宋体"/>
                <w:color w:val="auto"/>
                <w:highlight w:val="none"/>
                <w:shd w:val="clear" w:color="auto" w:fill="auto"/>
                <w:lang w:bidi="ar-SA"/>
              </w:rPr>
            </w:pPr>
            <w:r>
              <w:rPr>
                <w:rFonts w:hint="eastAsia" w:ascii="Times New Roman" w:hAnsi="Times New Roman" w:eastAsia="宋体" w:cs="宋体"/>
                <w:color w:val="auto"/>
                <w:highlight w:val="none"/>
                <w:shd w:val="clear" w:color="auto" w:fill="auto"/>
                <w:lang w:bidi="ar-SA"/>
              </w:rPr>
              <w:t>（2）考核期内完成过类似工程项目：</w:t>
            </w:r>
            <w:r>
              <w:rPr>
                <w:rFonts w:hint="eastAsia" w:ascii="方正楷体_GB2312" w:hAnsi="方正楷体_GB2312" w:eastAsia="方正楷体_GB2312" w:cs="方正楷体_GB2312"/>
                <w:color w:val="auto"/>
                <w:highlight w:val="none"/>
                <w:shd w:val="clear" w:color="auto" w:fill="auto"/>
                <w:lang w:bidi="ar-SA"/>
              </w:rPr>
              <w:t>（注：</w:t>
            </w:r>
            <w:r>
              <w:rPr>
                <w:rFonts w:hint="eastAsia" w:ascii="方正楷体_GB2312" w:hAnsi="方正楷体_GB2312" w:eastAsia="方正楷体_GB2312" w:cs="方正楷体_GB2312"/>
                <w:color w:val="auto"/>
                <w:highlight w:val="none"/>
                <w:shd w:val="clear" w:color="auto" w:fill="auto"/>
                <w:lang w:val="en-US" w:eastAsia="zh-CN" w:bidi="ar-SA"/>
              </w:rPr>
              <w:t>1.</w:t>
            </w:r>
            <w:r>
              <w:rPr>
                <w:rFonts w:hint="eastAsia" w:ascii="方正楷体_GB2312" w:hAnsi="方正楷体_GB2312" w:eastAsia="方正楷体_GB2312" w:cs="方正楷体_GB2312"/>
                <w:color w:val="auto"/>
                <w:highlight w:val="none"/>
                <w:shd w:val="clear" w:color="auto" w:fill="auto"/>
                <w:lang w:bidi="ar-SA"/>
              </w:rPr>
              <w:t>采用装配式建造方式建设的项目，在进行设计、施工、监理招标时，应将装配式建筑项目业绩列为评分项，优先选择有装配式建筑项目业绩的企业</w:t>
            </w:r>
            <w:r>
              <w:rPr>
                <w:rFonts w:hint="eastAsia" w:ascii="方正楷体_GB2312" w:hAnsi="方正楷体_GB2312" w:eastAsia="方正楷体_GB2312" w:cs="方正楷体_GB2312"/>
                <w:color w:val="auto"/>
                <w:highlight w:val="none"/>
                <w:shd w:val="clear" w:color="auto" w:fill="auto"/>
                <w:lang w:eastAsia="zh-CN" w:bidi="ar-SA"/>
              </w:rPr>
              <w:t>；</w:t>
            </w:r>
            <w:r>
              <w:rPr>
                <w:rFonts w:hint="eastAsia" w:ascii="方正楷体_GB2312" w:hAnsi="方正楷体_GB2312" w:eastAsia="方正楷体_GB2312" w:cs="方正楷体_GB2312"/>
                <w:color w:val="auto"/>
                <w:highlight w:val="none"/>
                <w:shd w:val="clear" w:color="auto" w:fill="auto"/>
                <w:lang w:val="en-US" w:eastAsia="zh-CN" w:bidi="ar-SA"/>
              </w:rPr>
              <w:t>2.</w:t>
            </w:r>
            <w:r>
              <w:rPr>
                <w:rFonts w:hint="eastAsia" w:ascii="方正楷体_GB2312" w:hAnsi="方正楷体_GB2312" w:eastAsia="方正楷体_GB2312" w:cs="方正楷体_GB2312"/>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lang w:bidi="ar-SA"/>
              </w:rPr>
              <w:t>。）</w:t>
            </w:r>
          </w:p>
          <w:p w14:paraId="7D5018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（3）考核期内承接过类似工程项目（招标人定是</w:t>
            </w:r>
            <w:r>
              <w:rPr>
                <w:rFonts w:hint="default" w:ascii="Calibri" w:hAnsi="Calibri" w:eastAsia="宋体" w:cs="Times New Roman"/>
                <w:color w:val="auto"/>
                <w:highlight w:val="none"/>
                <w:shd w:val="clear" w:color="auto" w:fill="auto"/>
              </w:rPr>
              <w:t>否考核）</w:t>
            </w:r>
            <w:r>
              <w:rPr>
                <w:rFonts w:hint="eastAsia" w:ascii="Calibri" w:hAnsi="Calibri" w:eastAsia="宋体" w:cs="Times New Roman"/>
                <w:color w:val="auto"/>
                <w:highlight w:val="none"/>
                <w:shd w:val="clear" w:color="auto" w:fill="auto"/>
              </w:rPr>
              <w:t>：</w:t>
            </w:r>
          </w:p>
        </w:tc>
      </w:tr>
      <w:tr w14:paraId="6B4B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454" w:hRule="atLeast"/>
          <w:jc w:val="center"/>
        </w:trPr>
        <w:tc>
          <w:tcPr>
            <w:tcW w:w="780" w:type="dxa"/>
            <w:gridSpan w:val="2"/>
            <w:vMerge w:val="continue"/>
            <w:noWrap w:val="0"/>
            <w:vAlign w:val="center"/>
          </w:tcPr>
          <w:p w14:paraId="054F45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7C0775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1BFD99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472C14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（二）企业信誉实力分评分标准【满分分值权重（</w:t>
            </w:r>
            <w:r>
              <w:rPr>
                <w:rFonts w:hint="default" w:ascii="Calibri" w:hAnsi="Calibri" w:eastAsia="宋体" w:cs="宋体"/>
                <w:color w:val="auto"/>
                <w:highlight w:val="none"/>
                <w:shd w:val="clear" w:color="auto" w:fill="auto"/>
              </w:rPr>
              <w:t>20</w:t>
            </w:r>
            <w:r>
              <w:rPr>
                <w:rFonts w:hint="eastAsia" w:ascii="Calibri" w:hAnsi="Calibri" w:eastAsia="宋体" w:cs="宋体"/>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【备注：招标项目如为国有投资（含国有投资占主导或控股地位）项目则须计入此分，其他工程由招标人自行决定是否参照执行</w:t>
            </w:r>
            <w:r>
              <w:rPr>
                <w:rFonts w:hint="eastAsia" w:ascii="方正楷体_GB2312" w:hAnsi="方正楷体_GB2312" w:eastAsia="方正楷体_GB2312" w:cs="方正楷体_GB2312"/>
                <w:color w:val="auto"/>
                <w:highlight w:val="none"/>
                <w:shd w:val="clear" w:color="auto" w:fill="auto"/>
                <w:lang w:eastAsia="zh-CN"/>
              </w:rPr>
              <w:t>】</w:t>
            </w:r>
          </w:p>
        </w:tc>
        <w:tc>
          <w:tcPr>
            <w:tcW w:w="5421" w:type="dxa"/>
            <w:noWrap w:val="0"/>
            <w:vAlign w:val="center"/>
          </w:tcPr>
          <w:p w14:paraId="2C0908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，按20%权重计入资格评审得分</w:t>
            </w:r>
            <w:r>
              <w:rPr>
                <w:rFonts w:hint="eastAsia" w:ascii="宋体" w:hAnsi="宋体" w:eastAsia="宋体" w:cs="宋体"/>
                <w:b/>
                <w:color w:val="auto"/>
                <w:highlight w:val="none"/>
                <w:shd w:val="clear" w:color="auto" w:fill="auto"/>
                <w:lang w:val="en-US" w:eastAsia="zh-CN"/>
              </w:rPr>
              <w:t>。</w:t>
            </w:r>
          </w:p>
          <w:p w14:paraId="0B009C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2B34E7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企业信誉实力得分的确定</w:t>
            </w:r>
            <w:r>
              <w:rPr>
                <w:rFonts w:hint="eastAsia"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w:t>
            </w:r>
          </w:p>
          <w:p w14:paraId="3804CC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施工企业信誉实力加权得分=根据实时公布的自治区级诚信综合评价分（百分制）×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1亿元以上取50%-100%，1亿元以下取</w:t>
            </w:r>
            <w:r>
              <w:rPr>
                <w:rFonts w:hint="eastAsia" w:ascii="Calibri" w:hAnsi="Calibri" w:cs="宋体"/>
                <w:color w:val="auto"/>
                <w:highlight w:val="none"/>
                <w:shd w:val="clear" w:color="auto" w:fill="auto"/>
                <w:lang w:val="en-US" w:eastAsia="zh-CN"/>
              </w:rPr>
              <w:t>3</w:t>
            </w:r>
            <w:r>
              <w:rPr>
                <w:rFonts w:hint="eastAsia" w:ascii="Calibri" w:hAnsi="Calibri" w:eastAsia="宋体" w:cs="宋体"/>
                <w:color w:val="auto"/>
                <w:highlight w:val="none"/>
                <w:shd w:val="clear" w:color="auto" w:fill="auto"/>
              </w:rPr>
              <w:t>0%-100%）×企业信誉实力分分值权重（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0%）+根据实时公布的项目所在地设区市级诚信综合评价分（百分制）×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1亿元以上取50%-0%，1亿元以下</w:t>
            </w:r>
            <w:r>
              <w:rPr>
                <w:rFonts w:hint="eastAsia" w:ascii="Calibri" w:hAnsi="Calibri"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r>
              <w:rPr>
                <w:rFonts w:hint="eastAsia" w:ascii="方正楷体_GB2312" w:hAnsi="方正楷体_GB2312" w:eastAsia="方正楷体_GB2312" w:cs="方正楷体_GB2312"/>
                <w:color w:val="auto"/>
                <w:highlight w:val="none"/>
                <w:shd w:val="clear" w:color="auto" w:fill="auto"/>
              </w:rPr>
              <w:t>【备注：自治区级诚信综合评价分占比与项目所在地设区市级诚信综合评价分占比之和为100%，具体权重由各设区市在比例范围内在发出招标文件前自行决定，把确定后的比例填入招标文件内】</w:t>
            </w:r>
            <w:r>
              <w:rPr>
                <w:rFonts w:hint="eastAsia" w:ascii="Calibri" w:hAnsi="Calibri" w:eastAsia="宋体" w:cs="宋体"/>
                <w:color w:val="auto"/>
                <w:highlight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注：自治区级诚信综合评价分由系统自动读取，评委在“桂建云”信息发布的诚信评分公示栏目中查询、核实。项目所在地设区市级诚信综合评价分由评委在</w:t>
            </w:r>
            <w:r>
              <w:rPr>
                <w:rFonts w:hint="eastAsia" w:ascii="方正楷体_GB2312" w:hAnsi="方正楷体_GB2312" w:eastAsia="方正楷体_GB2312" w:cs="方正楷体_GB2312"/>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中查询。</w:t>
            </w:r>
          </w:p>
        </w:tc>
      </w:tr>
      <w:tr w14:paraId="198D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454" w:hRule="atLeast"/>
          <w:jc w:val="center"/>
        </w:trPr>
        <w:tc>
          <w:tcPr>
            <w:tcW w:w="780" w:type="dxa"/>
            <w:gridSpan w:val="2"/>
            <w:vMerge w:val="continue"/>
            <w:noWrap w:val="0"/>
            <w:vAlign w:val="center"/>
          </w:tcPr>
          <w:p w14:paraId="379A4C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11CF3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D92D5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7D378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（三）项目经理情况</w:t>
            </w:r>
          </w:p>
          <w:p w14:paraId="03B7DA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 xml:space="preserve"> 15~20 </w:t>
            </w:r>
            <w:r>
              <w:rPr>
                <w:rFonts w:hint="eastAsia" w:ascii="Calibri" w:hAnsi="Calibri" w:eastAsia="宋体" w:cs="宋体"/>
                <w:color w:val="auto"/>
                <w:highlight w:val="none"/>
                <w:shd w:val="clear" w:color="auto" w:fill="auto"/>
              </w:rPr>
              <w:t>分）</w:t>
            </w:r>
          </w:p>
        </w:tc>
        <w:tc>
          <w:tcPr>
            <w:tcW w:w="5421" w:type="dxa"/>
            <w:noWrap w:val="0"/>
            <w:vAlign w:val="center"/>
          </w:tcPr>
          <w:p w14:paraId="0DBAC0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）项目经理注册资格：</w:t>
            </w:r>
          </w:p>
          <w:p w14:paraId="03B50B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w:t>
            </w:r>
            <w:r>
              <w:rPr>
                <w:rFonts w:hint="eastAsia" w:ascii="Calibri" w:hAnsi="Calibri" w:eastAsia="宋体" w:cs="宋体"/>
                <w:color w:val="auto"/>
                <w:highlight w:val="none"/>
                <w:shd w:val="clear" w:color="auto" w:fill="auto"/>
              </w:rPr>
              <w:t>）项目经理职称：</w:t>
            </w:r>
          </w:p>
          <w:p w14:paraId="4460D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w:t>
            </w:r>
            <w:r>
              <w:rPr>
                <w:rFonts w:hint="eastAsia" w:ascii="Calibri" w:hAnsi="Calibri" w:eastAsia="宋体" w:cs="宋体"/>
                <w:color w:val="auto"/>
                <w:highlight w:val="none"/>
                <w:shd w:val="clear" w:color="auto" w:fill="auto"/>
              </w:rPr>
              <w:t>）项目经理业绩：</w:t>
            </w:r>
          </w:p>
          <w:p w14:paraId="4453B3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w:t>
            </w:r>
          </w:p>
        </w:tc>
      </w:tr>
      <w:tr w14:paraId="783F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454" w:hRule="atLeast"/>
          <w:jc w:val="center"/>
        </w:trPr>
        <w:tc>
          <w:tcPr>
            <w:tcW w:w="780" w:type="dxa"/>
            <w:gridSpan w:val="2"/>
            <w:vMerge w:val="continue"/>
            <w:noWrap w:val="0"/>
            <w:vAlign w:val="center"/>
          </w:tcPr>
          <w:p w14:paraId="5DD3E3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029DC7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48C01F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1B1AC5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（四）技术负责人情况</w:t>
            </w:r>
          </w:p>
          <w:p w14:paraId="714FDF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w:t>
            </w:r>
            <w:r>
              <w:rPr>
                <w:rFonts w:hint="default" w:ascii="Calibri" w:hAnsi="Calibri" w:eastAsia="宋体" w:cs="Times New Roman"/>
                <w:color w:val="auto"/>
                <w:highlight w:val="none"/>
                <w:u w:val="single"/>
                <w:shd w:val="clear" w:color="auto" w:fill="auto"/>
              </w:rPr>
              <w:t>10</w:t>
            </w:r>
            <w:r>
              <w:rPr>
                <w:rFonts w:hint="eastAsia" w:ascii="Calibri" w:hAnsi="Calibri" w:cs="Times New Roman"/>
                <w:color w:val="auto"/>
                <w:highlight w:val="none"/>
                <w:u w:val="single"/>
                <w:shd w:val="clear" w:color="auto" w:fill="auto"/>
                <w:lang w:eastAsia="zh-CN"/>
              </w:rPr>
              <w:t>～</w:t>
            </w:r>
            <w:r>
              <w:rPr>
                <w:rFonts w:hint="default" w:ascii="Calibri" w:hAnsi="Calibri" w:eastAsia="宋体" w:cs="Times New Roman"/>
                <w:color w:val="auto"/>
                <w:highlight w:val="none"/>
                <w:u w:val="single"/>
                <w:shd w:val="clear" w:color="auto" w:fill="auto"/>
              </w:rPr>
              <w:t>15</w:t>
            </w:r>
            <w:r>
              <w:rPr>
                <w:rFonts w:hint="eastAsia" w:ascii="Calibri" w:hAnsi="Calibri" w:eastAsia="宋体" w:cs="宋体"/>
                <w:color w:val="auto"/>
                <w:highlight w:val="none"/>
                <w:shd w:val="clear" w:color="auto" w:fill="auto"/>
              </w:rPr>
              <w:t>分）</w:t>
            </w:r>
          </w:p>
        </w:tc>
        <w:tc>
          <w:tcPr>
            <w:tcW w:w="5421" w:type="dxa"/>
            <w:noWrap w:val="0"/>
            <w:vAlign w:val="center"/>
          </w:tcPr>
          <w:p w14:paraId="0C9F0F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）技术负责人专业：</w:t>
            </w:r>
          </w:p>
          <w:p w14:paraId="77126B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w:t>
            </w:r>
            <w:r>
              <w:rPr>
                <w:rFonts w:hint="eastAsia" w:ascii="Calibri" w:hAnsi="Calibri" w:eastAsia="宋体" w:cs="宋体"/>
                <w:color w:val="auto"/>
                <w:highlight w:val="none"/>
                <w:shd w:val="clear" w:color="auto" w:fill="auto"/>
              </w:rPr>
              <w:t>）技术负责人职称：</w:t>
            </w:r>
          </w:p>
          <w:p w14:paraId="2D3B22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w:t>
            </w:r>
            <w:r>
              <w:rPr>
                <w:rFonts w:hint="eastAsia" w:ascii="Calibri" w:hAnsi="Calibri" w:eastAsia="宋体" w:cs="宋体"/>
                <w:color w:val="auto"/>
                <w:highlight w:val="none"/>
                <w:shd w:val="clear" w:color="auto" w:fill="auto"/>
              </w:rPr>
              <w:t>）技术负责人业绩：</w:t>
            </w:r>
          </w:p>
          <w:p w14:paraId="690A85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w:t>
            </w:r>
          </w:p>
        </w:tc>
      </w:tr>
      <w:tr w14:paraId="09A3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454" w:hRule="atLeast"/>
          <w:jc w:val="center"/>
        </w:trPr>
        <w:tc>
          <w:tcPr>
            <w:tcW w:w="780" w:type="dxa"/>
            <w:gridSpan w:val="2"/>
            <w:vMerge w:val="continue"/>
            <w:noWrap w:val="0"/>
            <w:vAlign w:val="center"/>
          </w:tcPr>
          <w:p w14:paraId="04B9DD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A527C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3C078D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4D0974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（五）拟投入本工程管理人员情况（满分</w:t>
            </w:r>
            <w:r>
              <w:rPr>
                <w:rFonts w:hint="default" w:ascii="Calibri" w:hAnsi="Calibri" w:eastAsia="宋体" w:cs="Times New Roman"/>
                <w:color w:val="auto"/>
                <w:highlight w:val="none"/>
                <w:u w:val="single"/>
                <w:shd w:val="clear" w:color="auto" w:fill="auto"/>
              </w:rPr>
              <w:t>10</w:t>
            </w:r>
            <w:r>
              <w:rPr>
                <w:rFonts w:hint="eastAsia" w:ascii="Calibri" w:hAnsi="Calibri" w:cs="Times New Roman"/>
                <w:color w:val="auto"/>
                <w:highlight w:val="none"/>
                <w:u w:val="single"/>
                <w:shd w:val="clear" w:color="auto" w:fill="auto"/>
                <w:lang w:eastAsia="zh-CN"/>
              </w:rPr>
              <w:t>～</w:t>
            </w:r>
            <w:r>
              <w:rPr>
                <w:rFonts w:hint="eastAsia" w:ascii="Calibri" w:hAnsi="Calibri" w:cs="Times New Roman"/>
                <w:color w:val="auto"/>
                <w:highlight w:val="none"/>
                <w:u w:val="single"/>
                <w:shd w:val="clear" w:color="auto" w:fill="auto"/>
                <w:lang w:val="en-US" w:eastAsia="zh-CN"/>
              </w:rPr>
              <w:t>20</w:t>
            </w:r>
            <w:r>
              <w:rPr>
                <w:rFonts w:hint="eastAsia" w:ascii="Calibri" w:hAnsi="Calibri" w:eastAsia="宋体" w:cs="宋体"/>
                <w:color w:val="auto"/>
                <w:highlight w:val="none"/>
                <w:shd w:val="clear" w:color="auto" w:fill="auto"/>
              </w:rPr>
              <w:t>分）</w:t>
            </w:r>
          </w:p>
        </w:tc>
        <w:tc>
          <w:tcPr>
            <w:tcW w:w="5421" w:type="dxa"/>
            <w:noWrap w:val="0"/>
            <w:vAlign w:val="center"/>
          </w:tcPr>
          <w:p w14:paraId="1AEDD5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设优、良、中、一般、差，并对各评分等级设置一个具体分值，不设评分区间，需列明量化评审标准</w:t>
            </w:r>
            <w:r>
              <w:rPr>
                <w:rFonts w:hint="eastAsia" w:ascii="Calibri" w:hAnsi="Calibri" w:eastAsia="宋体" w:cs="宋体"/>
                <w:color w:val="auto"/>
                <w:kern w:val="0"/>
                <w:highlight w:val="none"/>
                <w:shd w:val="clear" w:color="auto" w:fill="auto"/>
              </w:rPr>
              <w:t>）</w:t>
            </w:r>
          </w:p>
        </w:tc>
      </w:tr>
      <w:tr w14:paraId="7C46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1367" w:hRule="atLeast"/>
          <w:jc w:val="center"/>
        </w:trPr>
        <w:tc>
          <w:tcPr>
            <w:tcW w:w="780" w:type="dxa"/>
            <w:gridSpan w:val="2"/>
            <w:vMerge w:val="continue"/>
            <w:noWrap w:val="0"/>
            <w:vAlign w:val="center"/>
          </w:tcPr>
          <w:p w14:paraId="0635D8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5B068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0F9FAA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41929A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（六）拟投入施工机械设备情况（满分</w:t>
            </w:r>
            <w:r>
              <w:rPr>
                <w:rFonts w:hint="default" w:ascii="Calibri" w:hAnsi="Calibri" w:eastAsia="宋体" w:cs="Times New Roman"/>
                <w:color w:val="auto"/>
                <w:highlight w:val="none"/>
                <w:u w:val="single"/>
                <w:shd w:val="clear" w:color="auto" w:fill="auto"/>
              </w:rPr>
              <w:t xml:space="preserve"> 10</w:t>
            </w:r>
            <w:r>
              <w:rPr>
                <w:rFonts w:hint="eastAsia" w:ascii="Calibri" w:hAnsi="Calibri" w:cs="Times New Roman"/>
                <w:color w:val="auto"/>
                <w:highlight w:val="none"/>
                <w:u w:val="single"/>
                <w:shd w:val="clear" w:color="auto" w:fill="auto"/>
                <w:lang w:eastAsia="zh-CN"/>
              </w:rPr>
              <w:t>～</w:t>
            </w:r>
            <w:r>
              <w:rPr>
                <w:rFonts w:hint="eastAsia" w:ascii="Calibri" w:hAnsi="Calibri" w:cs="Times New Roman"/>
                <w:color w:val="auto"/>
                <w:highlight w:val="none"/>
                <w:u w:val="single"/>
                <w:shd w:val="clear" w:color="auto" w:fill="auto"/>
                <w:lang w:val="en-US" w:eastAsia="zh-CN"/>
              </w:rPr>
              <w:t>20</w:t>
            </w:r>
            <w:r>
              <w:rPr>
                <w:rFonts w:hint="eastAsia" w:ascii="Calibri" w:hAnsi="Calibri" w:eastAsia="宋体" w:cs="宋体"/>
                <w:color w:val="auto"/>
                <w:highlight w:val="none"/>
                <w:shd w:val="clear" w:color="auto" w:fill="auto"/>
              </w:rPr>
              <w:t>分）</w:t>
            </w:r>
          </w:p>
        </w:tc>
        <w:tc>
          <w:tcPr>
            <w:tcW w:w="5421" w:type="dxa"/>
            <w:noWrap w:val="0"/>
            <w:vAlign w:val="center"/>
          </w:tcPr>
          <w:p w14:paraId="3C5DC4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投入的施工机械、设备、机具有详细的组织计划且计划周密，设备数量、选型配置、进场时间安排合理，满足施工需要。（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方正楷体_GB2312" w:hAnsi="方正楷体_GB2312" w:eastAsia="方正楷体_GB2312" w:cs="方正楷体_GB2312"/>
                <w:color w:val="auto"/>
                <w:kern w:val="0"/>
                <w:highlight w:val="none"/>
                <w:shd w:val="clear" w:color="auto" w:fill="auto"/>
              </w:rPr>
              <w:t>，需列明量</w:t>
            </w:r>
            <w:r>
              <w:rPr>
                <w:rFonts w:hint="default" w:ascii="方正楷体_GB2312" w:hAnsi="方正楷体_GB2312" w:eastAsia="方正楷体_GB2312" w:cs="方正楷体_GB2312"/>
                <w:color w:val="auto"/>
                <w:kern w:val="0"/>
                <w:highlight w:val="none"/>
                <w:shd w:val="clear" w:color="auto" w:fill="auto"/>
              </w:rPr>
              <w:t>化</w:t>
            </w:r>
            <w:r>
              <w:rPr>
                <w:rFonts w:hint="eastAsia" w:ascii="方正楷体_GB2312" w:hAnsi="方正楷体_GB2312" w:eastAsia="方正楷体_GB2312" w:cs="方正楷体_GB2312"/>
                <w:color w:val="auto"/>
                <w:kern w:val="0"/>
                <w:highlight w:val="none"/>
                <w:shd w:val="clear" w:color="auto" w:fill="auto"/>
              </w:rPr>
              <w:t>评审标准</w:t>
            </w:r>
            <w:r>
              <w:rPr>
                <w:rFonts w:hint="eastAsia" w:ascii="Calibri" w:hAnsi="Calibri" w:eastAsia="宋体" w:cs="宋体"/>
                <w:color w:val="auto"/>
                <w:kern w:val="0"/>
                <w:highlight w:val="none"/>
                <w:shd w:val="clear" w:color="auto" w:fill="auto"/>
              </w:rPr>
              <w:t>）</w:t>
            </w:r>
          </w:p>
        </w:tc>
      </w:tr>
      <w:tr w14:paraId="446A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339" w:hRule="atLeast"/>
          <w:jc w:val="center"/>
        </w:trPr>
        <w:tc>
          <w:tcPr>
            <w:tcW w:w="780" w:type="dxa"/>
            <w:gridSpan w:val="2"/>
            <w:vMerge w:val="continue"/>
            <w:noWrap w:val="0"/>
            <w:vAlign w:val="center"/>
          </w:tcPr>
          <w:p w14:paraId="6A0821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2DB37B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4F365E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3"/>
            <w:noWrap w:val="0"/>
            <w:vAlign w:val="center"/>
          </w:tcPr>
          <w:p w14:paraId="6E7ADF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421" w:type="dxa"/>
            <w:noWrap w:val="0"/>
            <w:vAlign w:val="center"/>
          </w:tcPr>
          <w:p w14:paraId="7DEC32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69B6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0" w:hRule="atLeast"/>
          <w:jc w:val="center"/>
        </w:trPr>
        <w:tc>
          <w:tcPr>
            <w:tcW w:w="780" w:type="dxa"/>
            <w:gridSpan w:val="2"/>
            <w:noWrap w:val="0"/>
            <w:vAlign w:val="center"/>
          </w:tcPr>
          <w:p w14:paraId="3BC830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w:t>
            </w:r>
          </w:p>
        </w:tc>
        <w:tc>
          <w:tcPr>
            <w:tcW w:w="1382" w:type="dxa"/>
            <w:gridSpan w:val="2"/>
            <w:noWrap w:val="0"/>
            <w:vAlign w:val="center"/>
          </w:tcPr>
          <w:p w14:paraId="22413A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详细评审</w:t>
            </w:r>
          </w:p>
        </w:tc>
        <w:tc>
          <w:tcPr>
            <w:tcW w:w="7969" w:type="dxa"/>
            <w:gridSpan w:val="7"/>
            <w:noWrap w:val="0"/>
            <w:vAlign w:val="center"/>
          </w:tcPr>
          <w:p w14:paraId="3FEA05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rPr>
              <w:t>投标人通过</w:t>
            </w:r>
            <w:r>
              <w:rPr>
                <w:rFonts w:hint="eastAsia" w:ascii="Calibri" w:hAnsi="Calibri" w:eastAsia="宋体" w:cs="宋体"/>
                <w:color w:val="auto"/>
                <w:highlight w:val="none"/>
                <w:lang w:eastAsia="zh-CN"/>
              </w:rPr>
              <w:t>了</w:t>
            </w:r>
            <w:r>
              <w:rPr>
                <w:rFonts w:hint="eastAsia" w:ascii="Calibri" w:hAnsi="Calibri" w:eastAsia="宋体" w:cs="宋体"/>
                <w:color w:val="auto"/>
                <w:highlight w:val="none"/>
              </w:rPr>
              <w:t>形式评审和响应性评审</w:t>
            </w:r>
            <w:r>
              <w:rPr>
                <w:rFonts w:hint="eastAsia" w:ascii="Calibri" w:hAnsi="Calibri" w:eastAsia="宋体" w:cs="宋体"/>
                <w:color w:val="auto"/>
                <w:highlight w:val="none"/>
                <w:lang w:eastAsia="zh-CN"/>
              </w:rPr>
              <w:t>后</w:t>
            </w:r>
            <w:r>
              <w:rPr>
                <w:rFonts w:hint="eastAsia" w:ascii="Calibri" w:hAnsi="Calibri" w:eastAsia="宋体" w:cs="宋体"/>
                <w:color w:val="auto"/>
                <w:highlight w:val="none"/>
              </w:rPr>
              <w:t>，资格审查合格的，</w:t>
            </w:r>
            <w:r>
              <w:rPr>
                <w:rFonts w:hint="eastAsia" w:ascii="Calibri" w:hAnsi="Calibri" w:eastAsia="宋体" w:cs="宋体"/>
                <w:color w:val="auto"/>
                <w:highlight w:val="none"/>
                <w:shd w:val="clear" w:color="auto" w:fill="auto"/>
              </w:rPr>
              <w:t>才能进入详细评审程序。</w:t>
            </w:r>
          </w:p>
        </w:tc>
      </w:tr>
      <w:tr w14:paraId="2DD3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0" w:hRule="atLeast"/>
          <w:jc w:val="center"/>
        </w:trPr>
        <w:tc>
          <w:tcPr>
            <w:tcW w:w="780" w:type="dxa"/>
            <w:gridSpan w:val="2"/>
            <w:noWrap w:val="0"/>
            <w:vAlign w:val="center"/>
          </w:tcPr>
          <w:p w14:paraId="1E9C75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2.2.1</w:t>
            </w:r>
          </w:p>
        </w:tc>
        <w:tc>
          <w:tcPr>
            <w:tcW w:w="1382" w:type="dxa"/>
            <w:gridSpan w:val="2"/>
            <w:noWrap w:val="0"/>
            <w:vAlign w:val="center"/>
          </w:tcPr>
          <w:p w14:paraId="666AA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分值构成</w:t>
            </w:r>
          </w:p>
        </w:tc>
        <w:tc>
          <w:tcPr>
            <w:tcW w:w="655" w:type="dxa"/>
            <w:gridSpan w:val="2"/>
            <w:noWrap w:val="0"/>
            <w:vAlign w:val="center"/>
          </w:tcPr>
          <w:p w14:paraId="3FF2B7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630" w:firstLineChars="3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分值权重构成</w:t>
            </w:r>
          </w:p>
          <w:p w14:paraId="5937A9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100%</w:t>
            </w:r>
            <w:r>
              <w:rPr>
                <w:rFonts w:hint="eastAsia" w:ascii="Calibri" w:hAnsi="Calibri" w:cs="宋体"/>
                <w:color w:val="auto"/>
                <w:highlight w:val="none"/>
                <w:shd w:val="clear" w:color="auto" w:fill="auto"/>
                <w:lang w:eastAsia="zh-CN"/>
              </w:rPr>
              <w:t>)</w:t>
            </w:r>
          </w:p>
        </w:tc>
        <w:tc>
          <w:tcPr>
            <w:tcW w:w="7314" w:type="dxa"/>
            <w:gridSpan w:val="5"/>
            <w:noWrap w:val="0"/>
            <w:vAlign w:val="center"/>
          </w:tcPr>
          <w:p w14:paraId="5F857C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 xml:space="preserve">（1）技术标分值权重： </w:t>
            </w:r>
            <w:r>
              <w:rPr>
                <w:rFonts w:hint="eastAsia" w:ascii="Calibri" w:hAnsi="Calibri" w:eastAsia="宋体" w:cs="宋体"/>
                <w:color w:val="auto"/>
                <w:highlight w:val="none"/>
                <w:u w:val="single"/>
                <w:shd w:val="clear" w:color="auto" w:fill="auto"/>
              </w:rPr>
              <w:t>10%或</w:t>
            </w:r>
            <w:r>
              <w:rPr>
                <w:rFonts w:hint="default" w:ascii="Calibri" w:hAnsi="Calibri" w:eastAsia="宋体" w:cs="Times New Roman"/>
                <w:color w:val="auto"/>
                <w:highlight w:val="none"/>
                <w:u w:val="single"/>
                <w:shd w:val="clear" w:color="auto" w:fill="auto"/>
              </w:rPr>
              <w:t>20</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25</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 xml:space="preserve">30 </w:t>
            </w:r>
            <w:r>
              <w:rPr>
                <w:rFonts w:hint="eastAsia" w:ascii="Calibri" w:hAnsi="Calibri" w:eastAsia="宋体" w:cs="宋体"/>
                <w:color w:val="auto"/>
                <w:highlight w:val="none"/>
                <w:u w:val="single"/>
                <w:shd w:val="clear" w:color="auto" w:fill="auto"/>
              </w:rPr>
              <w:t>%或</w:t>
            </w:r>
            <w:r>
              <w:rPr>
                <w:rFonts w:hint="default" w:ascii="Calibri" w:hAnsi="Calibri" w:eastAsia="宋体" w:cs="Times New Roman"/>
                <w:color w:val="auto"/>
                <w:highlight w:val="none"/>
                <w:u w:val="single"/>
                <w:shd w:val="clear" w:color="auto" w:fill="auto"/>
              </w:rPr>
              <w:t>35</w:t>
            </w:r>
            <w:r>
              <w:rPr>
                <w:rFonts w:hint="eastAsia" w:ascii="Calibri" w:hAnsi="Calibri" w:eastAsia="宋体" w:cs="宋体"/>
                <w:color w:val="auto"/>
                <w:highlight w:val="none"/>
                <w:u w:val="single"/>
                <w:shd w:val="clear" w:color="auto" w:fill="auto"/>
              </w:rPr>
              <w:t>%</w:t>
            </w:r>
          </w:p>
          <w:p w14:paraId="795E1D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highlight w:val="none"/>
                <w:u w:val="single"/>
                <w:shd w:val="clear" w:color="auto" w:fill="auto"/>
              </w:rPr>
            </w:pPr>
            <w:r>
              <w:rPr>
                <w:rFonts w:hint="eastAsia" w:ascii="Calibri" w:hAnsi="Calibri" w:eastAsia="宋体" w:cs="宋体"/>
                <w:color w:val="auto"/>
                <w:highlight w:val="none"/>
                <w:shd w:val="clear" w:color="auto" w:fill="auto"/>
              </w:rPr>
              <w:t>（2）</w:t>
            </w:r>
            <w:r>
              <w:rPr>
                <w:rFonts w:hint="eastAsia" w:ascii="宋体" w:hAnsi="宋体" w:eastAsia="宋体" w:cs="宋体"/>
                <w:color w:val="auto"/>
                <w:highlight w:val="none"/>
                <w:shd w:val="clear" w:color="auto" w:fill="auto"/>
              </w:rPr>
              <w:t xml:space="preserve">商务标分值权重： </w:t>
            </w:r>
            <w:r>
              <w:rPr>
                <w:rFonts w:hint="eastAsia" w:ascii="Times New Roman" w:hAnsi="Times New Roman" w:eastAsia="宋体" w:cs="Times New Roman"/>
                <w:color w:val="auto"/>
                <w:highlight w:val="none"/>
                <w:u w:val="single"/>
                <w:shd w:val="clear" w:color="auto" w:fill="auto"/>
              </w:rPr>
              <w:t>90%</w:t>
            </w:r>
            <w:r>
              <w:rPr>
                <w:rFonts w:hint="eastAsia" w:ascii="宋体" w:hAnsi="宋体" w:eastAsia="宋体" w:cs="宋体"/>
                <w:color w:val="auto"/>
                <w:highlight w:val="none"/>
                <w:u w:val="single"/>
                <w:shd w:val="clear" w:color="auto" w:fill="auto"/>
              </w:rPr>
              <w:t>或</w:t>
            </w:r>
            <w:r>
              <w:rPr>
                <w:rFonts w:hint="eastAsia" w:ascii="Calibri" w:hAnsi="Calibri" w:eastAsia="宋体" w:cs="Times New Roman"/>
                <w:color w:val="auto"/>
                <w:highlight w:val="none"/>
                <w:u w:val="single"/>
                <w:shd w:val="clear" w:color="auto" w:fill="auto"/>
              </w:rPr>
              <w:t>80%或75%或70%或65%</w:t>
            </w:r>
          </w:p>
          <w:p w14:paraId="6DFDD9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34" w:right="0" w:firstLine="424" w:firstLineChars="202"/>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商务标分值权重 = 企业信誉实力分分值权重（</w:t>
            </w:r>
            <w:r>
              <w:rPr>
                <w:rFonts w:hint="default" w:ascii="宋体" w:hAnsi="宋体" w:eastAsia="宋体" w:cs="宋体"/>
                <w:color w:val="auto"/>
                <w:highlight w:val="none"/>
                <w:shd w:val="clear" w:color="auto" w:fill="auto"/>
              </w:rPr>
              <w:t>20%</w:t>
            </w:r>
            <w:r>
              <w:rPr>
                <w:rFonts w:hint="eastAsia" w:ascii="宋体" w:hAnsi="宋体" w:eastAsia="宋体" w:cs="宋体"/>
                <w:color w:val="auto"/>
                <w:highlight w:val="none"/>
                <w:shd w:val="clear" w:color="auto" w:fill="auto"/>
              </w:rPr>
              <w:t>）+ 报价分分值权重</w:t>
            </w:r>
          </w:p>
          <w:p w14:paraId="607E95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34" w:right="0" w:firstLine="424" w:firstLineChars="202"/>
              <w:textAlignment w:val="auto"/>
              <w:rPr>
                <w:rFonts w:hint="default" w:ascii="Calibri" w:hAnsi="Calibri" w:eastAsia="宋体" w:cs="Times New Roman"/>
                <w:color w:val="auto"/>
                <w:highlight w:val="none"/>
                <w:shd w:val="clear" w:color="auto" w:fill="auto"/>
              </w:rPr>
            </w:pPr>
            <w:r>
              <w:rPr>
                <w:rFonts w:hint="eastAsia" w:ascii="宋体" w:hAnsi="宋体" w:eastAsia="宋体" w:cs="宋体"/>
                <w:color w:val="auto"/>
                <w:highlight w:val="none"/>
                <w:shd w:val="clear" w:color="auto" w:fill="auto"/>
              </w:rPr>
              <w:t>企业信誉实力加权得分=根据实时公布的自治区级诚信综合评价分（百分制）×占比×企业信誉实力分分值权重（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r>
              <w:rPr>
                <w:rFonts w:hint="eastAsia" w:ascii="宋体" w:hAnsi="宋体" w:eastAsia="宋体" w:cs="宋体"/>
                <w:color w:val="auto"/>
                <w:highlight w:val="none"/>
                <w:shd w:val="clear" w:color="auto" w:fill="auto"/>
              </w:rPr>
              <w:t>+根据实时公布的</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市级诚信综合评价分（百分制）×占比×企业信誉实力分分值权重（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r>
              <w:rPr>
                <w:rFonts w:hint="eastAsia" w:ascii="宋体" w:hAnsi="宋体" w:eastAsia="宋体" w:cs="宋体"/>
                <w:color w:val="auto"/>
                <w:highlight w:val="none"/>
                <w:shd w:val="clear" w:color="auto" w:fill="auto"/>
              </w:rPr>
              <w:t>。</w:t>
            </w:r>
          </w:p>
        </w:tc>
      </w:tr>
      <w:tr w14:paraId="41EE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607" w:hRule="atLeast"/>
          <w:jc w:val="center"/>
        </w:trPr>
        <w:tc>
          <w:tcPr>
            <w:tcW w:w="780" w:type="dxa"/>
            <w:gridSpan w:val="2"/>
            <w:vMerge w:val="restart"/>
            <w:noWrap w:val="0"/>
            <w:vAlign w:val="center"/>
          </w:tcPr>
          <w:p w14:paraId="1A28DF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1</w:t>
            </w:r>
            <w:r>
              <w:rPr>
                <w:rFonts w:hint="eastAsia" w:ascii="Calibri" w:hAnsi="Calibri" w:cs="Times New Roman"/>
                <w:color w:val="auto"/>
                <w:highlight w:val="none"/>
                <w:shd w:val="clear" w:color="auto" w:fill="auto"/>
                <w:lang w:eastAsia="zh-CN"/>
              </w:rPr>
              <w:t>)</w:t>
            </w:r>
          </w:p>
        </w:tc>
        <w:tc>
          <w:tcPr>
            <w:tcW w:w="1382" w:type="dxa"/>
            <w:gridSpan w:val="2"/>
            <w:vMerge w:val="restart"/>
            <w:noWrap w:val="0"/>
            <w:vAlign w:val="center"/>
          </w:tcPr>
          <w:p w14:paraId="150AE3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w:t>
            </w:r>
          </w:p>
          <w:p w14:paraId="2AF3E3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2DB025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（满分分值权重□</w:t>
            </w:r>
            <w:r>
              <w:rPr>
                <w:rFonts w:hint="eastAsia" w:ascii="Calibri" w:hAnsi="Calibri" w:eastAsia="宋体" w:cs="Times New Roman"/>
                <w:color w:val="auto"/>
                <w:highlight w:val="none"/>
                <w:shd w:val="clear" w:color="auto" w:fill="auto"/>
              </w:rPr>
              <w:t>1</w:t>
            </w:r>
            <w:r>
              <w:rPr>
                <w:rFonts w:hint="default" w:ascii="Calibri" w:hAnsi="Calibri" w:eastAsia="宋体" w:cs="Times New Roman"/>
                <w:color w:val="auto"/>
                <w:highlight w:val="none"/>
                <w:shd w:val="clear" w:color="auto" w:fill="auto"/>
              </w:rPr>
              <w:t>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25</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35</w:t>
            </w:r>
            <w:r>
              <w:rPr>
                <w:rFonts w:hint="eastAsia" w:ascii="Calibri" w:hAnsi="Calibri" w:eastAsia="宋体" w:cs="宋体"/>
                <w:color w:val="auto"/>
                <w:highlight w:val="none"/>
                <w:shd w:val="clear" w:color="auto" w:fill="auto"/>
              </w:rPr>
              <w:t>%）</w:t>
            </w:r>
          </w:p>
        </w:tc>
        <w:tc>
          <w:tcPr>
            <w:tcW w:w="7969" w:type="dxa"/>
            <w:gridSpan w:val="7"/>
            <w:noWrap w:val="0"/>
            <w:vAlign w:val="center"/>
          </w:tcPr>
          <w:p w14:paraId="563529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合格标准：</w:t>
            </w:r>
          </w:p>
          <w:p w14:paraId="59FE2B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技术标加权得分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（项目管理机构得分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施工组织设计得分）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技术标分值权重</w:t>
            </w:r>
          </w:p>
          <w:p w14:paraId="1886E8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技术标得分低于</w:t>
            </w:r>
            <w:r>
              <w:rPr>
                <w:rFonts w:hint="eastAsia" w:ascii="Calibri" w:hAnsi="Calibri" w:eastAsia="宋体" w:cs="Times New Roman"/>
                <w:color w:val="auto"/>
                <w:highlight w:val="none"/>
                <w:shd w:val="clear" w:color="auto" w:fill="auto"/>
              </w:rPr>
              <w:t>技术标满分的60%的</w:t>
            </w:r>
            <w:r>
              <w:rPr>
                <w:rFonts w:hint="eastAsia" w:ascii="Calibri" w:hAnsi="Calibri" w:eastAsia="宋体" w:cs="宋体"/>
                <w:color w:val="auto"/>
                <w:highlight w:val="none"/>
                <w:shd w:val="clear" w:color="auto" w:fill="auto"/>
              </w:rPr>
              <w:t>，技术标评审不合格。</w:t>
            </w:r>
          </w:p>
        </w:tc>
      </w:tr>
      <w:tr w14:paraId="4489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780" w:type="dxa"/>
            <w:gridSpan w:val="2"/>
            <w:vMerge w:val="continue"/>
            <w:noWrap w:val="0"/>
            <w:vAlign w:val="center"/>
          </w:tcPr>
          <w:p w14:paraId="4D3D1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D1678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2B4570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项目管理机构</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明</w:t>
            </w:r>
            <w:r>
              <w:rPr>
                <w:rFonts w:hint="default" w:ascii="Calibri" w:hAnsi="Calibri" w:eastAsia="宋体" w:cs="宋体"/>
                <w:color w:val="auto"/>
                <w:highlight w:val="none"/>
                <w:shd w:val="clear" w:color="auto" w:fill="auto"/>
              </w:rPr>
              <w:t>标</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分）</w:t>
            </w:r>
          </w:p>
        </w:tc>
        <w:tc>
          <w:tcPr>
            <w:tcW w:w="1335" w:type="dxa"/>
            <w:gridSpan w:val="2"/>
            <w:noWrap w:val="0"/>
            <w:vAlign w:val="center"/>
          </w:tcPr>
          <w:p w14:paraId="2728F6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项目经理任职资格与业绩、工作经历等（</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215" w:type="dxa"/>
            <w:gridSpan w:val="5"/>
            <w:noWrap w:val="0"/>
            <w:vAlign w:val="center"/>
          </w:tcPr>
          <w:p w14:paraId="0DD3E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拟派任项目经理（或注册建造师）必须与资格审查合格通过的项目经理（或注册建造师）在名称、专业、资格等级等方面一致。</w:t>
            </w:r>
          </w:p>
          <w:p w14:paraId="28DCD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7E76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80" w:type="dxa"/>
            <w:gridSpan w:val="2"/>
            <w:vMerge w:val="continue"/>
            <w:noWrap w:val="0"/>
            <w:vAlign w:val="center"/>
          </w:tcPr>
          <w:p w14:paraId="243D13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33865D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6CDAD7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kern w:val="0"/>
                <w:highlight w:val="none"/>
                <w:shd w:val="clear" w:color="auto" w:fill="auto"/>
              </w:rPr>
            </w:pPr>
          </w:p>
        </w:tc>
        <w:tc>
          <w:tcPr>
            <w:tcW w:w="1335" w:type="dxa"/>
            <w:gridSpan w:val="2"/>
            <w:noWrap w:val="0"/>
            <w:vAlign w:val="center"/>
          </w:tcPr>
          <w:p w14:paraId="127D38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其他主要人员（</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215" w:type="dxa"/>
            <w:gridSpan w:val="5"/>
            <w:noWrap w:val="0"/>
            <w:vAlign w:val="center"/>
          </w:tcPr>
          <w:p w14:paraId="30D24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基本要求：人员齐备、专业配套应与资格审查提供的人员配备相一致，且具备相关施工现场专业人员职业培训合格证书（拟派驻本项目的技术负责人应具有中级及以上职称证件，施工员、质量员、材料员应具有</w:t>
            </w:r>
            <w:r>
              <w:rPr>
                <w:rFonts w:hint="default" w:ascii="Times New Roman" w:hAnsi="Times New Roman" w:eastAsia="宋体" w:cs="Times New Roman"/>
                <w:b w:val="0"/>
                <w:i w:val="0"/>
                <w:caps w:val="0"/>
                <w:color w:val="auto"/>
                <w:spacing w:val="0"/>
                <w:sz w:val="21"/>
                <w:szCs w:val="21"/>
                <w:highlight w:val="none"/>
                <w:shd w:val="clear" w:color="auto" w:fill="auto"/>
                <w:lang w:bidi="ar-SA"/>
              </w:rPr>
              <w:t>有效</w:t>
            </w:r>
            <w:r>
              <w:rPr>
                <w:rFonts w:hint="eastAsia" w:ascii="Times New Roman" w:hAnsi="Times New Roman" w:eastAsia="宋体" w:cs="Times New Roman"/>
                <w:b w:val="0"/>
                <w:i w:val="0"/>
                <w:caps w:val="0"/>
                <w:color w:val="auto"/>
                <w:spacing w:val="0"/>
                <w:sz w:val="21"/>
                <w:szCs w:val="21"/>
                <w:highlight w:val="none"/>
                <w:shd w:val="clear" w:color="auto" w:fill="auto"/>
                <w:lang w:eastAsia="zh-CN" w:bidi="ar-SA"/>
              </w:rPr>
              <w:t>的</w:t>
            </w:r>
            <w:r>
              <w:rPr>
                <w:rFonts w:hint="eastAsia" w:ascii="Calibri" w:hAnsi="Calibri" w:eastAsia="宋体" w:cs="宋体"/>
                <w:color w:val="auto"/>
                <w:kern w:val="0"/>
                <w:highlight w:val="none"/>
                <w:shd w:val="clear" w:color="auto" w:fill="auto"/>
              </w:rPr>
              <w:t>相应施工现场专业人员职业培训合格证书，专职安全生产管理人员需有</w:t>
            </w:r>
            <w:r>
              <w:rPr>
                <w:rFonts w:hint="default" w:ascii="Times New Roman" w:hAnsi="Times New Roman" w:eastAsia="宋体" w:cs="Times New Roman"/>
                <w:b w:val="0"/>
                <w:i w:val="0"/>
                <w:caps w:val="0"/>
                <w:color w:val="auto"/>
                <w:spacing w:val="0"/>
                <w:sz w:val="21"/>
                <w:szCs w:val="21"/>
                <w:highlight w:val="none"/>
                <w:shd w:val="clear" w:color="auto" w:fill="auto"/>
                <w:lang w:bidi="ar-SA"/>
              </w:rPr>
              <w:t>有效</w:t>
            </w:r>
            <w:r>
              <w:rPr>
                <w:rFonts w:hint="eastAsia" w:ascii="Calibri" w:hAnsi="Calibri" w:eastAsia="宋体" w:cs="宋体"/>
                <w:color w:val="auto"/>
                <w:kern w:val="0"/>
                <w:highlight w:val="none"/>
                <w:shd w:val="clear" w:color="auto" w:fill="auto"/>
              </w:rPr>
              <w:t>建筑施工企业三类人员C证，且拟投入的项目管理人员符合国家及广西壮族自治区的规定）</w:t>
            </w:r>
            <w:r>
              <w:rPr>
                <w:rFonts w:hint="eastAsia" w:ascii="Calibri" w:hAnsi="Calibri"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 xml:space="preserve">注： </w:t>
            </w:r>
            <w:r>
              <w:rPr>
                <w:rFonts w:hint="eastAsia" w:ascii="方正楷体_GB2312" w:hAnsi="方正楷体_GB2312" w:eastAsia="方正楷体_GB2312" w:cs="方正楷体_GB2312"/>
                <w:color w:val="auto"/>
                <w:kern w:val="0"/>
                <w:highlight w:val="none"/>
                <w:shd w:val="clear" w:color="auto" w:fill="auto"/>
                <w:lang w:eastAsia="zh-CN"/>
              </w:rPr>
              <w:t>1.</w:t>
            </w:r>
            <w:r>
              <w:rPr>
                <w:rFonts w:hint="eastAsia" w:ascii="方正楷体_GB2312" w:hAnsi="方正楷体_GB2312" w:eastAsia="方正楷体_GB2312" w:cs="方正楷体_GB2312"/>
                <w:color w:val="auto"/>
                <w:kern w:val="0"/>
                <w:highlight w:val="none"/>
                <w:shd w:val="clear" w:color="auto" w:fill="auto"/>
              </w:rPr>
              <w:t>该项基本要求不满足，则技术标评审不合格；</w:t>
            </w:r>
            <w:r>
              <w:rPr>
                <w:rFonts w:hint="eastAsia" w:ascii="方正楷体_GB2312" w:hAnsi="方正楷体_GB2312" w:eastAsia="方正楷体_GB2312" w:cs="方正楷体_GB2312"/>
                <w:color w:val="auto"/>
                <w:kern w:val="0"/>
                <w:highlight w:val="none"/>
                <w:shd w:val="clear" w:color="auto" w:fill="auto"/>
                <w:lang w:eastAsia="zh-CN"/>
              </w:rPr>
              <w:t>2.</w:t>
            </w:r>
            <w:r>
              <w:rPr>
                <w:rFonts w:hint="eastAsia" w:ascii="方正楷体_GB2312" w:hAnsi="方正楷体_GB2312" w:eastAsia="方正楷体_GB2312" w:cs="方正楷体_GB2312"/>
                <w:color w:val="auto"/>
                <w:kern w:val="0"/>
                <w:highlight w:val="none"/>
                <w:shd w:val="clear" w:color="auto" w:fill="auto"/>
              </w:rPr>
              <w:t>设优、良、中、一般、差，并对各评分等级设置一个具体分值，不设评分区间</w:t>
            </w:r>
            <w:r>
              <w:rPr>
                <w:rFonts w:hint="eastAsia" w:ascii="Calibri" w:hAnsi="Calibri" w:eastAsia="宋体" w:cs="Times New Roman"/>
                <w:color w:val="auto"/>
                <w:kern w:val="0"/>
                <w:highlight w:val="none"/>
                <w:shd w:val="clear" w:color="auto" w:fill="auto"/>
              </w:rPr>
              <w:t>）</w:t>
            </w:r>
          </w:p>
          <w:p w14:paraId="7BEB2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评分内容：</w:t>
            </w:r>
            <w:r>
              <w:rPr>
                <w:rFonts w:hint="eastAsia" w:ascii="Calibri" w:hAnsi="Calibri" w:eastAsia="宋体" w:cs="宋体"/>
                <w:b/>
                <w:color w:val="auto"/>
                <w:kern w:val="0"/>
                <w:highlight w:val="none"/>
                <w:shd w:val="clear" w:color="auto" w:fill="auto"/>
              </w:rPr>
              <w:t>需要量化</w:t>
            </w:r>
            <w:r>
              <w:rPr>
                <w:rFonts w:hint="eastAsia" w:ascii="Calibri" w:hAnsi="Calibri" w:eastAsia="宋体" w:cs="宋体"/>
                <w:color w:val="auto"/>
                <w:kern w:val="0"/>
                <w:highlight w:val="none"/>
                <w:shd w:val="clear" w:color="auto" w:fill="auto"/>
              </w:rPr>
              <w:t>人员配备情况、人员经验情况、特殊项目其他专业技术人员设置要求等，由招标人根据项目需求调整。</w:t>
            </w:r>
          </w:p>
          <w:p w14:paraId="5CE31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334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80" w:type="dxa"/>
            <w:gridSpan w:val="2"/>
            <w:vMerge w:val="continue"/>
            <w:noWrap w:val="0"/>
            <w:vAlign w:val="center"/>
          </w:tcPr>
          <w:p w14:paraId="160937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667E66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3492C9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施工组织设计（</w:t>
            </w:r>
            <w:r>
              <w:rPr>
                <w:rFonts w:hint="default" w:ascii="Calibri" w:hAnsi="Calibri" w:eastAsia="宋体" w:cs="宋体"/>
                <w:color w:val="auto"/>
                <w:highlight w:val="none"/>
                <w:shd w:val="clear" w:color="auto" w:fill="auto"/>
              </w:rPr>
              <w:t>暗标）</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80</w:t>
            </w:r>
            <w:r>
              <w:rPr>
                <w:rFonts w:hint="eastAsia" w:ascii="Calibri" w:hAnsi="Calibri" w:eastAsia="宋体" w:cs="宋体"/>
                <w:color w:val="auto"/>
                <w:highlight w:val="none"/>
                <w:shd w:val="clear" w:color="auto" w:fill="auto"/>
              </w:rPr>
              <w:t>分）</w:t>
            </w:r>
          </w:p>
        </w:tc>
        <w:tc>
          <w:tcPr>
            <w:tcW w:w="1335" w:type="dxa"/>
            <w:gridSpan w:val="2"/>
            <w:noWrap w:val="0"/>
            <w:vAlign w:val="center"/>
          </w:tcPr>
          <w:p w14:paraId="4D2E2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主要施工方法</w:t>
            </w:r>
          </w:p>
          <w:p w14:paraId="2B68F4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215" w:type="dxa"/>
            <w:gridSpan w:val="5"/>
            <w:noWrap w:val="0"/>
            <w:vAlign w:val="center"/>
          </w:tcPr>
          <w:p w14:paraId="3D7D5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各主要分部施工方法符合项目实际，须有详尽的施工技术方案，工艺先进、方法科学合理、可行，能指导具体施工并确保安全。（</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6CE1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66108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5823E7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36D1BC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68C48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拟投入的主要物资计划（</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215" w:type="dxa"/>
            <w:gridSpan w:val="5"/>
            <w:noWrap w:val="0"/>
            <w:vAlign w:val="center"/>
          </w:tcPr>
          <w:p w14:paraId="14195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投入的施工材料有详细的组织计划且计划周密，数量、选型配置、进场时间安排合理，满足施工需要。（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188A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6634A2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5F083E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6EBF5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44189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劳动力安排计划（</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215" w:type="dxa"/>
            <w:gridSpan w:val="5"/>
            <w:noWrap w:val="0"/>
            <w:vAlign w:val="center"/>
          </w:tcPr>
          <w:p w14:paraId="57FFB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各主要施工工序应有详细周密的劳动力安排计划，有各工种劳动力安排计划，劳动力投入合理，满足施工需要。（</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765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50" w:hRule="atLeast"/>
          <w:jc w:val="center"/>
        </w:trPr>
        <w:tc>
          <w:tcPr>
            <w:tcW w:w="780" w:type="dxa"/>
            <w:gridSpan w:val="2"/>
            <w:vMerge w:val="continue"/>
            <w:noWrap w:val="0"/>
            <w:vAlign w:val="center"/>
          </w:tcPr>
          <w:p w14:paraId="611DCB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7B432D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1E6E1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18BD2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确保工程质量的技术组织措施</w:t>
            </w:r>
          </w:p>
          <w:p w14:paraId="51582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221E2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应有专门的质量技术管理班子和制度，且人员配备合理，制度健全。主要工序应有质量技术保证措施和手段，自控体系完整，能有效保证技术质量，达到承诺的质量标准。（</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22D5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362" w:hRule="atLeast"/>
          <w:jc w:val="center"/>
        </w:trPr>
        <w:tc>
          <w:tcPr>
            <w:tcW w:w="780" w:type="dxa"/>
            <w:gridSpan w:val="2"/>
            <w:vMerge w:val="continue"/>
            <w:noWrap w:val="0"/>
            <w:vAlign w:val="center"/>
          </w:tcPr>
          <w:p w14:paraId="0E9EDC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11D140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5C9D44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15326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确保安全生产的技术组织措施</w:t>
            </w:r>
          </w:p>
          <w:p w14:paraId="24E74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39639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kern w:val="0"/>
                <w:highlight w:val="none"/>
                <w:shd w:val="clear" w:color="auto" w:fill="auto"/>
              </w:rPr>
            </w:pPr>
            <w:r>
              <w:rPr>
                <w:rFonts w:hint="eastAsia" w:ascii="Calibri" w:hAnsi="Calibri" w:eastAsia="宋体" w:cs="宋体"/>
                <w:color w:val="auto"/>
                <w:kern w:val="0"/>
                <w:highlight w:val="none"/>
                <w:shd w:val="clear" w:color="auto" w:fill="auto"/>
              </w:rPr>
              <w:t>应有专门的安全管理人员和制度，且人员配备合理，制度健全，各道工序安全技术措施针对性强，符合实际且满足有关安全技术标准要求。现场防火、应急救援、社会治安安全措施得力。（</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p w14:paraId="11F3C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Times New Roman"/>
                <w:color w:val="auto"/>
                <w:kern w:val="0"/>
                <w:highlight w:val="none"/>
                <w:shd w:val="clear" w:color="auto" w:fill="auto"/>
              </w:rPr>
              <w:t>危险性较大的分部分项工程清单补充完善并明确相应的安全管理措施。（如有）</w:t>
            </w:r>
          </w:p>
        </w:tc>
      </w:tr>
      <w:tr w14:paraId="32D0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362" w:hRule="atLeast"/>
          <w:jc w:val="center"/>
        </w:trPr>
        <w:tc>
          <w:tcPr>
            <w:tcW w:w="780" w:type="dxa"/>
            <w:gridSpan w:val="2"/>
            <w:vMerge w:val="continue"/>
            <w:noWrap w:val="0"/>
            <w:vAlign w:val="center"/>
          </w:tcPr>
          <w:p w14:paraId="137926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73274F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6E7749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0C02D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确保工期的技术组织措施（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051B0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7CEA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50" w:hRule="atLeast"/>
          <w:jc w:val="center"/>
        </w:trPr>
        <w:tc>
          <w:tcPr>
            <w:tcW w:w="780" w:type="dxa"/>
            <w:gridSpan w:val="2"/>
            <w:vMerge w:val="continue"/>
            <w:noWrap w:val="0"/>
            <w:vAlign w:val="center"/>
          </w:tcPr>
          <w:p w14:paraId="1B681D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031C7B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60F263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7B431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确保文明施工的技术组织措施（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2AFA5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针对本工程项目特点，应有现场文明施工、环境保护措施，且措施内容应达到《建筑施工安全生产检查标准》（</w:t>
            </w:r>
            <w:r>
              <w:rPr>
                <w:rFonts w:hint="default" w:ascii="Calibri" w:hAnsi="Calibri" w:eastAsia="宋体" w:cs="Times New Roman"/>
                <w:color w:val="auto"/>
                <w:kern w:val="0"/>
                <w:highlight w:val="none"/>
                <w:shd w:val="clear" w:color="auto" w:fill="auto"/>
              </w:rPr>
              <w:t>JGJ59-2011</w:t>
            </w:r>
            <w:r>
              <w:rPr>
                <w:rFonts w:hint="eastAsia" w:ascii="Calibri" w:hAnsi="Calibri" w:eastAsia="宋体" w:cs="宋体"/>
                <w:color w:val="auto"/>
                <w:kern w:val="0"/>
                <w:highlight w:val="none"/>
                <w:shd w:val="clear" w:color="auto" w:fill="auto"/>
              </w:rPr>
              <w:t>）合格标准并符合《广西壮族自治区建筑工程文明施工导则》要求。各项措施周全、具体、有效。有具体实现现场文明施工目标的承诺。（</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76DC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50" w:hRule="atLeast"/>
          <w:jc w:val="center"/>
        </w:trPr>
        <w:tc>
          <w:tcPr>
            <w:tcW w:w="780" w:type="dxa"/>
            <w:gridSpan w:val="2"/>
            <w:vMerge w:val="continue"/>
            <w:noWrap w:val="0"/>
            <w:vAlign w:val="center"/>
          </w:tcPr>
          <w:p w14:paraId="1B28C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46A289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57121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54A0B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工程施工的重点和难点及保证措施（</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0458D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针对本工程的特点，阐述本工程的重点和难点，解决重点和难点问题的方法是否合理。（</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6E1B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50" w:hRule="atLeast"/>
          <w:jc w:val="center"/>
        </w:trPr>
        <w:tc>
          <w:tcPr>
            <w:tcW w:w="780" w:type="dxa"/>
            <w:gridSpan w:val="2"/>
            <w:vMerge w:val="continue"/>
            <w:noWrap w:val="0"/>
            <w:vAlign w:val="center"/>
          </w:tcPr>
          <w:p w14:paraId="5FC58A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185B93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06C15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44591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施工总平面布置图（</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7A537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应有施工总平面布置图，安排科学合理，符合本项目施工实际要求。（</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6ED8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 w:type="dxa"/>
          <w:trHeight w:val="50" w:hRule="atLeast"/>
          <w:jc w:val="center"/>
        </w:trPr>
        <w:tc>
          <w:tcPr>
            <w:tcW w:w="780" w:type="dxa"/>
            <w:gridSpan w:val="2"/>
            <w:vMerge w:val="continue"/>
            <w:noWrap w:val="0"/>
            <w:vAlign w:val="center"/>
          </w:tcPr>
          <w:p w14:paraId="7D2207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gridSpan w:val="2"/>
            <w:vMerge w:val="continue"/>
            <w:noWrap w:val="0"/>
            <w:vAlign w:val="center"/>
          </w:tcPr>
          <w:p w14:paraId="08A296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5D2703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35" w:type="dxa"/>
            <w:gridSpan w:val="2"/>
            <w:noWrap w:val="0"/>
            <w:vAlign w:val="center"/>
          </w:tcPr>
          <w:p w14:paraId="4BCCB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kern w:val="0"/>
                <w:highlight w:val="none"/>
                <w:shd w:val="clear" w:color="auto" w:fill="auto"/>
              </w:rPr>
            </w:pPr>
            <w:r>
              <w:rPr>
                <w:rFonts w:hint="eastAsia" w:ascii="Calibri" w:hAnsi="Calibri" w:eastAsia="宋体" w:cs="宋体"/>
                <w:color w:val="auto"/>
                <w:kern w:val="0"/>
                <w:highlight w:val="none"/>
                <w:shd w:val="clear" w:color="auto" w:fill="auto"/>
              </w:rPr>
              <w:t>其他（</w:t>
            </w:r>
            <w:r>
              <w:rPr>
                <w:rFonts w:hint="default" w:ascii="Calibri" w:hAnsi="Calibri" w:eastAsia="宋体" w:cs="宋体"/>
                <w:color w:val="auto"/>
                <w:kern w:val="0"/>
                <w:highlight w:val="none"/>
                <w:shd w:val="clear" w:color="auto" w:fill="auto"/>
              </w:rPr>
              <w:t>如</w:t>
            </w:r>
            <w:r>
              <w:rPr>
                <w:rFonts w:hint="eastAsia" w:ascii="Calibri" w:hAnsi="Calibri" w:eastAsia="宋体" w:cs="宋体"/>
                <w:color w:val="auto"/>
                <w:kern w:val="0"/>
                <w:highlight w:val="none"/>
                <w:shd w:val="clear" w:color="auto" w:fill="auto"/>
              </w:rPr>
              <w:t>有</w:t>
            </w:r>
            <w:r>
              <w:rPr>
                <w:rFonts w:hint="default" w:ascii="Calibri" w:hAnsi="Calibri" w:eastAsia="宋体" w:cs="宋体"/>
                <w:color w:val="auto"/>
                <w:kern w:val="0"/>
                <w:highlight w:val="none"/>
                <w:shd w:val="clear" w:color="auto" w:fill="auto"/>
              </w:rPr>
              <w:t>）</w:t>
            </w:r>
          </w:p>
          <w:p w14:paraId="357AD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kern w:val="0"/>
                <w:highlight w:val="none"/>
                <w:shd w:val="clear" w:color="auto" w:fill="auto"/>
              </w:rPr>
              <w:t>（</w:t>
            </w:r>
            <w:r>
              <w:rPr>
                <w:rFonts w:hint="default" w:ascii="Calibri" w:hAnsi="Calibri" w:eastAsia="宋体" w:cs="Times New Roman"/>
                <w:color w:val="auto"/>
                <w:kern w:val="0"/>
                <w:highlight w:val="none"/>
                <w:shd w:val="clear" w:color="auto" w:fill="auto"/>
              </w:rPr>
              <w:t>5</w:t>
            </w:r>
            <w:r>
              <w:rPr>
                <w:rFonts w:hint="eastAsia" w:ascii="Calibri" w:hAnsi="Calibri" w:eastAsia="宋体" w:cs="宋体"/>
                <w:color w:val="auto"/>
                <w:kern w:val="0"/>
                <w:highlight w:val="none"/>
                <w:shd w:val="clear" w:color="auto" w:fill="auto"/>
              </w:rPr>
              <w:t>分</w:t>
            </w:r>
            <w:r>
              <w:rPr>
                <w:rFonts w:hint="eastAsia" w:ascii="Calibri" w:hAnsi="Calibri" w:cs="宋体"/>
                <w:color w:val="auto"/>
                <w:kern w:val="0"/>
                <w:highlight w:val="none"/>
                <w:shd w:val="clear" w:color="auto" w:fill="auto"/>
                <w:lang w:eastAsia="zh-CN"/>
              </w:rPr>
              <w:t>～</w:t>
            </w:r>
            <w:r>
              <w:rPr>
                <w:rFonts w:hint="default" w:ascii="Calibri" w:hAnsi="Calibri" w:eastAsia="宋体" w:cs="Times New Roman"/>
                <w:color w:val="auto"/>
                <w:kern w:val="0"/>
                <w:highlight w:val="none"/>
                <w:shd w:val="clear" w:color="auto" w:fill="auto"/>
              </w:rPr>
              <w:t>10</w:t>
            </w:r>
            <w:r>
              <w:rPr>
                <w:rFonts w:hint="eastAsia" w:ascii="Calibri" w:hAnsi="Calibri" w:eastAsia="宋体" w:cs="宋体"/>
                <w:color w:val="auto"/>
                <w:kern w:val="0"/>
                <w:highlight w:val="none"/>
                <w:shd w:val="clear" w:color="auto" w:fill="auto"/>
              </w:rPr>
              <w:t>分）</w:t>
            </w:r>
          </w:p>
        </w:tc>
        <w:tc>
          <w:tcPr>
            <w:tcW w:w="6016" w:type="dxa"/>
            <w:gridSpan w:val="3"/>
            <w:noWrap w:val="0"/>
            <w:vAlign w:val="center"/>
          </w:tcPr>
          <w:p w14:paraId="498DF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default" w:ascii="方正楷体_GB2312" w:hAnsi="方正楷体_GB2312" w:eastAsia="方正楷体_GB2312" w:cs="方正楷体_GB2312"/>
                <w:color w:val="auto"/>
                <w:kern w:val="0"/>
                <w:highlight w:val="none"/>
                <w:shd w:val="clear" w:color="auto" w:fill="auto"/>
              </w:rPr>
              <w:t>并对</w:t>
            </w:r>
            <w:r>
              <w:rPr>
                <w:rFonts w:hint="eastAsia" w:ascii="方正楷体_GB2312" w:hAnsi="方正楷体_GB2312" w:eastAsia="方正楷体_GB2312" w:cs="方正楷体_GB2312"/>
                <w:color w:val="auto"/>
                <w:kern w:val="0"/>
                <w:highlight w:val="none"/>
                <w:shd w:val="clear" w:color="auto" w:fill="auto"/>
              </w:rPr>
              <w:t>各评分等级设置一个具体分值，</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Calibri" w:hAnsi="Calibri" w:eastAsia="宋体" w:cs="宋体"/>
                <w:color w:val="auto"/>
                <w:kern w:val="0"/>
                <w:highlight w:val="none"/>
                <w:shd w:val="clear" w:color="auto" w:fill="auto"/>
              </w:rPr>
              <w:t>）</w:t>
            </w:r>
          </w:p>
        </w:tc>
      </w:tr>
      <w:tr w14:paraId="616E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362" w:hRule="atLeast"/>
          <w:jc w:val="center"/>
        </w:trPr>
        <w:tc>
          <w:tcPr>
            <w:tcW w:w="780" w:type="dxa"/>
            <w:gridSpan w:val="2"/>
            <w:noWrap w:val="0"/>
            <w:vAlign w:val="center"/>
          </w:tcPr>
          <w:p w14:paraId="243099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p>
          <w:p w14:paraId="6CFEC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w:t>
            </w:r>
          </w:p>
        </w:tc>
        <w:tc>
          <w:tcPr>
            <w:tcW w:w="1382" w:type="dxa"/>
            <w:gridSpan w:val="2"/>
            <w:noWrap w:val="0"/>
            <w:vAlign w:val="center"/>
          </w:tcPr>
          <w:p w14:paraId="2D2816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评标基准价计算</w:t>
            </w:r>
          </w:p>
        </w:tc>
        <w:tc>
          <w:tcPr>
            <w:tcW w:w="7969" w:type="dxa"/>
            <w:gridSpan w:val="7"/>
            <w:noWrap w:val="0"/>
            <w:vAlign w:val="center"/>
          </w:tcPr>
          <w:p w14:paraId="3839BE41">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150" w:right="150" w:firstLine="422" w:firstLineChars="200"/>
              <w:jc w:val="left"/>
              <w:textAlignment w:val="auto"/>
              <w:rPr>
                <w:rFonts w:hint="default" w:ascii="Calibri" w:hAnsi="Calibri" w:eastAsia="宋体" w:cs="Times New Roman"/>
                <w:b/>
                <w:bCs/>
                <w:color w:val="auto"/>
                <w:highlight w:val="none"/>
                <w:shd w:val="clear" w:color="auto" w:fill="auto"/>
              </w:rPr>
            </w:pPr>
            <w:r>
              <w:rPr>
                <w:rFonts w:hint="eastAsia" w:ascii="Calibri" w:hAnsi="Calibri" w:eastAsia="宋体" w:cs="宋体"/>
                <w:b/>
                <w:bCs/>
                <w:color w:val="auto"/>
                <w:highlight w:val="none"/>
                <w:shd w:val="clear" w:color="auto" w:fill="auto"/>
              </w:rPr>
              <w:t>评标基准价的确定方法</w:t>
            </w:r>
          </w:p>
          <w:p w14:paraId="1201E9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（1）有效报价范围：为通过形式评审、响应性评审、资格评审、技术标评审合格、投标总价低于或等于</w:t>
            </w:r>
            <w:r>
              <w:rPr>
                <w:rFonts w:hint="eastAsia" w:ascii="Times New Roman" w:hAnsi="Times New Roman" w:eastAsia="宋体" w:cs="宋体"/>
                <w:color w:val="auto"/>
                <w:highlight w:val="none"/>
                <w:shd w:val="clear" w:color="auto" w:fill="auto"/>
                <w:lang w:eastAsia="zh-CN"/>
              </w:rPr>
              <w:t>最高投标限价</w:t>
            </w:r>
            <w:r>
              <w:rPr>
                <w:rFonts w:hint="default" w:ascii="Times New Roman" w:hAnsi="Times New Roman" w:eastAsia="宋体" w:cs="宋体"/>
                <w:color w:val="auto"/>
                <w:highlight w:val="none"/>
                <w:shd w:val="clear" w:color="auto" w:fill="auto"/>
              </w:rPr>
              <w:t>的报价，若总报价有算术错误，取经算术错误改正后的总报价（下同）。</w:t>
            </w:r>
          </w:p>
          <w:p w14:paraId="28790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sz w:val="21"/>
                <w:szCs w:val="21"/>
                <w:highlight w:val="none"/>
                <w:shd w:val="clear" w:color="auto" w:fill="auto"/>
              </w:rPr>
            </w:pPr>
            <w:r>
              <w:rPr>
                <w:rFonts w:hint="default" w:ascii="Times New Roman" w:hAnsi="Times New Roman" w:eastAsia="宋体" w:cs="宋体"/>
                <w:color w:val="auto"/>
                <w:highlight w:val="none"/>
                <w:shd w:val="clear" w:color="auto" w:fill="auto"/>
              </w:rPr>
              <w:t>（2）确定评标基准价P</w:t>
            </w:r>
            <w:r>
              <w:rPr>
                <w:rFonts w:hint="default" w:ascii="Times New Roman" w:hAnsi="Times New Roman" w:eastAsia="宋体" w:cs="宋体"/>
                <w:color w:val="auto"/>
                <w:sz w:val="21"/>
                <w:szCs w:val="21"/>
                <w:highlight w:val="none"/>
                <w:shd w:val="clear" w:color="auto" w:fill="auto"/>
              </w:rPr>
              <w:t>。</w:t>
            </w:r>
          </w:p>
          <w:p w14:paraId="34A1CE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sz w:val="21"/>
                <w:szCs w:val="21"/>
                <w:highlight w:val="none"/>
                <w:shd w:val="clear" w:color="auto" w:fill="auto"/>
              </w:rPr>
              <w:t>房</w:t>
            </w:r>
            <w:r>
              <w:rPr>
                <w:rFonts w:hint="default" w:ascii="Times New Roman" w:hAnsi="Times New Roman" w:eastAsia="宋体" w:cs="宋体"/>
                <w:color w:val="auto"/>
                <w:highlight w:val="none"/>
                <w:shd w:val="clear" w:color="auto" w:fill="auto"/>
              </w:rPr>
              <w:t>屋建筑</w:t>
            </w:r>
            <w:r>
              <w:rPr>
                <w:rFonts w:hint="eastAsia" w:ascii="Times New Roman" w:hAnsi="Times New Roman" w:eastAsia="宋体" w:cs="宋体"/>
                <w:color w:val="auto"/>
                <w:sz w:val="21"/>
                <w:szCs w:val="21"/>
                <w:highlight w:val="none"/>
                <w:shd w:val="clear" w:color="auto" w:fill="auto"/>
              </w:rPr>
              <w:t>项目，</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的85%的有效报价参与评标基准价计算</w:t>
            </w:r>
            <w:r>
              <w:rPr>
                <w:rFonts w:hint="default" w:ascii="Times New Roman" w:hAnsi="Times New Roman" w:eastAsia="宋体" w:cs="宋体"/>
                <w:color w:val="auto"/>
                <w:highlight w:val="none"/>
                <w:shd w:val="clear" w:color="auto" w:fill="auto"/>
              </w:rPr>
              <w:t>。</w:t>
            </w:r>
          </w:p>
          <w:p w14:paraId="3F260C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eastAsia" w:ascii="Times New Roman" w:hAnsi="Times New Roman" w:eastAsia="宋体" w:cs="宋体"/>
                <w:color w:val="auto"/>
                <w:highlight w:val="none"/>
                <w:shd w:val="clear" w:color="auto" w:fill="auto"/>
              </w:rPr>
              <w:t>由高到低排序后去掉一个最高</w:t>
            </w:r>
            <w:r>
              <w:rPr>
                <w:rFonts w:hint="default" w:ascii="Times New Roman" w:hAnsi="Times New Roman" w:eastAsia="宋体" w:cs="宋体"/>
                <w:color w:val="auto"/>
                <w:highlight w:val="none"/>
                <w:shd w:val="clear" w:color="auto" w:fill="auto"/>
              </w:rPr>
              <w:t>报价</w:t>
            </w:r>
            <w:r>
              <w:rPr>
                <w:rFonts w:hint="eastAsia" w:ascii="Times New Roman" w:hAnsi="Times New Roman" w:eastAsia="宋体" w:cs="宋体"/>
                <w:color w:val="auto"/>
                <w:highlight w:val="none"/>
                <w:shd w:val="clear" w:color="auto" w:fill="auto"/>
              </w:rPr>
              <w:t>和一个最低报价，其余报价的算术平均值为评标基准价P。</w:t>
            </w:r>
          </w:p>
          <w:p w14:paraId="197C55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w:t>
            </w:r>
            <w:r>
              <w:rPr>
                <w:rFonts w:hint="default" w:ascii="Times New Roman" w:hAnsi="Times New Roman" w:eastAsia="宋体" w:cs="宋体"/>
                <w:color w:val="auto"/>
                <w:highlight w:val="none"/>
                <w:shd w:val="clear" w:color="auto" w:fill="auto"/>
                <w:lang w:eastAsia="zh-CN"/>
              </w:rPr>
              <w:t>取</w:t>
            </w:r>
            <w:r>
              <w:rPr>
                <w:rFonts w:hint="default" w:ascii="Times New Roman" w:hAnsi="Times New Roman" w:eastAsia="宋体" w:cs="宋体"/>
                <w:color w:val="auto"/>
                <w:highlight w:val="none"/>
                <w:shd w:val="clear" w:color="auto" w:fill="auto"/>
              </w:rPr>
              <w:t>所有报价的算术平均值为评标基准价P。</w:t>
            </w:r>
          </w:p>
          <w:p w14:paraId="74D796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□市政基础设施项目，取大于</w:t>
            </w:r>
            <w:r>
              <w:rPr>
                <w:rFonts w:hint="eastAsia" w:ascii="Times New Roman" w:hAnsi="Times New Roman" w:eastAsia="宋体" w:cs="宋体"/>
                <w:color w:val="auto"/>
                <w:highlight w:val="none"/>
                <w:shd w:val="clear" w:color="auto" w:fill="auto"/>
                <w:lang w:eastAsia="zh-CN"/>
              </w:rPr>
              <w:t>最高投标限价</w:t>
            </w:r>
            <w:r>
              <w:rPr>
                <w:rFonts w:hint="default" w:ascii="Times New Roman" w:hAnsi="Times New Roman" w:eastAsia="宋体" w:cs="宋体"/>
                <w:color w:val="auto"/>
                <w:highlight w:val="none"/>
                <w:shd w:val="clear" w:color="auto" w:fill="auto"/>
              </w:rPr>
              <w:t>的80%</w:t>
            </w:r>
            <w:r>
              <w:rPr>
                <w:rFonts w:hint="eastAsia" w:ascii="宋体" w:hAnsi="宋体" w:eastAsia="宋体" w:cs="宋体"/>
                <w:color w:val="auto"/>
                <w:highlight w:val="none"/>
                <w:shd w:val="clear" w:color="auto" w:fill="auto"/>
              </w:rPr>
              <w:t>的</w:t>
            </w:r>
            <w:r>
              <w:rPr>
                <w:rFonts w:hint="default" w:ascii="Times New Roman" w:hAnsi="Times New Roman" w:eastAsia="宋体" w:cs="宋体"/>
                <w:color w:val="auto"/>
                <w:highlight w:val="none"/>
                <w:shd w:val="clear" w:color="auto" w:fill="auto"/>
              </w:rPr>
              <w:t>有效报价参与评标基准价计算。</w:t>
            </w:r>
          </w:p>
          <w:p w14:paraId="698DC035">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bookmarkStart w:id="750" w:name="_Hlk101852293"/>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bookmarkEnd w:id="750"/>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default" w:ascii="Times New Roman" w:hAnsi="Times New Roman" w:eastAsia="宋体" w:cs="宋体"/>
                <w:color w:val="auto"/>
                <w:highlight w:val="none"/>
                <w:shd w:val="clear" w:color="auto" w:fill="auto"/>
              </w:rPr>
              <w:t>由高到低排序后去掉一个最高和一个最低报价，其余报价的算术平均值为评标基准价P。</w:t>
            </w:r>
          </w:p>
          <w:p w14:paraId="14E22917">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Times New Roman"/>
                <w:color w:val="auto"/>
                <w:highlight w:val="none"/>
                <w:shd w:val="clear" w:color="auto" w:fill="auto"/>
              </w:rPr>
            </w:pPr>
            <w:bookmarkStart w:id="751" w:name="_Hlk101852321"/>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小于等于4时，所有报价的算术平均值为评标基准价P。</w:t>
            </w:r>
            <w:bookmarkEnd w:id="751"/>
          </w:p>
        </w:tc>
      </w:tr>
      <w:tr w14:paraId="148D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90" w:hRule="atLeast"/>
          <w:jc w:val="center"/>
        </w:trPr>
        <w:tc>
          <w:tcPr>
            <w:tcW w:w="780" w:type="dxa"/>
            <w:gridSpan w:val="2"/>
            <w:noWrap w:val="0"/>
            <w:vAlign w:val="center"/>
          </w:tcPr>
          <w:p w14:paraId="26A74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w:t>
            </w:r>
            <w:r>
              <w:rPr>
                <w:rFonts w:hint="eastAsia" w:ascii="Calibri" w:hAnsi="Calibri" w:cs="Times New Roman"/>
                <w:color w:val="auto"/>
                <w:highlight w:val="none"/>
                <w:shd w:val="clear" w:color="auto" w:fill="auto"/>
                <w:lang w:eastAsia="zh-CN"/>
              </w:rPr>
              <w:t>)</w:t>
            </w:r>
          </w:p>
        </w:tc>
        <w:tc>
          <w:tcPr>
            <w:tcW w:w="1382" w:type="dxa"/>
            <w:gridSpan w:val="2"/>
            <w:noWrap w:val="0"/>
            <w:vAlign w:val="center"/>
          </w:tcPr>
          <w:p w14:paraId="3F2D4C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报价分</w:t>
            </w:r>
          </w:p>
          <w:p w14:paraId="45BD2D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0C9AC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宋体"/>
                <w:color w:val="auto"/>
                <w:highlight w:val="none"/>
                <w:shd w:val="clear" w:color="auto" w:fill="auto"/>
              </w:rPr>
            </w:pPr>
            <w:r>
              <w:rPr>
                <w:rFonts w:hint="eastAsia" w:ascii="Calibri" w:hAnsi="Calibri" w:eastAsia="宋体" w:cs="宋体"/>
                <w:color w:val="auto"/>
                <w:highlight w:val="none"/>
                <w:shd w:val="clear" w:color="auto" w:fill="auto"/>
              </w:rPr>
              <w:t>（</w:t>
            </w:r>
            <w:r>
              <w:rPr>
                <w:rFonts w:hint="eastAsia" w:ascii="宋体" w:hAnsi="宋体" w:eastAsia="宋体" w:cs="宋体"/>
                <w:color w:val="auto"/>
                <w:highlight w:val="none"/>
                <w:shd w:val="clear" w:color="auto" w:fill="auto"/>
              </w:rPr>
              <w:t>满分分值权重</w:t>
            </w:r>
            <w:r>
              <w:rPr>
                <w:rFonts w:hint="eastAsia" w:ascii="Times New Roman" w:hAnsi="Times New Roman" w:eastAsia="宋体" w:cs="宋体"/>
                <w:color w:val="auto"/>
                <w:highlight w:val="none"/>
                <w:shd w:val="clear" w:color="auto" w:fill="auto"/>
              </w:rPr>
              <w:t>□70%□60%□55%□50%□45%）</w:t>
            </w:r>
          </w:p>
          <w:p w14:paraId="7301B2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【备注：右侧评分标准不得修改】</w:t>
            </w:r>
          </w:p>
        </w:tc>
        <w:tc>
          <w:tcPr>
            <w:tcW w:w="7969" w:type="dxa"/>
            <w:gridSpan w:val="7"/>
            <w:noWrap w:val="0"/>
            <w:vAlign w:val="top"/>
          </w:tcPr>
          <w:p w14:paraId="777D69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jc w:val="left"/>
              <w:textAlignment w:val="auto"/>
              <w:rPr>
                <w:rFonts w:hint="default" w:ascii="Calibri" w:hAnsi="Calibri" w:eastAsia="楷体_GB2312" w:cs="Times New Roman"/>
                <w:color w:val="auto"/>
                <w:highlight w:val="none"/>
                <w:shd w:val="clear" w:color="auto" w:fill="auto"/>
              </w:rPr>
            </w:pPr>
            <w:r>
              <w:rPr>
                <w:rFonts w:hint="eastAsia" w:ascii="Calibri" w:hAnsi="Calibri" w:eastAsia="宋体" w:cs="宋体"/>
                <w:b/>
                <w:bCs/>
                <w:color w:val="auto"/>
                <w:highlight w:val="none"/>
                <w:shd w:val="clear" w:color="auto" w:fill="auto"/>
                <w:lang w:eastAsia="zh-CN"/>
              </w:rPr>
              <w:t>一、</w:t>
            </w:r>
            <w:r>
              <w:rPr>
                <w:rFonts w:hint="eastAsia" w:ascii="Calibri" w:hAnsi="Calibri" w:eastAsia="宋体" w:cs="宋体"/>
                <w:b/>
                <w:bCs/>
                <w:color w:val="auto"/>
                <w:highlight w:val="none"/>
                <w:shd w:val="clear" w:color="auto" w:fill="auto"/>
              </w:rPr>
              <w:t>报价分评分标准</w:t>
            </w:r>
            <w:r>
              <w:rPr>
                <w:rFonts w:hint="eastAsia" w:ascii="Times New Roman" w:hAnsi="Times New Roman" w:eastAsia="宋体" w:cs="宋体"/>
                <w:b/>
                <w:bCs/>
                <w:color w:val="auto"/>
                <w:sz w:val="21"/>
                <w:highlight w:val="none"/>
                <w:shd w:val="clear" w:color="auto" w:fill="auto"/>
              </w:rPr>
              <w:t>（满分100分）</w:t>
            </w:r>
          </w:p>
          <w:p w14:paraId="246C7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 w:eastAsia="zh-CN"/>
              </w:rPr>
              <w:t>1.</w:t>
            </w:r>
            <w:r>
              <w:rPr>
                <w:rFonts w:hint="eastAsia" w:ascii="Calibri" w:hAnsi="Calibri" w:eastAsia="宋体" w:cs="宋体"/>
                <w:color w:val="auto"/>
                <w:highlight w:val="none"/>
                <w:shd w:val="clear" w:color="auto" w:fill="auto"/>
              </w:rPr>
              <w:t>总报价分计算</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p>
          <w:p w14:paraId="23498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总报价得分以85分为基数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p>
          <w:p w14:paraId="2950B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（1）总报价在9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含9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的</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总报价得基本分85分。</w:t>
            </w:r>
          </w:p>
          <w:p w14:paraId="11392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（2）总报价</w:t>
            </w:r>
            <w:r>
              <w:rPr>
                <w:rFonts w:hint="eastAsia" w:ascii="Calibri" w:hAnsi="Calibri" w:eastAsia="宋体" w:cs="宋体"/>
                <w:color w:val="auto"/>
                <w:highlight w:val="none"/>
                <w:shd w:val="clear" w:color="auto" w:fill="auto"/>
              </w:rPr>
              <w:t>高于</w:t>
            </w:r>
            <w:r>
              <w:rPr>
                <w:rFonts w:hint="default" w:ascii="Calibri" w:hAnsi="Calibri" w:eastAsia="宋体" w:cs="宋体"/>
                <w:color w:val="auto"/>
                <w:highlight w:val="none"/>
                <w:shd w:val="clear" w:color="auto" w:fill="auto"/>
              </w:rPr>
              <w:t>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w:t>
            </w:r>
            <w:r>
              <w:rPr>
                <w:rFonts w:hint="default" w:ascii="Calibri" w:hAnsi="Calibri" w:eastAsia="宋体" w:cs="宋体"/>
                <w:color w:val="auto"/>
                <w:highlight w:val="none"/>
                <w:shd w:val="clear" w:color="auto" w:fill="auto"/>
              </w:rPr>
              <w:t>含9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的</w:t>
            </w:r>
            <w:r>
              <w:rPr>
                <w:rFonts w:hint="eastAsia" w:ascii="Calibri" w:hAnsi="Calibri" w:eastAsia="宋体" w:cs="宋体"/>
                <w:color w:val="auto"/>
                <w:highlight w:val="none"/>
                <w:shd w:val="clear" w:color="auto" w:fill="auto"/>
              </w:rPr>
              <w:t>，以</w:t>
            </w:r>
            <w:r>
              <w:rPr>
                <w:rFonts w:hint="default" w:ascii="Calibri" w:hAnsi="Calibri" w:eastAsia="宋体" w:cs="宋体"/>
                <w:color w:val="auto"/>
                <w:highlight w:val="none"/>
                <w:shd w:val="clear" w:color="auto" w:fill="auto"/>
              </w:rPr>
              <w:t>85分为基</w:t>
            </w:r>
            <w:r>
              <w:rPr>
                <w:rFonts w:hint="eastAsia" w:ascii="Calibri" w:hAnsi="Calibri" w:eastAsia="宋体" w:cs="宋体"/>
                <w:color w:val="auto"/>
                <w:highlight w:val="none"/>
                <w:shd w:val="clear" w:color="auto" w:fill="auto"/>
              </w:rPr>
              <w:t>数，</w:t>
            </w:r>
            <w:r>
              <w:rPr>
                <w:rFonts w:hint="eastAsia" w:ascii="宋体" w:hAnsi="宋体" w:eastAsia="宋体" w:cs="宋体"/>
                <w:color w:val="auto"/>
                <w:sz w:val="21"/>
                <w:szCs w:val="21"/>
                <w:highlight w:val="none"/>
                <w:shd w:val="clear" w:color="auto" w:fill="auto"/>
                <w:lang w:eastAsia="zh-CN"/>
              </w:rPr>
              <w:t>每</w:t>
            </w:r>
            <w:r>
              <w:rPr>
                <w:rFonts w:hint="eastAsia" w:ascii="Times New Roman" w:hAnsi="Times New Roman" w:eastAsia="宋体" w:cs="宋体"/>
                <w:color w:val="auto"/>
                <w:sz w:val="21"/>
                <w:szCs w:val="21"/>
                <w:highlight w:val="none"/>
                <w:shd w:val="clear" w:color="auto" w:fill="auto"/>
                <w:lang w:eastAsia="zh-CN"/>
              </w:rPr>
              <w:t>高于9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%P一个百</w:t>
            </w:r>
            <w:r>
              <w:rPr>
                <w:rFonts w:hint="eastAsia" w:ascii="宋体" w:hAnsi="宋体" w:eastAsia="宋体" w:cs="宋体"/>
                <w:color w:val="auto"/>
                <w:sz w:val="21"/>
                <w:szCs w:val="21"/>
                <w:highlight w:val="none"/>
                <w:shd w:val="clear" w:color="auto" w:fill="auto"/>
                <w:lang w:eastAsia="zh-CN"/>
              </w:rPr>
              <w:t>分点扣1分</w:t>
            </w:r>
            <w:r>
              <w:rPr>
                <w:rFonts w:hint="default" w:ascii="Times New Roman" w:hAnsi="Times New Roman" w:eastAsia="宋体" w:cs="宋体"/>
                <w:color w:val="auto"/>
                <w:highlight w:val="none"/>
                <w:shd w:val="clear" w:color="auto" w:fill="auto"/>
                <w:lang w:eastAsia="zh-CN"/>
              </w:rPr>
              <w:t>，</w:t>
            </w:r>
            <w:r>
              <w:rPr>
                <w:rFonts w:hint="default"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default" w:ascii="Times New Roman" w:hAnsi="Times New Roman" w:eastAsia="宋体" w:cs="宋体"/>
                <w:color w:val="auto"/>
                <w:sz w:val="21"/>
                <w:szCs w:val="21"/>
                <w:highlight w:val="none"/>
                <w:shd w:val="clear" w:color="auto" w:fill="auto"/>
              </w:rPr>
              <w:t>用内插法计算</w:t>
            </w:r>
            <w:r>
              <w:rPr>
                <w:rFonts w:hint="default" w:ascii="Times New Roman" w:hAnsi="Times New Roman" w:eastAsia="宋体" w:cs="宋体"/>
                <w:color w:val="auto"/>
                <w:highlight w:val="none"/>
                <w:shd w:val="clear" w:color="auto" w:fill="auto"/>
              </w:rPr>
              <w:t>，最多</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85分。</w:t>
            </w:r>
          </w:p>
          <w:p w14:paraId="19184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（3）</w:t>
            </w:r>
            <w:r>
              <w:rPr>
                <w:rFonts w:hint="eastAsia" w:ascii="Calibri" w:hAnsi="Calibri" w:eastAsia="宋体" w:cs="宋体"/>
                <w:color w:val="auto"/>
                <w:highlight w:val="none"/>
                <w:shd w:val="clear" w:color="auto" w:fill="auto"/>
              </w:rPr>
              <w:t>总报价低于9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不含9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 xml:space="preserve"> 的，以85分为</w:t>
            </w:r>
            <w:r>
              <w:rPr>
                <w:rFonts w:hint="default" w:ascii="Calibri" w:hAnsi="Calibri" w:eastAsia="宋体" w:cs="宋体"/>
                <w:color w:val="auto"/>
                <w:highlight w:val="none"/>
                <w:shd w:val="clear" w:color="auto" w:fill="auto"/>
              </w:rPr>
              <w:t>基</w:t>
            </w:r>
            <w:r>
              <w:rPr>
                <w:rFonts w:hint="eastAsia" w:ascii="Calibri" w:hAnsi="Calibri" w:eastAsia="宋体" w:cs="宋体"/>
                <w:color w:val="auto"/>
                <w:highlight w:val="none"/>
                <w:shd w:val="clear" w:color="auto" w:fill="auto"/>
              </w:rPr>
              <w:t>数，</w:t>
            </w:r>
            <w:r>
              <w:rPr>
                <w:rFonts w:hint="eastAsia" w:ascii="Times New Roman" w:hAnsi="Times New Roman" w:eastAsia="宋体" w:cs="宋体"/>
                <w:color w:val="auto"/>
                <w:sz w:val="21"/>
                <w:szCs w:val="21"/>
                <w:highlight w:val="none"/>
                <w:shd w:val="clear" w:color="auto" w:fill="auto"/>
                <w:lang w:eastAsia="zh-CN"/>
              </w:rPr>
              <w:t>每低于9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w:t>
            </w:r>
            <w:r>
              <w:rPr>
                <w:rFonts w:hint="eastAsia" w:ascii="宋体" w:hAnsi="宋体" w:eastAsia="宋体" w:cs="宋体"/>
                <w:color w:val="auto"/>
                <w:sz w:val="21"/>
                <w:szCs w:val="21"/>
                <w:highlight w:val="none"/>
                <w:shd w:val="clear" w:color="auto" w:fill="auto"/>
                <w:lang w:eastAsia="zh-CN"/>
              </w:rPr>
              <w:t>百分点</w:t>
            </w:r>
            <w:r>
              <w:rPr>
                <w:rFonts w:hint="eastAsia" w:ascii="Times New Roman" w:hAnsi="Times New Roman" w:eastAsia="宋体" w:cs="宋体"/>
                <w:color w:val="auto"/>
                <w:sz w:val="21"/>
                <w:szCs w:val="21"/>
                <w:highlight w:val="none"/>
                <w:shd w:val="clear" w:color="auto" w:fill="auto"/>
                <w:lang w:eastAsia="zh-CN"/>
              </w:rPr>
              <w:t>扣0.5分</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eastAsia="宋体" w:cs="宋体"/>
                <w:color w:val="auto"/>
                <w:highlight w:val="none"/>
                <w:shd w:val="clear" w:color="auto" w:fill="auto"/>
              </w:rPr>
              <w:t>，最多扣85分。</w:t>
            </w:r>
          </w:p>
          <w:p w14:paraId="75D01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按上述办法计算得总报价分后，若《</w:t>
            </w:r>
            <w:r>
              <w:rPr>
                <w:rFonts w:hint="eastAsia" w:ascii="Calibri" w:hAnsi="Calibri" w:eastAsia="宋体" w:cs="宋体"/>
                <w:color w:val="auto"/>
                <w:highlight w:val="none"/>
                <w:lang w:eastAsia="zh-CN"/>
              </w:rPr>
              <w:t>建筑安装工程费</w:t>
            </w:r>
            <w:r>
              <w:rPr>
                <w:rFonts w:hint="eastAsia" w:ascii="Calibri" w:hAnsi="Calibri" w:eastAsia="宋体" w:cs="宋体"/>
                <w:color w:val="auto"/>
                <w:highlight w:val="none"/>
              </w:rPr>
              <w:t>汇总表</w:t>
            </w:r>
            <w:r>
              <w:rPr>
                <w:rFonts w:hint="eastAsia" w:ascii="Calibri" w:hAnsi="Calibri" w:eastAsia="宋体" w:cs="宋体"/>
                <w:color w:val="auto"/>
                <w:highlight w:val="none"/>
                <w:shd w:val="clear" w:color="auto" w:fill="auto"/>
              </w:rPr>
              <w:t>》《工程量清单报价表》《</w:t>
            </w:r>
            <w:r>
              <w:rPr>
                <w:rFonts w:hint="eastAsia" w:ascii="Calibri" w:hAnsi="Calibri" w:eastAsia="宋体" w:cs="宋体"/>
                <w:color w:val="auto"/>
                <w:highlight w:val="none"/>
                <w:lang w:eastAsia="zh-CN"/>
              </w:rPr>
              <w:t>措施项目清单报价表</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lang w:eastAsia="zh-CN"/>
              </w:rPr>
              <w:t>其他项目清单报价表</w:t>
            </w:r>
            <w:r>
              <w:rPr>
                <w:rFonts w:hint="eastAsia" w:ascii="Calibri" w:hAnsi="Calibri" w:eastAsia="宋体" w:cs="宋体"/>
                <w:color w:val="auto"/>
                <w:highlight w:val="none"/>
                <w:shd w:val="clear" w:color="auto" w:fill="auto"/>
              </w:rPr>
              <w:t>》等有算术错误的，以投标报价汇总表标明的总额为基数，经算术错误改正后的投标报价汇总表总额每偏离一个百分点扣2分，</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eastAsia="宋体" w:cs="宋体"/>
                <w:color w:val="auto"/>
                <w:highlight w:val="none"/>
                <w:shd w:val="clear" w:color="auto" w:fill="auto"/>
              </w:rPr>
              <w:t>，直至总报价分被扣至0分为止。</w:t>
            </w:r>
          </w:p>
          <w:p w14:paraId="62631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2.</w:t>
            </w:r>
            <w:r>
              <w:rPr>
                <w:rFonts w:hint="eastAsia" w:ascii="Calibri" w:hAnsi="Calibri" w:eastAsia="宋体" w:cs="宋体"/>
                <w:color w:val="auto"/>
                <w:highlight w:val="none"/>
                <w:shd w:val="clear" w:color="auto" w:fill="auto"/>
              </w:rPr>
              <w:t>单价部分（满分15分）</w:t>
            </w:r>
          </w:p>
          <w:p w14:paraId="58888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价得分以</w:t>
            </w:r>
            <w:r>
              <w:rPr>
                <w:rFonts w:hint="eastAsia" w:ascii="Calibri" w:hAnsi="Calibri" w:eastAsia="宋体" w:cs="宋体"/>
                <w:color w:val="auto"/>
                <w:highlight w:val="none"/>
                <w:shd w:val="clear" w:color="auto" w:fill="auto"/>
              </w:rPr>
              <w:t>1</w:t>
            </w:r>
            <w:r>
              <w:rPr>
                <w:rFonts w:hint="default" w:ascii="Calibri" w:hAnsi="Calibri" w:eastAsia="宋体" w:cs="宋体"/>
                <w:color w:val="auto"/>
                <w:highlight w:val="none"/>
                <w:shd w:val="clear" w:color="auto" w:fill="auto"/>
              </w:rPr>
              <w:t>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p>
          <w:p w14:paraId="6AF1A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1</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工程量清单中主要项目（工程量清单中带*号项目）投标报价在该项目投标平均单价80%（含80%）至105%（含105%）之内的不扣分，之外的每项扣0.5分。</w:t>
            </w:r>
          </w:p>
          <w:p w14:paraId="57DFC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2</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投标项目单价超过公布控制单价的，每项扣2分。</w:t>
            </w:r>
            <w:r>
              <w:rPr>
                <w:rFonts w:hint="eastAsia" w:ascii="Calibri" w:hAnsi="Calibri" w:eastAsia="宋体" w:cs="宋体"/>
                <w:color w:val="auto"/>
                <w:highlight w:val="none"/>
                <w:shd w:val="clear" w:color="auto" w:fill="auto"/>
              </w:rPr>
              <w:tab/>
            </w:r>
          </w:p>
          <w:p w14:paraId="0A679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3</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已标价的《工程量清单报价表》中引用的单价与单价分析表不符的，每发现一处扣0.5分。单项报价以算术修正后的《工程量清单报价表》为准。</w:t>
            </w:r>
          </w:p>
          <w:p w14:paraId="64F69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以上</w:t>
            </w:r>
            <w:r>
              <w:rPr>
                <w:rFonts w:hint="eastAsia" w:ascii="Calibri" w:hAnsi="Calibri" w:eastAsia="宋体" w:cs="宋体"/>
                <w:color w:val="auto"/>
                <w:highlight w:val="none"/>
                <w:shd w:val="clear" w:color="auto" w:fill="auto"/>
                <w:lang w:val="en-US" w:eastAsia="zh-CN"/>
              </w:rPr>
              <w:t>3</w:t>
            </w:r>
            <w:r>
              <w:rPr>
                <w:rFonts w:hint="eastAsia" w:ascii="Calibri" w:hAnsi="Calibri" w:eastAsia="宋体" w:cs="宋体"/>
                <w:color w:val="auto"/>
                <w:highlight w:val="none"/>
                <w:shd w:val="clear" w:color="auto" w:fill="auto"/>
              </w:rPr>
              <w:t>项</w:t>
            </w:r>
            <w:r>
              <w:rPr>
                <w:rFonts w:hint="eastAsia" w:ascii="Calibri" w:hAnsi="Calibri" w:eastAsia="宋体" w:cs="宋体"/>
                <w:color w:val="auto"/>
                <w:highlight w:val="none"/>
                <w:shd w:val="clear" w:color="auto" w:fill="auto"/>
                <w:lang w:eastAsia="zh-CN"/>
              </w:rPr>
              <w:t>一共</w:t>
            </w:r>
            <w:r>
              <w:rPr>
                <w:rFonts w:hint="eastAsia" w:ascii="Calibri" w:hAnsi="Calibri" w:eastAsia="宋体" w:cs="宋体"/>
                <w:color w:val="auto"/>
                <w:highlight w:val="none"/>
                <w:shd w:val="clear" w:color="auto" w:fill="auto"/>
              </w:rPr>
              <w:t>最多扣15分。</w:t>
            </w:r>
          </w:p>
          <w:p w14:paraId="4902B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（注：①</w:t>
            </w:r>
            <w:bookmarkStart w:id="752" w:name="_Hlk101852584"/>
            <w:r>
              <w:rPr>
                <w:rFonts w:hint="eastAsia" w:ascii="Calibri" w:hAnsi="Calibri" w:eastAsia="宋体" w:cs="宋体"/>
                <w:color w:val="auto"/>
                <w:highlight w:val="none"/>
                <w:shd w:val="clear" w:color="auto" w:fill="auto"/>
              </w:rPr>
              <w:t>当有效报价数大于4家时，</w:t>
            </w:r>
            <w:bookmarkEnd w:id="752"/>
            <w:r>
              <w:rPr>
                <w:rFonts w:hint="eastAsia" w:ascii="Calibri" w:hAnsi="Calibri" w:eastAsia="宋体" w:cs="宋体"/>
                <w:color w:val="auto"/>
                <w:highlight w:val="none"/>
                <w:shd w:val="clear" w:color="auto" w:fill="auto"/>
              </w:rPr>
              <w:t>投标平均单价=所有相应项目单价除去一个最高值和一个最低值后的平均数；②</w:t>
            </w:r>
            <w:bookmarkStart w:id="753" w:name="_Hlk101852632"/>
            <w:r>
              <w:rPr>
                <w:rFonts w:hint="eastAsia" w:ascii="Calibri" w:hAnsi="Calibri" w:eastAsia="宋体" w:cs="宋体"/>
                <w:color w:val="auto"/>
                <w:highlight w:val="none"/>
                <w:shd w:val="clear" w:color="auto" w:fill="auto"/>
              </w:rPr>
              <w:t>当有效报价数小于等于4时，投标平均单价=所有相应项目单价的平均数</w:t>
            </w:r>
            <w:bookmarkEnd w:id="753"/>
            <w:r>
              <w:rPr>
                <w:rFonts w:hint="eastAsia" w:ascii="Calibri" w:hAnsi="Calibri" w:eastAsia="宋体" w:cs="宋体"/>
                <w:color w:val="auto"/>
                <w:highlight w:val="none"/>
                <w:shd w:val="clear" w:color="auto" w:fill="auto"/>
              </w:rPr>
              <w:t>。③工程量清单中主要项目由招标人按项目工程量清单所有单项数量的5%～15%比例选定）。</w:t>
            </w:r>
          </w:p>
          <w:p w14:paraId="190A56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3.</w:t>
            </w:r>
            <w:r>
              <w:rPr>
                <w:rFonts w:hint="eastAsia" w:ascii="Calibri" w:hAnsi="Calibri" w:eastAsia="宋体" w:cs="宋体"/>
                <w:color w:val="auto"/>
                <w:highlight w:val="none"/>
                <w:shd w:val="clear" w:color="auto" w:fill="auto"/>
              </w:rPr>
              <w:t>分项计算，分项计分，保留至小数点后四位。</w:t>
            </w:r>
          </w:p>
          <w:p w14:paraId="2237E6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US" w:eastAsia="zh-CN"/>
              </w:rPr>
              <w:t>4.</w:t>
            </w: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237ECD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Calibri" w:hAnsi="Calibri" w:eastAsia="宋体" w:cs="宋体"/>
                <w:b/>
                <w:bCs/>
                <w:color w:val="auto"/>
                <w:highlight w:val="none"/>
              </w:rPr>
            </w:pPr>
            <w:r>
              <w:rPr>
                <w:rFonts w:hint="eastAsia" w:ascii="Calibri" w:hAnsi="Calibri" w:eastAsia="宋体" w:cs="宋体"/>
                <w:b/>
                <w:color w:val="auto"/>
                <w:highlight w:val="none"/>
              </w:rPr>
              <w:t>二</w:t>
            </w:r>
            <w:r>
              <w:rPr>
                <w:rFonts w:hint="default" w:ascii="Calibri" w:hAnsi="Calibri" w:eastAsia="宋体" w:cs="宋体"/>
                <w:b/>
                <w:color w:val="auto"/>
                <w:highlight w:val="none"/>
              </w:rPr>
              <w:t>、</w:t>
            </w:r>
            <w:r>
              <w:rPr>
                <w:rFonts w:hint="eastAsia" w:ascii="Calibri" w:hAnsi="Calibri" w:eastAsia="宋体" w:cs="宋体"/>
                <w:b/>
                <w:color w:val="auto"/>
                <w:highlight w:val="none"/>
              </w:rPr>
              <w:t>非专门面向中小企业采购、接受联合体或允许分包的政府采购工程项目</w:t>
            </w:r>
            <w:r>
              <w:rPr>
                <w:rFonts w:hint="eastAsia" w:ascii="Calibri" w:hAnsi="Calibri" w:eastAsia="宋体" w:cs="宋体"/>
                <w:b/>
                <w:bCs/>
                <w:color w:val="auto"/>
                <w:highlight w:val="none"/>
              </w:rPr>
              <w:t>报价分加分</w:t>
            </w:r>
          </w:p>
          <w:p w14:paraId="3C236A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按上述方法计算出价格分加权分后，</w:t>
            </w:r>
          </w:p>
          <w:p w14:paraId="006E2A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如本项目为招标公告中规定的未预留份额专门面向中小企业采购的采购项目，评标委员会应当对满足第二章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w:t>
            </w:r>
            <w:r>
              <w:rPr>
                <w:rFonts w:hint="eastAsia" w:ascii="Calibri" w:hAnsi="Calibri" w:eastAsia="宋体" w:cs="Times New Roman"/>
                <w:color w:val="auto"/>
                <w:highlight w:val="none"/>
              </w:rPr>
              <w:t>规定的</w:t>
            </w:r>
            <w:r>
              <w:rPr>
                <w:rFonts w:hint="eastAsia" w:ascii="Calibri" w:hAnsi="Calibri" w:eastAsia="宋体" w:cs="宋体"/>
                <w:color w:val="auto"/>
                <w:highlight w:val="none"/>
              </w:rPr>
              <w:t>小微企业价格分加权分给予3%的加分，用加分后的价格分加权分计算汇总得分。</w:t>
            </w:r>
          </w:p>
          <w:p w14:paraId="5021F9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宋体"/>
                <w:color w:val="auto"/>
                <w:highlight w:val="none"/>
              </w:rPr>
            </w:pPr>
            <w:r>
              <w:rPr>
                <w:rFonts w:hint="eastAsia" w:ascii="Calibri" w:hAnsi="Calibri" w:eastAsia="宋体" w:cs="宋体"/>
                <w:color w:val="auto"/>
                <w:highlight w:val="none"/>
              </w:rPr>
              <w:t xml:space="preserve">如接受联合体投标时投标人为大中型企业与小微企业组成联合体，且投标文件所附联合协议约定小微企业的合同份额占到合同总金额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0%以上的；或者第二章</w:t>
            </w:r>
            <w:r>
              <w:rPr>
                <w:rFonts w:hint="default" w:ascii="Calibri" w:hAnsi="Calibri" w:eastAsia="宋体" w:cs="Times New Roman"/>
                <w:color w:val="auto"/>
                <w:highlight w:val="none"/>
              </w:rPr>
              <w:t>“</w:t>
            </w:r>
            <w:r>
              <w:rPr>
                <w:rFonts w:hint="eastAsia" w:ascii="Calibri" w:hAnsi="Calibri" w:eastAsia="宋体" w:cs="宋体"/>
                <w:color w:val="auto"/>
                <w:highlight w:val="none"/>
              </w:rPr>
              <w:t>投标人须知前附表</w:t>
            </w:r>
            <w:r>
              <w:rPr>
                <w:rFonts w:hint="default" w:ascii="Calibri" w:hAnsi="Calibri" w:eastAsia="宋体" w:cs="Times New Roman"/>
                <w:color w:val="auto"/>
                <w:highlight w:val="none"/>
              </w:rPr>
              <w:t>”</w:t>
            </w:r>
            <w:r>
              <w:rPr>
                <w:rFonts w:hint="eastAsia" w:ascii="Calibri" w:hAnsi="Calibri" w:eastAsia="宋体" w:cs="宋体"/>
                <w:color w:val="auto"/>
                <w:highlight w:val="none"/>
              </w:rPr>
              <w:t xml:space="preserve">允许分包时投标人为大中型企业并在投标文件中明确向一家或者多家小微企业分包，且投标文件所附分包意向协议约定小微企业的合同份额占到合同总金额 </w:t>
            </w:r>
            <w:r>
              <w:rPr>
                <w:rFonts w:hint="eastAsia" w:ascii="Calibri" w:hAnsi="Calibri" w:eastAsia="宋体" w:cs="宋体"/>
                <w:color w:val="auto"/>
                <w:highlight w:val="none"/>
                <w:lang w:eastAsia="zh-CN"/>
              </w:rPr>
              <w:t>4</w:t>
            </w:r>
            <w:r>
              <w:rPr>
                <w:rFonts w:hint="eastAsia" w:ascii="Calibri" w:hAnsi="Calibri" w:eastAsia="宋体" w:cs="宋体"/>
                <w:color w:val="auto"/>
                <w:highlight w:val="none"/>
              </w:rPr>
              <w:t xml:space="preserve">0%以上的；评标委员会应当对联合体或者大中型企业的价格分加权分给予 </w:t>
            </w:r>
            <w:r>
              <w:rPr>
                <w:rFonts w:hint="default" w:ascii="Calibri" w:hAnsi="Calibri" w:eastAsia="宋体" w:cs="宋体"/>
                <w:color w:val="auto"/>
                <w:highlight w:val="none"/>
              </w:rPr>
              <w:t>1</w:t>
            </w:r>
            <w:r>
              <w:rPr>
                <w:rFonts w:hint="eastAsia" w:ascii="Calibri" w:hAnsi="Calibri" w:eastAsia="宋体" w:cs="宋体"/>
                <w:color w:val="auto"/>
                <w:highlight w:val="none"/>
              </w:rPr>
              <w:t>%的加分，用加分后的价格分加权分计算汇总得分。</w:t>
            </w:r>
            <w:r>
              <w:rPr>
                <w:rFonts w:hint="eastAsia" w:ascii="宋体" w:hAnsi="宋体" w:eastAsia="宋体" w:cs="宋体"/>
                <w:color w:val="auto"/>
                <w:highlight w:val="none"/>
              </w:rPr>
              <w:t>组成联合体或者接受分包的小微企业与联合体内其他企业、分包企业之间存在直接控股、管理关系的，不享受以上价格优惠政策。</w:t>
            </w:r>
          </w:p>
          <w:p w14:paraId="2F2914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宋体" w:hAnsi="宋体" w:eastAsia="宋体" w:cs="宋体"/>
                <w:color w:val="auto"/>
                <w:highlight w:val="none"/>
              </w:rPr>
            </w:pPr>
            <w:r>
              <w:rPr>
                <w:rFonts w:hint="eastAsia" w:ascii="宋体" w:hAnsi="宋体" w:eastAsia="宋体" w:cs="宋体"/>
                <w:color w:val="auto"/>
                <w:highlight w:val="none"/>
              </w:rPr>
              <w:t>注：如某投标人价格分加权分已是满分，符合上述规定时仍给予加分。</w:t>
            </w:r>
          </w:p>
          <w:p w14:paraId="622276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例：某项目计算价格分</w:t>
            </w:r>
            <w:r>
              <w:rPr>
                <w:rFonts w:hint="eastAsia" w:ascii="宋体" w:hAnsi="宋体" w:eastAsia="宋体" w:cs="宋体"/>
                <w:color w:val="auto"/>
                <w:highlight w:val="none"/>
                <w:lang w:eastAsia="zh-CN"/>
              </w:rPr>
              <w:t>时</w:t>
            </w:r>
            <w:r>
              <w:rPr>
                <w:rFonts w:hint="eastAsia" w:ascii="宋体" w:hAnsi="宋体" w:eastAsia="宋体" w:cs="宋体"/>
                <w:color w:val="auto"/>
                <w:highlight w:val="none"/>
              </w:rPr>
              <w:t>，价格分权重为7</w:t>
            </w:r>
            <w:r>
              <w:rPr>
                <w:rFonts w:hint="default" w:ascii="宋体" w:hAnsi="宋体" w:eastAsia="宋体" w:cs="宋体"/>
                <w:color w:val="auto"/>
                <w:highlight w:val="none"/>
              </w:rPr>
              <w:t>0</w:t>
            </w:r>
            <w:r>
              <w:rPr>
                <w:rFonts w:hint="eastAsia" w:ascii="宋体" w:hAnsi="宋体" w:eastAsia="宋体" w:cs="宋体"/>
                <w:color w:val="auto"/>
                <w:highlight w:val="none"/>
              </w:rPr>
              <w:t>%，某投标人为小微企业，价格分为1</w:t>
            </w:r>
            <w:r>
              <w:rPr>
                <w:rFonts w:hint="default" w:ascii="宋体" w:hAnsi="宋体" w:eastAsia="宋体" w:cs="宋体"/>
                <w:color w:val="auto"/>
                <w:highlight w:val="none"/>
              </w:rPr>
              <w:t>00</w:t>
            </w:r>
            <w:r>
              <w:rPr>
                <w:rFonts w:hint="eastAsia" w:ascii="宋体" w:hAnsi="宋体" w:eastAsia="宋体" w:cs="宋体"/>
                <w:color w:val="auto"/>
                <w:highlight w:val="none"/>
              </w:rPr>
              <w:t>分，加权后为7</w:t>
            </w:r>
            <w:r>
              <w:rPr>
                <w:rFonts w:hint="default" w:ascii="宋体" w:hAnsi="宋体" w:eastAsia="宋体" w:cs="宋体"/>
                <w:color w:val="auto"/>
                <w:highlight w:val="none"/>
              </w:rPr>
              <w:t>0</w:t>
            </w:r>
            <w:r>
              <w:rPr>
                <w:rFonts w:hint="eastAsia" w:ascii="宋体" w:hAnsi="宋体" w:eastAsia="宋体" w:cs="宋体"/>
                <w:color w:val="auto"/>
                <w:highlight w:val="none"/>
              </w:rPr>
              <w:t>分，则其计入汇总得分的价格分应为7</w:t>
            </w:r>
            <w:r>
              <w:rPr>
                <w:rFonts w:hint="default" w:ascii="宋体" w:hAnsi="宋体" w:eastAsia="宋体" w:cs="宋体"/>
                <w:color w:val="auto"/>
                <w:highlight w:val="none"/>
              </w:rPr>
              <w:t>0*</w:t>
            </w:r>
            <w:r>
              <w:rPr>
                <w:rFonts w:hint="eastAsia" w:ascii="宋体" w:hAnsi="宋体" w:eastAsia="宋体" w:cs="宋体"/>
                <w:color w:val="auto"/>
                <w:highlight w:val="none"/>
              </w:rPr>
              <w:t>（1</w:t>
            </w:r>
            <w:r>
              <w:rPr>
                <w:rFonts w:hint="default" w:ascii="宋体" w:hAnsi="宋体" w:eastAsia="宋体" w:cs="宋体"/>
                <w:color w:val="auto"/>
                <w:highlight w:val="none"/>
              </w:rPr>
              <w:t>+3</w:t>
            </w:r>
            <w:r>
              <w:rPr>
                <w:rFonts w:hint="eastAsia" w:ascii="宋体" w:hAnsi="宋体" w:eastAsia="宋体" w:cs="宋体"/>
                <w:color w:val="auto"/>
                <w:highlight w:val="none"/>
              </w:rPr>
              <w:t>%）=</w:t>
            </w:r>
            <w:r>
              <w:rPr>
                <w:rFonts w:hint="default" w:ascii="宋体" w:hAnsi="宋体" w:eastAsia="宋体" w:cs="宋体"/>
                <w:color w:val="auto"/>
                <w:highlight w:val="none"/>
              </w:rPr>
              <w:t>72.1</w:t>
            </w:r>
            <w:r>
              <w:rPr>
                <w:rFonts w:hint="eastAsia" w:ascii="宋体" w:hAnsi="宋体" w:eastAsia="宋体" w:cs="宋体"/>
                <w:color w:val="auto"/>
                <w:highlight w:val="none"/>
              </w:rPr>
              <w:t>分。</w:t>
            </w:r>
          </w:p>
          <w:p w14:paraId="26885D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Times New Roman" w:hAnsi="Times New Roman" w:eastAsia="宋体" w:cs="宋体"/>
                <w:b/>
                <w:bCs/>
                <w:color w:val="auto"/>
                <w:highlight w:val="none"/>
              </w:rPr>
            </w:pPr>
            <w:r>
              <w:rPr>
                <w:rFonts w:hint="eastAsia" w:ascii="宋体" w:hAnsi="宋体" w:eastAsia="宋体" w:cs="宋体"/>
                <w:b/>
                <w:bCs/>
                <w:color w:val="auto"/>
                <w:highlight w:val="none"/>
                <w:lang w:val="en-US" w:eastAsia="zh-CN"/>
              </w:rPr>
              <w:t>三、</w:t>
            </w:r>
            <w:r>
              <w:rPr>
                <w:rFonts w:hint="eastAsia" w:ascii="Times New Roman" w:hAnsi="Times New Roman" w:eastAsia="宋体" w:cs="宋体"/>
                <w:b/>
                <w:bCs/>
                <w:color w:val="auto"/>
                <w:highlight w:val="none"/>
              </w:rPr>
              <w:t>异常低价的甄别处置</w:t>
            </w:r>
          </w:p>
          <w:p w14:paraId="655A97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Times New Roman" w:hAnsi="Times New Roman" w:eastAsia="宋体" w:cs="宋体"/>
                <w:color w:val="auto"/>
                <w:highlight w:val="none"/>
              </w:rPr>
            </w:pPr>
            <w:r>
              <w:rPr>
                <w:rFonts w:hint="eastAsia" w:ascii="Times New Roman" w:hAnsi="Times New Roman" w:eastAsia="宋体" w:cs="宋体"/>
                <w:color w:val="auto"/>
                <w:highlight w:val="none"/>
              </w:rPr>
              <w:t>投标人投标</w:t>
            </w:r>
            <w:r>
              <w:rPr>
                <w:rFonts w:hint="eastAsia" w:cs="宋体"/>
                <w:color w:val="auto"/>
                <w:highlight w:val="none"/>
                <w:lang w:val="en-US" w:eastAsia="zh-CN"/>
              </w:rPr>
              <w:t>总</w:t>
            </w:r>
            <w:r>
              <w:rPr>
                <w:rFonts w:hint="eastAsia" w:ascii="Times New Roman" w:hAnsi="Times New Roman" w:eastAsia="宋体" w:cs="宋体"/>
                <w:color w:val="auto"/>
                <w:highlight w:val="none"/>
              </w:rPr>
              <w:t>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85%</w:t>
            </w:r>
            <w:r>
              <w:rPr>
                <w:rFonts w:hint="eastAsia" w:ascii="Times New Roman" w:hAnsi="Times New Roman" w:eastAsia="宋体" w:cs="宋体"/>
                <w:color w:val="auto"/>
                <w:highlight w:val="none"/>
              </w:rPr>
              <w:t>且低于所有投标人（指投标文件全部内容经过评审未被否决的投标人）投标报价算术平均值的95%时，评标委员会应当启动成本分析。</w:t>
            </w:r>
          </w:p>
          <w:p w14:paraId="344A4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w:t>
            </w:r>
            <w:r>
              <w:rPr>
                <w:rFonts w:hint="eastAsia" w:cs="宋体"/>
                <w:color w:val="auto"/>
                <w:highlight w:val="none"/>
                <w:lang w:val="en-US" w:eastAsia="zh-CN"/>
              </w:rPr>
              <w:t>总</w:t>
            </w:r>
            <w:r>
              <w:rPr>
                <w:rFonts w:hint="eastAsia" w:ascii="Times New Roman" w:hAnsi="Times New Roman" w:eastAsia="宋体" w:cs="宋体"/>
                <w:color w:val="auto"/>
                <w:highlight w:val="none"/>
              </w:rPr>
              <w:t>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85%</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5697EA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0AE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090" w:hRule="atLeast"/>
          <w:jc w:val="center"/>
        </w:trPr>
        <w:tc>
          <w:tcPr>
            <w:tcW w:w="780" w:type="dxa"/>
            <w:gridSpan w:val="2"/>
            <w:noWrap w:val="0"/>
            <w:vAlign w:val="center"/>
          </w:tcPr>
          <w:p w14:paraId="4409C9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4</w:t>
            </w:r>
            <w:r>
              <w:rPr>
                <w:rFonts w:hint="eastAsia" w:ascii="Calibri" w:hAnsi="Calibri" w:cs="Times New Roman"/>
                <w:color w:val="auto"/>
                <w:highlight w:val="none"/>
                <w:shd w:val="clear" w:color="auto" w:fill="auto"/>
                <w:lang w:eastAsia="zh-CN"/>
              </w:rPr>
              <w:t>)</w:t>
            </w:r>
          </w:p>
        </w:tc>
        <w:tc>
          <w:tcPr>
            <w:tcW w:w="1382" w:type="dxa"/>
            <w:gridSpan w:val="2"/>
            <w:noWrap w:val="0"/>
            <w:vAlign w:val="center"/>
          </w:tcPr>
          <w:p w14:paraId="795992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企业信誉实力分评分标准【满分分值权重（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p>
          <w:p w14:paraId="2D3E04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【备注：招标项目如为国有投资（含国有投资占主导或控股地位）项目则须计入此分，其他工程由招标人自行决定是否参照执行</w:t>
            </w:r>
            <w:r>
              <w:rPr>
                <w:rFonts w:hint="eastAsia" w:ascii="Calibri" w:hAnsi="Calibri" w:eastAsia="楷体_GB2312" w:cs="楷体_GB2312"/>
                <w:color w:val="auto"/>
                <w:highlight w:val="none"/>
                <w:shd w:val="clear" w:color="auto" w:fill="auto"/>
                <w:lang w:eastAsia="zh-CN"/>
              </w:rPr>
              <w:t>】</w:t>
            </w:r>
          </w:p>
        </w:tc>
        <w:tc>
          <w:tcPr>
            <w:tcW w:w="7969" w:type="dxa"/>
            <w:gridSpan w:val="7"/>
            <w:noWrap w:val="0"/>
            <w:vAlign w:val="center"/>
          </w:tcPr>
          <w:p w14:paraId="2A5CEF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，按20%权重计入投标人汇总得分。</w:t>
            </w:r>
          </w:p>
          <w:p w14:paraId="5C5712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32F3B8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企业信誉实力得分的确定</w:t>
            </w:r>
            <w:r>
              <w:rPr>
                <w:rFonts w:hint="eastAsia" w:ascii="方正楷体_GB2312" w:hAnsi="方正楷体_GB2312" w:eastAsia="方正楷体_GB2312" w:cs="方正楷体_GB2312"/>
                <w:b w:val="0"/>
                <w:bCs w:val="0"/>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w:t>
            </w:r>
            <w:r>
              <w:rPr>
                <w:rFonts w:hint="eastAsia" w:ascii="方正楷体_GB2312" w:hAnsi="方正楷体_GB2312" w:eastAsia="方正楷体_GB2312" w:cs="方正楷体_GB2312"/>
                <w:b w:val="0"/>
                <w:bCs w:val="0"/>
                <w:color w:val="auto"/>
                <w:highlight w:val="none"/>
                <w:shd w:val="clear" w:color="auto" w:fill="auto"/>
                <w:lang w:val="en-US" w:eastAsia="zh-CN"/>
              </w:rPr>
              <w:t>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single"/>
                <w:shd w:val="clear" w:color="auto" w:fill="auto"/>
              </w:rPr>
              <w:t xml:space="preserve">         </w:t>
            </w:r>
            <w:r>
              <w:rPr>
                <w:rFonts w:hint="eastAsia" w:ascii="方正楷体_GB2312" w:hAnsi="方正楷体_GB2312" w:eastAsia="方正楷体_GB2312" w:cs="方正楷体_GB2312"/>
                <w:b w:val="0"/>
                <w:color w:val="auto"/>
                <w:highlight w:val="none"/>
                <w:shd w:val="clear" w:color="auto" w:fill="auto"/>
              </w:rPr>
              <w:t>）：</w:t>
            </w:r>
          </w:p>
          <w:p w14:paraId="73DFF4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p>
          <w:p w14:paraId="6E40C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r>
              <w:rPr>
                <w:rFonts w:hint="eastAsia" w:ascii="Times New Roman" w:hAnsi="Times New Roman" w:eastAsia="宋体" w:cs="宋体"/>
                <w:color w:val="auto"/>
                <w:highlight w:val="none"/>
                <w:shd w:val="clear" w:color="auto" w:fill="auto"/>
              </w:rPr>
              <w:t>企业信誉实力加权得分=根据实时公布的</w:t>
            </w:r>
            <w:r>
              <w:rPr>
                <w:rFonts w:hint="eastAsia" w:ascii="Times New Roman" w:hAnsi="Times New Roman" w:eastAsia="宋体" w:cs="宋体"/>
                <w:b w:val="0"/>
                <w:color w:val="auto"/>
                <w:highlight w:val="none"/>
                <w:shd w:val="clear" w:color="auto" w:fill="auto"/>
              </w:rPr>
              <w:t>自治区级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50%-100%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3</w:t>
            </w:r>
            <w:r>
              <w:rPr>
                <w:rFonts w:hint="eastAsia" w:ascii="Times New Roman" w:hAnsi="Times New Roman" w:eastAsia="宋体" w:cs="宋体"/>
                <w:color w:val="auto"/>
                <w:highlight w:val="none"/>
                <w:u w:val="single"/>
                <w:shd w:val="clear" w:color="auto" w:fill="auto"/>
              </w:rPr>
              <w:t>0%-100%</w:t>
            </w:r>
            <w:r>
              <w:rPr>
                <w:rFonts w:hint="eastAsia" w:ascii="Times New Roman" w:hAnsi="Times New Roman" w:eastAsia="宋体" w:cs="宋体"/>
                <w:color w:val="auto"/>
                <w:highlight w:val="none"/>
                <w:shd w:val="clear" w:color="auto" w:fill="auto"/>
              </w:rPr>
              <w:t>）×企业信誉实力分分值权重（20%）+根据实时公布的</w:t>
            </w:r>
            <w:r>
              <w:rPr>
                <w:rFonts w:hint="eastAsia" w:ascii="Times New Roman" w:hAnsi="Times New Roman" w:eastAsia="宋体" w:cs="宋体"/>
                <w:b w:val="0"/>
                <w:color w:val="auto"/>
                <w:highlight w:val="none"/>
                <w:shd w:val="clear" w:color="auto" w:fill="auto"/>
              </w:rPr>
              <w:t>设区市级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7</w:t>
            </w:r>
            <w:r>
              <w:rPr>
                <w:rFonts w:hint="eastAsia" w:ascii="Times New Roman" w:hAnsi="Times New Roman" w:eastAsia="宋体" w:cs="宋体"/>
                <w:color w:val="auto"/>
                <w:highlight w:val="none"/>
                <w:u w:val="single"/>
                <w:shd w:val="clear" w:color="auto" w:fill="auto"/>
              </w:rPr>
              <w:t>0%-0%</w:t>
            </w:r>
            <w:r>
              <w:rPr>
                <w:rFonts w:hint="eastAsia" w:ascii="Times New Roman" w:hAnsi="Times New Roman" w:eastAsia="宋体" w:cs="宋体"/>
                <w:color w:val="auto"/>
                <w:highlight w:val="none"/>
                <w:shd w:val="clear" w:color="auto" w:fill="auto"/>
              </w:rPr>
              <w:t>）×企业信誉实力分分值权重（20%）</w:t>
            </w:r>
          </w:p>
          <w:p w14:paraId="31FD60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b w:val="0"/>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【备注：自治区级诚信综合评价分占比与设区市级诚信综合评价分占比之和为100%，具体权重由各设区市在</w:t>
            </w:r>
            <w:r>
              <w:rPr>
                <w:rFonts w:hint="eastAsia" w:ascii="方正楷体_GB2312" w:hAnsi="方正楷体_GB2312" w:eastAsia="方正楷体_GB2312" w:cs="方正楷体_GB2312"/>
                <w:color w:val="auto"/>
                <w:highlight w:val="none"/>
                <w:shd w:val="clear" w:color="auto" w:fill="auto"/>
                <w:lang w:eastAsia="zh-CN"/>
              </w:rPr>
              <w:t>规定</w:t>
            </w:r>
            <w:r>
              <w:rPr>
                <w:rFonts w:hint="eastAsia" w:ascii="方正楷体_GB2312" w:hAnsi="方正楷体_GB2312" w:eastAsia="方正楷体_GB2312" w:cs="方正楷体_GB2312"/>
                <w:color w:val="auto"/>
                <w:highlight w:val="none"/>
                <w:shd w:val="clear" w:color="auto" w:fill="auto"/>
              </w:rPr>
              <w:t>比例范围内自行</w:t>
            </w:r>
            <w:r>
              <w:rPr>
                <w:rFonts w:hint="eastAsia" w:ascii="方正楷体_GB2312" w:hAnsi="方正楷体_GB2312" w:eastAsia="方正楷体_GB2312" w:cs="方正楷体_GB2312"/>
                <w:color w:val="auto"/>
                <w:highlight w:val="none"/>
                <w:shd w:val="clear" w:color="auto" w:fill="auto"/>
                <w:lang w:eastAsia="zh-CN"/>
              </w:rPr>
              <w:t>确</w:t>
            </w:r>
            <w:r>
              <w:rPr>
                <w:rFonts w:hint="eastAsia" w:ascii="方正楷体_GB2312" w:hAnsi="方正楷体_GB2312" w:eastAsia="方正楷体_GB2312" w:cs="方正楷体_GB2312"/>
                <w:color w:val="auto"/>
                <w:highlight w:val="none"/>
                <w:shd w:val="clear" w:color="auto" w:fill="auto"/>
              </w:rPr>
              <w:t>定，</w:t>
            </w:r>
            <w:r>
              <w:rPr>
                <w:rFonts w:hint="eastAsia" w:ascii="方正楷体_GB2312" w:hAnsi="方正楷体_GB2312" w:eastAsia="方正楷体_GB2312" w:cs="方正楷体_GB2312"/>
                <w:color w:val="auto"/>
                <w:highlight w:val="none"/>
                <w:shd w:val="clear" w:color="auto" w:fill="auto"/>
                <w:lang w:eastAsia="zh-CN"/>
              </w:rPr>
              <w:t>招标代理</w:t>
            </w:r>
            <w:r>
              <w:rPr>
                <w:rFonts w:hint="eastAsia" w:ascii="方正楷体_GB2312" w:hAnsi="方正楷体_GB2312" w:eastAsia="方正楷体_GB2312" w:cs="方正楷体_GB2312"/>
                <w:color w:val="auto"/>
                <w:highlight w:val="none"/>
                <w:shd w:val="clear" w:color="auto" w:fill="auto"/>
              </w:rPr>
              <w:t>在发出招标文件前把确定后的比例填入招标文件内】</w:t>
            </w:r>
          </w:p>
          <w:p w14:paraId="6332F8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注：自治区级诚信综合评价分由评委在“</w:t>
            </w:r>
            <w:r>
              <w:rPr>
                <w:rFonts w:hint="default" w:ascii="Times New Roman" w:hAnsi="Times New Roman" w:eastAsia="宋体" w:cs="宋体"/>
                <w:color w:val="auto"/>
                <w:highlight w:val="none"/>
                <w:shd w:val="clear" w:color="auto" w:fill="auto"/>
              </w:rPr>
              <w:t>桂建云”</w:t>
            </w:r>
            <w:r>
              <w:rPr>
                <w:rFonts w:hint="eastAsia" w:ascii="Times New Roman" w:hAnsi="Times New Roman" w:eastAsia="宋体" w:cs="宋体"/>
                <w:color w:val="auto"/>
                <w:highlight w:val="none"/>
                <w:shd w:val="clear" w:color="auto" w:fill="auto"/>
              </w:rPr>
              <w:t>平台信息发布的诚信评分公示栏目中查询。 设区市级诚信综合评价分</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shd w:val="clear" w:color="auto" w:fill="auto"/>
              </w:rPr>
              <w:t>。</w:t>
            </w:r>
          </w:p>
        </w:tc>
      </w:tr>
      <w:tr w14:paraId="5A9B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211" w:hRule="atLeast"/>
          <w:jc w:val="center"/>
        </w:trPr>
        <w:tc>
          <w:tcPr>
            <w:tcW w:w="2162" w:type="dxa"/>
            <w:gridSpan w:val="4"/>
            <w:noWrap w:val="0"/>
            <w:vAlign w:val="center"/>
          </w:tcPr>
          <w:p w14:paraId="7A0A64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投标人汇总得分</w:t>
            </w:r>
          </w:p>
          <w:p w14:paraId="6C6EA8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（满分100分）</w:t>
            </w:r>
          </w:p>
        </w:tc>
        <w:tc>
          <w:tcPr>
            <w:tcW w:w="7969" w:type="dxa"/>
            <w:gridSpan w:val="7"/>
            <w:noWrap w:val="0"/>
            <w:vAlign w:val="center"/>
          </w:tcPr>
          <w:p w14:paraId="15BBCB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报价最后得分=报价分加权得分+小微企业或残疾人或监狱企业加分（如有）</w:t>
            </w:r>
          </w:p>
          <w:p w14:paraId="3C6D17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商务标得分= 报价分加权得分（有小微企业或残疾人或监狱企业加分时</w:t>
            </w:r>
            <w:r>
              <w:rPr>
                <w:rFonts w:hint="default" w:ascii="Calibri" w:hAnsi="Calibri" w:eastAsia="宋体" w:cs="宋体"/>
                <w:color w:val="auto"/>
                <w:highlight w:val="none"/>
                <w:shd w:val="clear" w:color="auto" w:fill="auto"/>
              </w:rPr>
              <w:t>为</w:t>
            </w:r>
            <w:r>
              <w:rPr>
                <w:rFonts w:hint="eastAsia" w:ascii="Calibri" w:hAnsi="Calibri" w:eastAsia="宋体" w:cs="宋体"/>
                <w:color w:val="auto"/>
                <w:highlight w:val="none"/>
                <w:shd w:val="clear" w:color="auto" w:fill="auto"/>
              </w:rPr>
              <w:t>报价最后得分 ）+ 企业信誉实力加权得分</w:t>
            </w:r>
          </w:p>
          <w:p w14:paraId="624965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投标人汇总得分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 xml:space="preserve"> 技术标加权得分 </w:t>
            </w:r>
            <w:r>
              <w:rPr>
                <w:rFonts w:hint="default" w:ascii="Calibri" w:hAnsi="Calibri" w:eastAsia="宋体" w:cs="Times New Roman"/>
                <w:color w:val="auto"/>
                <w:highlight w:val="none"/>
                <w:shd w:val="clear" w:color="auto" w:fill="auto"/>
              </w:rPr>
              <w:t>+</w:t>
            </w:r>
            <w:r>
              <w:rPr>
                <w:rFonts w:hint="eastAsia" w:ascii="Calibri" w:hAnsi="Calibri" w:eastAsia="宋体" w:cs="Times New Roman"/>
                <w:color w:val="auto"/>
                <w:highlight w:val="none"/>
                <w:shd w:val="clear" w:color="auto" w:fill="auto"/>
              </w:rPr>
              <w:t xml:space="preserve"> </w:t>
            </w:r>
            <w:r>
              <w:rPr>
                <w:rFonts w:hint="eastAsia" w:ascii="Calibri" w:hAnsi="Calibri" w:eastAsia="宋体" w:cs="宋体"/>
                <w:color w:val="auto"/>
                <w:highlight w:val="none"/>
                <w:shd w:val="clear" w:color="auto" w:fill="auto"/>
              </w:rPr>
              <w:t>商务标得分</w:t>
            </w:r>
          </w:p>
        </w:tc>
      </w:tr>
      <w:tr w14:paraId="0D76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211" w:hRule="atLeast"/>
          <w:jc w:val="center"/>
        </w:trPr>
        <w:tc>
          <w:tcPr>
            <w:tcW w:w="771" w:type="dxa"/>
            <w:noWrap w:val="0"/>
            <w:vAlign w:val="center"/>
          </w:tcPr>
          <w:p w14:paraId="6857B4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w:t>
            </w:r>
          </w:p>
        </w:tc>
        <w:tc>
          <w:tcPr>
            <w:tcW w:w="1391" w:type="dxa"/>
            <w:gridSpan w:val="3"/>
            <w:noWrap w:val="0"/>
            <w:vAlign w:val="center"/>
          </w:tcPr>
          <w:p w14:paraId="48132A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评标程序</w:t>
            </w:r>
          </w:p>
        </w:tc>
        <w:tc>
          <w:tcPr>
            <w:tcW w:w="7969" w:type="dxa"/>
            <w:gridSpan w:val="7"/>
            <w:noWrap w:val="0"/>
            <w:vAlign w:val="center"/>
          </w:tcPr>
          <w:p w14:paraId="4E7B07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A</w:t>
            </w:r>
            <w:r>
              <w:rPr>
                <w:rFonts w:hint="eastAsia" w:ascii="Calibri" w:hAnsi="Calibri" w:eastAsia="宋体" w:cs="宋体"/>
                <w:color w:val="auto"/>
                <w:highlight w:val="none"/>
                <w:shd w:val="clear" w:color="auto" w:fill="auto"/>
              </w:rPr>
              <w:t>：评标详细程序</w:t>
            </w:r>
          </w:p>
        </w:tc>
      </w:tr>
      <w:tr w14:paraId="7448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507" w:hRule="atLeast"/>
          <w:jc w:val="center"/>
        </w:trPr>
        <w:tc>
          <w:tcPr>
            <w:tcW w:w="771" w:type="dxa"/>
            <w:noWrap w:val="0"/>
            <w:vAlign w:val="center"/>
          </w:tcPr>
          <w:p w14:paraId="68C462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3.1.2</w:t>
            </w:r>
          </w:p>
        </w:tc>
        <w:tc>
          <w:tcPr>
            <w:tcW w:w="1391" w:type="dxa"/>
            <w:gridSpan w:val="3"/>
            <w:noWrap w:val="0"/>
            <w:vAlign w:val="center"/>
          </w:tcPr>
          <w:p w14:paraId="6C7339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否决投标条件</w:t>
            </w:r>
          </w:p>
        </w:tc>
        <w:tc>
          <w:tcPr>
            <w:tcW w:w="7969" w:type="dxa"/>
            <w:gridSpan w:val="7"/>
            <w:noWrap w:val="0"/>
            <w:vAlign w:val="center"/>
          </w:tcPr>
          <w:p w14:paraId="550F03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w:t>
            </w:r>
          </w:p>
        </w:tc>
      </w:tr>
    </w:tbl>
    <w:p w14:paraId="1B39A104">
      <w:pPr>
        <w:spacing w:line="360" w:lineRule="auto"/>
        <w:rPr>
          <w:color w:val="auto"/>
          <w:highlight w:val="none"/>
        </w:rPr>
      </w:pPr>
      <w:r>
        <w:rPr>
          <w:rFonts w:hint="eastAsia" w:cs="宋体"/>
          <w:color w:val="auto"/>
          <w:highlight w:val="none"/>
        </w:rPr>
        <w:t>备注：</w:t>
      </w:r>
    </w:p>
    <w:p w14:paraId="204357A5">
      <w:pPr>
        <w:spacing w:line="360" w:lineRule="auto"/>
        <w:ind w:firstLine="437"/>
        <w:rPr>
          <w:rFonts w:hint="eastAsia" w:ascii="方正楷体_GB2312" w:hAnsi="方正楷体_GB2312" w:eastAsia="方正楷体_GB2312" w:cs="方正楷体_GB2312"/>
          <w:color w:val="auto"/>
          <w:highlight w:val="none"/>
          <w:u w:val="single"/>
        </w:rPr>
      </w:pPr>
      <w:r>
        <w:rPr>
          <w:rFonts w:hint="eastAsia" w:ascii="方正楷体_GB2312" w:hAnsi="方正楷体_GB2312" w:eastAsia="方正楷体_GB2312" w:cs="方正楷体_GB2312"/>
          <w:color w:val="auto"/>
          <w:highlight w:val="none"/>
        </w:rPr>
        <w:t xml:space="preserve">1. </w:t>
      </w:r>
      <w:r>
        <w:rPr>
          <w:rFonts w:hint="eastAsia" w:ascii="方正楷体_GB2312" w:hAnsi="方正楷体_GB2312" w:eastAsia="方正楷体_GB2312" w:cs="方正楷体_GB2312"/>
          <w:color w:val="auto"/>
          <w:highlight w:val="none"/>
        </w:rPr>
        <w:t>招标项目所需企业资质等级已是最低级别的，不应设置业绩要求。</w:t>
      </w:r>
      <w:r>
        <w:rPr>
          <w:rFonts w:hint="eastAsia" w:ascii="方正楷体_GB2312" w:hAnsi="方正楷体_GB2312" w:eastAsia="方正楷体_GB2312" w:cs="方正楷体_GB2312"/>
          <w:color w:val="auto"/>
          <w:highlight w:val="none"/>
        </w:rPr>
        <w:t>招标公告没有提出类似工程业绩要求的，资格评审时如果采用合格制，不得设置类似工程业绩要求；如果采用有限数量制，可以设置类似工程业绩要求。</w:t>
      </w:r>
    </w:p>
    <w:p w14:paraId="22C071F9">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招标公告提出类似工程业绩要求的，资格评审时必须设置类似工程业绩要求，考核期同“投标人须知前附表”3.1.4条，类似工程同招标公告。</w:t>
      </w:r>
    </w:p>
    <w:p w14:paraId="125342AF">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人员资格岗位、职称、业绩等信息评分需以“桂建云”录入的为准，否则在评审时不予承认。</w:t>
      </w:r>
    </w:p>
    <w:p w14:paraId="7A5D447B">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 xml:space="preserve">4. </w:t>
      </w:r>
      <w:r>
        <w:rPr>
          <w:rFonts w:hint="eastAsia" w:ascii="方正楷体_GB2312" w:hAnsi="方正楷体_GB2312" w:eastAsia="方正楷体_GB2312" w:cs="方正楷体_GB2312"/>
          <w:color w:val="auto"/>
          <w:highlight w:val="none"/>
          <w:lang w:eastAsia="zh-CN"/>
        </w:rPr>
        <w:t>自治区级</w:t>
      </w:r>
      <w:r>
        <w:rPr>
          <w:rFonts w:hint="eastAsia" w:ascii="方正楷体_GB2312" w:hAnsi="方正楷体_GB2312" w:eastAsia="方正楷体_GB2312" w:cs="方正楷体_GB2312"/>
          <w:color w:val="auto"/>
          <w:highlight w:val="none"/>
        </w:rPr>
        <w:t>企业信誉实力</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从“桂建云”系统计取</w:t>
      </w:r>
      <w:r>
        <w:rPr>
          <w:rFonts w:hint="eastAsia" w:ascii="方正楷体_GB2312" w:hAnsi="方正楷体_GB2312" w:eastAsia="方正楷体_GB2312" w:cs="方正楷体_GB2312"/>
          <w:color w:val="auto"/>
          <w:highlight w:val="none"/>
          <w:lang w:eastAsia="zh-CN"/>
        </w:rPr>
        <w:t>，各设区市企业信誉实力分从各市平台查询</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各设区市房屋建筑及市政基础设施工程招标时，企业信誉实力分由自治区级、市级两部分组成，其中</w:t>
      </w:r>
      <w:r>
        <w:rPr>
          <w:rFonts w:hint="eastAsia" w:ascii="方正楷体_GB2312" w:hAnsi="方正楷体_GB2312" w:eastAsia="方正楷体_GB2312" w:cs="方正楷体_GB2312"/>
          <w:color w:val="auto"/>
          <w:highlight w:val="none"/>
          <w:lang w:eastAsia="zh-CN"/>
        </w:rPr>
        <w:t>自治</w:t>
      </w:r>
      <w:r>
        <w:rPr>
          <w:rFonts w:hint="eastAsia" w:ascii="方正楷体_GB2312" w:hAnsi="方正楷体_GB2312" w:eastAsia="方正楷体_GB2312" w:cs="方正楷体_GB2312"/>
          <w:color w:val="auto"/>
          <w:highlight w:val="none"/>
        </w:rPr>
        <w:t>区级的诚信综合评价分占比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1亿元以上取50%-100%，1亿元以下取</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0%-100%，设区市级诚信综合评价分占比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1亿元以上取50%-0%，1亿元以下取</w:t>
      </w:r>
      <w:r>
        <w:rPr>
          <w:rFonts w:hint="eastAsia" w:ascii="方正楷体_GB2312" w:hAnsi="方正楷体_GB2312" w:eastAsia="方正楷体_GB2312" w:cs="方正楷体_GB2312"/>
          <w:color w:val="auto"/>
          <w:highlight w:val="none"/>
          <w:lang w:val="en-US" w:eastAsia="zh-CN"/>
        </w:rPr>
        <w:t>7</w:t>
      </w:r>
      <w:r>
        <w:rPr>
          <w:rFonts w:hint="eastAsia" w:ascii="方正楷体_GB2312" w:hAnsi="方正楷体_GB2312" w:eastAsia="方正楷体_GB2312" w:cs="方正楷体_GB2312"/>
          <w:color w:val="auto"/>
          <w:highlight w:val="none"/>
        </w:rPr>
        <w:t>0%-0%（具体权重由各设区市在</w:t>
      </w:r>
      <w:r>
        <w:rPr>
          <w:rFonts w:hint="eastAsia" w:ascii="方正楷体_GB2312" w:hAnsi="方正楷体_GB2312" w:eastAsia="方正楷体_GB2312" w:cs="方正楷体_GB2312"/>
          <w:color w:val="auto"/>
          <w:highlight w:val="none"/>
          <w:lang w:eastAsia="zh-CN"/>
        </w:rPr>
        <w:t>规定</w:t>
      </w:r>
      <w:r>
        <w:rPr>
          <w:rFonts w:hint="eastAsia" w:ascii="方正楷体_GB2312" w:hAnsi="方正楷体_GB2312" w:eastAsia="方正楷体_GB2312" w:cs="方正楷体_GB2312"/>
          <w:color w:val="auto"/>
          <w:highlight w:val="none"/>
        </w:rPr>
        <w:t>比例范围内自行</w:t>
      </w:r>
      <w:r>
        <w:rPr>
          <w:rFonts w:hint="eastAsia" w:ascii="方正楷体_GB2312" w:hAnsi="方正楷体_GB2312" w:eastAsia="方正楷体_GB2312" w:cs="方正楷体_GB2312"/>
          <w:color w:val="auto"/>
          <w:highlight w:val="none"/>
          <w:lang w:eastAsia="zh-CN"/>
        </w:rPr>
        <w:t>确</w:t>
      </w:r>
      <w:r>
        <w:rPr>
          <w:rFonts w:hint="eastAsia" w:ascii="方正楷体_GB2312" w:hAnsi="方正楷体_GB2312" w:eastAsia="方正楷体_GB2312" w:cs="方正楷体_GB2312"/>
          <w:color w:val="auto"/>
          <w:highlight w:val="none"/>
        </w:rPr>
        <w:t>定）；</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val="en-US" w:eastAsia="zh-CN"/>
        </w:rPr>
        <w:t>3.</w:t>
      </w:r>
      <w:r>
        <w:rPr>
          <w:rFonts w:hint="eastAsia" w:ascii="方正楷体_GB2312" w:hAnsi="方正楷体_GB2312" w:eastAsia="方正楷体_GB2312" w:cs="方正楷体_GB2312"/>
          <w:b w:val="0"/>
          <w:bCs w:val="0"/>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rPr>
        <w:t>】</w:t>
      </w:r>
    </w:p>
    <w:p w14:paraId="5CB3EE5D">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5. 表2.2.2（1）中施工组织设计为暗标。</w:t>
      </w:r>
    </w:p>
    <w:p w14:paraId="520CA7C4">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6. 综合评估法</w:t>
      </w:r>
      <w:r>
        <w:rPr>
          <w:rFonts w:hint="eastAsia" w:ascii="方正楷体_GB2312" w:hAnsi="方正楷体_GB2312" w:eastAsia="方正楷体_GB2312" w:cs="方正楷体_GB2312"/>
          <w:color w:val="auto"/>
          <w:highlight w:val="none"/>
          <w:lang w:eastAsia="zh-CN"/>
        </w:rPr>
        <w:t>建议</w:t>
      </w:r>
      <w:r>
        <w:rPr>
          <w:rFonts w:hint="eastAsia" w:ascii="方正楷体_GB2312" w:hAnsi="方正楷体_GB2312" w:eastAsia="方正楷体_GB2312" w:cs="方正楷体_GB2312"/>
          <w:color w:val="auto"/>
          <w:highlight w:val="none"/>
        </w:rPr>
        <w:t>用于1000万元以上项目。</w:t>
      </w:r>
    </w:p>
    <w:p w14:paraId="0E59039E">
      <w:pPr>
        <w:spacing w:line="360" w:lineRule="auto"/>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p>
    <w:p w14:paraId="39CA45E1">
      <w:pPr>
        <w:rPr>
          <w:color w:val="auto"/>
          <w:highlight w:val="none"/>
        </w:rPr>
      </w:pPr>
    </w:p>
    <w:p w14:paraId="747EA3D1">
      <w:pPr>
        <w:pStyle w:val="2"/>
        <w:jc w:val="center"/>
        <w:rPr>
          <w:color w:val="auto"/>
          <w:highlight w:val="none"/>
        </w:rPr>
      </w:pPr>
      <w:bookmarkStart w:id="754" w:name="_Toc78449735"/>
      <w:bookmarkStart w:id="755" w:name="_Toc407135170"/>
      <w:bookmarkStart w:id="756" w:name="_Toc1370327807"/>
      <w:bookmarkStart w:id="757" w:name="_Toc389065240"/>
      <w:bookmarkStart w:id="758" w:name="_Toc15637"/>
      <w:r>
        <w:rPr>
          <w:rFonts w:hint="eastAsia" w:cs="黑体"/>
          <w:color w:val="auto"/>
          <w:highlight w:val="none"/>
        </w:rPr>
        <w:t>评标办法（综合评估法）正文部分</w:t>
      </w:r>
      <w:bookmarkEnd w:id="754"/>
      <w:bookmarkEnd w:id="755"/>
      <w:bookmarkEnd w:id="756"/>
      <w:bookmarkEnd w:id="757"/>
      <w:bookmarkEnd w:id="758"/>
    </w:p>
    <w:p w14:paraId="30C08F17">
      <w:pPr>
        <w:rPr>
          <w:color w:val="auto"/>
          <w:highlight w:val="none"/>
        </w:rPr>
      </w:pPr>
    </w:p>
    <w:p w14:paraId="2BA89D78">
      <w:pPr>
        <w:pStyle w:val="3"/>
        <w:rPr>
          <w:color w:val="auto"/>
          <w:highlight w:val="none"/>
        </w:rPr>
      </w:pPr>
      <w:bookmarkStart w:id="759" w:name="_Toc316613770"/>
      <w:bookmarkStart w:id="760" w:name="_Toc184635093"/>
      <w:bookmarkStart w:id="761" w:name="_Toc22280"/>
      <w:bookmarkStart w:id="762" w:name="_Toc389065241"/>
      <w:bookmarkStart w:id="763" w:name="_Toc407135171"/>
      <w:bookmarkStart w:id="764" w:name="_Toc78449736"/>
      <w:r>
        <w:rPr>
          <w:color w:val="auto"/>
          <w:highlight w:val="none"/>
        </w:rPr>
        <w:t xml:space="preserve">1 </w:t>
      </w:r>
      <w:r>
        <w:rPr>
          <w:rFonts w:hint="eastAsia" w:cs="黑体"/>
          <w:color w:val="auto"/>
          <w:highlight w:val="none"/>
        </w:rPr>
        <w:t>评标方法</w:t>
      </w:r>
      <w:bookmarkEnd w:id="759"/>
      <w:bookmarkEnd w:id="760"/>
      <w:bookmarkEnd w:id="761"/>
      <w:bookmarkEnd w:id="762"/>
      <w:bookmarkEnd w:id="763"/>
      <w:bookmarkEnd w:id="764"/>
    </w:p>
    <w:p w14:paraId="60E2F5DD">
      <w:pPr>
        <w:spacing w:line="360" w:lineRule="auto"/>
        <w:ind w:firstLine="420" w:firstLineChars="200"/>
        <w:rPr>
          <w:color w:val="auto"/>
          <w:highlight w:val="none"/>
        </w:rPr>
      </w:pPr>
      <w:r>
        <w:rPr>
          <w:rFonts w:hint="eastAsia" w:cs="宋体"/>
          <w:color w:val="auto"/>
          <w:highlight w:val="none"/>
        </w:rPr>
        <w:t>本次评标采用综合评估法。评标委员会对满足招标文件实质性要求的投标文件，按照本章</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第</w:t>
      </w:r>
      <w:r>
        <w:rPr>
          <w:color w:val="auto"/>
          <w:highlight w:val="none"/>
        </w:rPr>
        <w:t>2.</w:t>
      </w:r>
      <w:r>
        <w:rPr>
          <w:rFonts w:hint="eastAsia"/>
          <w:color w:val="auto"/>
          <w:highlight w:val="none"/>
          <w:lang w:eastAsia="zh-CN"/>
        </w:rPr>
        <w:t>1.</w:t>
      </w:r>
      <w:r>
        <w:rPr>
          <w:color w:val="auto"/>
          <w:highlight w:val="none"/>
        </w:rPr>
        <w:t>2.2</w:t>
      </w:r>
      <w:r>
        <w:rPr>
          <w:rFonts w:hint="eastAsia" w:cs="宋体"/>
          <w:color w:val="auto"/>
          <w:highlight w:val="none"/>
        </w:rPr>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得分也相等的，由评标委员会采用记名投票方式确定。</w:t>
      </w:r>
    </w:p>
    <w:p w14:paraId="1577C25F">
      <w:pPr>
        <w:pStyle w:val="3"/>
        <w:rPr>
          <w:color w:val="auto"/>
          <w:highlight w:val="none"/>
        </w:rPr>
      </w:pPr>
      <w:bookmarkStart w:id="765" w:name="_Toc383"/>
      <w:bookmarkStart w:id="766" w:name="_Toc407135172"/>
      <w:bookmarkStart w:id="767" w:name="_Toc78449737"/>
      <w:bookmarkStart w:id="768" w:name="_Toc389065242"/>
      <w:bookmarkStart w:id="769" w:name="_Toc52269809"/>
      <w:bookmarkStart w:id="770" w:name="_Toc184635094"/>
      <w:r>
        <w:rPr>
          <w:color w:val="auto"/>
          <w:highlight w:val="none"/>
        </w:rPr>
        <w:t xml:space="preserve">2 </w:t>
      </w:r>
      <w:r>
        <w:rPr>
          <w:rFonts w:hint="eastAsia" w:cs="黑体"/>
          <w:color w:val="auto"/>
          <w:highlight w:val="none"/>
        </w:rPr>
        <w:t>评审标准</w:t>
      </w:r>
      <w:bookmarkEnd w:id="765"/>
      <w:bookmarkEnd w:id="766"/>
      <w:bookmarkEnd w:id="767"/>
      <w:bookmarkEnd w:id="768"/>
      <w:bookmarkEnd w:id="769"/>
      <w:bookmarkEnd w:id="770"/>
    </w:p>
    <w:p w14:paraId="2301B4F2">
      <w:pPr>
        <w:pStyle w:val="4"/>
        <w:ind w:firstLine="420"/>
        <w:rPr>
          <w:color w:val="auto"/>
          <w:highlight w:val="none"/>
        </w:rPr>
      </w:pPr>
      <w:bookmarkStart w:id="771" w:name="_Toc389065243"/>
      <w:bookmarkStart w:id="772" w:name="_Toc407135173"/>
      <w:bookmarkStart w:id="773" w:name="_Toc30258851"/>
      <w:bookmarkStart w:id="774" w:name="_Toc14808"/>
      <w:bookmarkStart w:id="775" w:name="_Toc78449738"/>
      <w:r>
        <w:rPr>
          <w:color w:val="auto"/>
          <w:highlight w:val="none"/>
        </w:rPr>
        <w:t xml:space="preserve">2.1 </w:t>
      </w:r>
      <w:r>
        <w:rPr>
          <w:rFonts w:hint="eastAsia" w:cs="黑体"/>
          <w:color w:val="auto"/>
          <w:highlight w:val="none"/>
        </w:rPr>
        <w:t>初步评审标准</w:t>
      </w:r>
      <w:bookmarkEnd w:id="771"/>
      <w:bookmarkEnd w:id="772"/>
      <w:bookmarkEnd w:id="773"/>
      <w:bookmarkEnd w:id="774"/>
      <w:bookmarkEnd w:id="775"/>
    </w:p>
    <w:p w14:paraId="7A3D2489">
      <w:pPr>
        <w:spacing w:line="360" w:lineRule="auto"/>
        <w:ind w:firstLine="420" w:firstLineChars="200"/>
        <w:rPr>
          <w:color w:val="auto"/>
          <w:highlight w:val="none"/>
        </w:rPr>
      </w:pPr>
      <w:r>
        <w:rPr>
          <w:color w:val="auto"/>
          <w:highlight w:val="none"/>
        </w:rPr>
        <w:t>2.1.1</w:t>
      </w:r>
      <w:r>
        <w:rPr>
          <w:rFonts w:hint="eastAsia" w:cs="宋体"/>
          <w:color w:val="auto"/>
          <w:highlight w:val="none"/>
        </w:rPr>
        <w:t>形式评审标准：见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4E3FFB32">
      <w:pPr>
        <w:spacing w:line="360" w:lineRule="auto"/>
        <w:ind w:firstLine="420" w:firstLineChars="200"/>
        <w:rPr>
          <w:color w:val="auto"/>
          <w:highlight w:val="none"/>
        </w:rPr>
      </w:pPr>
      <w:r>
        <w:rPr>
          <w:color w:val="auto"/>
          <w:highlight w:val="none"/>
        </w:rPr>
        <w:t>2.1.2</w:t>
      </w:r>
      <w:r>
        <w:rPr>
          <w:rFonts w:hint="eastAsia" w:cs="宋体"/>
          <w:color w:val="auto"/>
          <w:highlight w:val="none"/>
        </w:rPr>
        <w:t>响应性评审标准：见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337B21BA">
      <w:pPr>
        <w:spacing w:line="360" w:lineRule="auto"/>
        <w:ind w:firstLine="420" w:firstLineChars="200"/>
        <w:rPr>
          <w:color w:val="auto"/>
          <w:highlight w:val="none"/>
        </w:rPr>
      </w:pPr>
      <w:r>
        <w:rPr>
          <w:color w:val="auto"/>
          <w:highlight w:val="none"/>
        </w:rPr>
        <w:t>2.1.3</w:t>
      </w:r>
      <w:bookmarkStart w:id="776" w:name="_Toc389065244"/>
      <w:bookmarkStart w:id="777" w:name="_Toc389065245"/>
      <w:bookmarkStart w:id="778" w:name="_Toc184635095"/>
      <w:r>
        <w:rPr>
          <w:rFonts w:hint="eastAsia" w:cs="宋体"/>
          <w:color w:val="auto"/>
          <w:highlight w:val="none"/>
        </w:rPr>
        <w:t xml:space="preserve"> 资格评审标准：见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338020AE">
      <w:pPr>
        <w:pStyle w:val="4"/>
        <w:ind w:firstLine="420"/>
        <w:rPr>
          <w:color w:val="auto"/>
          <w:highlight w:val="none"/>
        </w:rPr>
      </w:pPr>
      <w:bookmarkStart w:id="779" w:name="_Toc407135174"/>
      <w:bookmarkStart w:id="780" w:name="_Toc18303"/>
      <w:bookmarkStart w:id="781" w:name="_Toc292042466"/>
      <w:bookmarkStart w:id="782" w:name="_Toc78449739"/>
      <w:r>
        <w:rPr>
          <w:color w:val="auto"/>
          <w:highlight w:val="none"/>
        </w:rPr>
        <w:t xml:space="preserve">2.2 </w:t>
      </w:r>
      <w:r>
        <w:rPr>
          <w:rFonts w:hint="eastAsia" w:cs="黑体"/>
          <w:color w:val="auto"/>
          <w:highlight w:val="none"/>
        </w:rPr>
        <w:t>详细评审标准</w:t>
      </w:r>
      <w:bookmarkEnd w:id="776"/>
      <w:bookmarkEnd w:id="779"/>
      <w:bookmarkEnd w:id="780"/>
      <w:bookmarkEnd w:id="781"/>
      <w:bookmarkEnd w:id="782"/>
    </w:p>
    <w:p w14:paraId="57B31C9D">
      <w:pPr>
        <w:spacing w:line="360" w:lineRule="auto"/>
        <w:ind w:firstLine="420" w:firstLineChars="200"/>
        <w:rPr>
          <w:color w:val="auto"/>
          <w:highlight w:val="none"/>
        </w:rPr>
      </w:pPr>
      <w:r>
        <w:rPr>
          <w:color w:val="auto"/>
          <w:highlight w:val="none"/>
        </w:rPr>
        <w:t xml:space="preserve">2.2.1 </w:t>
      </w:r>
      <w:r>
        <w:rPr>
          <w:rFonts w:hint="eastAsia" w:cs="宋体"/>
          <w:color w:val="auto"/>
          <w:highlight w:val="none"/>
        </w:rPr>
        <w:t>分值构成：见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7066285A">
      <w:pPr>
        <w:spacing w:line="360" w:lineRule="auto"/>
        <w:ind w:firstLine="420" w:firstLineChars="200"/>
        <w:rPr>
          <w:color w:val="auto"/>
          <w:highlight w:val="none"/>
        </w:rPr>
      </w:pPr>
      <w:r>
        <w:rPr>
          <w:color w:val="auto"/>
          <w:highlight w:val="none"/>
        </w:rPr>
        <w:t xml:space="preserve">2.2.2 </w:t>
      </w:r>
      <w:r>
        <w:rPr>
          <w:rFonts w:hint="eastAsia" w:cs="宋体"/>
          <w:color w:val="auto"/>
          <w:highlight w:val="none"/>
        </w:rPr>
        <w:t>评分标准</w:t>
      </w:r>
    </w:p>
    <w:p w14:paraId="743FE66E">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3AE9E851">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）评标基准价计算方法：见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03BDCA8D">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）报价分评分标准：见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2F0873BC">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）企业信誉实力分评分标准：见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14:paraId="2EF121C4">
      <w:pPr>
        <w:pStyle w:val="3"/>
        <w:rPr>
          <w:rFonts w:cs="黑体"/>
          <w:color w:val="auto"/>
          <w:highlight w:val="none"/>
        </w:rPr>
      </w:pPr>
      <w:bookmarkStart w:id="783" w:name="_Toc407135175"/>
      <w:bookmarkStart w:id="784" w:name="_Toc1483272473"/>
      <w:bookmarkStart w:id="785" w:name="_Toc8351"/>
      <w:bookmarkStart w:id="786" w:name="_Toc78449740"/>
      <w:r>
        <w:rPr>
          <w:color w:val="auto"/>
          <w:highlight w:val="none"/>
        </w:rPr>
        <w:t xml:space="preserve">3 </w:t>
      </w:r>
      <w:r>
        <w:rPr>
          <w:rFonts w:hint="eastAsia" w:cs="黑体"/>
          <w:color w:val="auto"/>
          <w:highlight w:val="none"/>
        </w:rPr>
        <w:t>评标程序</w:t>
      </w:r>
      <w:bookmarkEnd w:id="777"/>
      <w:bookmarkEnd w:id="778"/>
      <w:bookmarkEnd w:id="783"/>
      <w:bookmarkEnd w:id="784"/>
      <w:bookmarkEnd w:id="785"/>
      <w:bookmarkEnd w:id="786"/>
    </w:p>
    <w:p w14:paraId="21269796">
      <w:pPr>
        <w:pStyle w:val="4"/>
        <w:ind w:firstLine="420"/>
        <w:rPr>
          <w:color w:val="auto"/>
          <w:highlight w:val="none"/>
        </w:rPr>
      </w:pPr>
      <w:bookmarkStart w:id="787" w:name="_Toc389065246"/>
      <w:bookmarkStart w:id="788" w:name="_Toc78449741"/>
      <w:bookmarkStart w:id="789" w:name="_Toc23666"/>
      <w:bookmarkStart w:id="790" w:name="_Toc2114357834"/>
      <w:bookmarkStart w:id="791" w:name="_Toc407135176"/>
      <w:r>
        <w:rPr>
          <w:color w:val="auto"/>
          <w:highlight w:val="none"/>
        </w:rPr>
        <w:t xml:space="preserve">3.1 </w:t>
      </w:r>
      <w:r>
        <w:rPr>
          <w:rFonts w:hint="eastAsia" w:cs="黑体"/>
          <w:color w:val="auto"/>
          <w:highlight w:val="none"/>
        </w:rPr>
        <w:t>初步评审</w:t>
      </w:r>
      <w:bookmarkEnd w:id="787"/>
      <w:bookmarkEnd w:id="788"/>
      <w:bookmarkEnd w:id="789"/>
      <w:bookmarkEnd w:id="790"/>
      <w:bookmarkEnd w:id="791"/>
    </w:p>
    <w:p w14:paraId="57370316">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02CBBD92">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14:paraId="3DC1B48E">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 xml:space="preserve">1.4.3 </w:t>
      </w:r>
      <w:r>
        <w:rPr>
          <w:rFonts w:hint="eastAsia" w:cs="宋体"/>
          <w:color w:val="auto"/>
          <w:highlight w:val="none"/>
        </w:rPr>
        <w:t>项、第1.4.4项规定的任何一种情形的：</w:t>
      </w:r>
    </w:p>
    <w:p w14:paraId="2CED5A3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14:paraId="53B27FF6">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14:paraId="4D53CA90">
      <w:pPr>
        <w:pStyle w:val="4"/>
        <w:ind w:firstLine="420"/>
        <w:rPr>
          <w:color w:val="auto"/>
          <w:highlight w:val="none"/>
        </w:rPr>
      </w:pPr>
      <w:bookmarkStart w:id="792" w:name="_Toc389065247"/>
      <w:bookmarkStart w:id="793" w:name="_Toc11028"/>
      <w:bookmarkStart w:id="794" w:name="_Toc407135177"/>
      <w:bookmarkStart w:id="795" w:name="_Toc78449742"/>
      <w:bookmarkStart w:id="796" w:name="_Toc1982125575"/>
      <w:r>
        <w:rPr>
          <w:color w:val="auto"/>
          <w:highlight w:val="none"/>
        </w:rPr>
        <w:t xml:space="preserve">3.2 </w:t>
      </w:r>
      <w:r>
        <w:rPr>
          <w:rFonts w:hint="eastAsia" w:cs="黑体"/>
          <w:color w:val="auto"/>
          <w:highlight w:val="none"/>
        </w:rPr>
        <w:t>详细评审</w:t>
      </w:r>
      <w:bookmarkEnd w:id="792"/>
      <w:bookmarkEnd w:id="793"/>
      <w:bookmarkEnd w:id="794"/>
      <w:bookmarkEnd w:id="795"/>
      <w:bookmarkEnd w:id="796"/>
    </w:p>
    <w:p w14:paraId="565AAF1F">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评标委员会按照本章</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第</w:t>
      </w:r>
      <w:r>
        <w:rPr>
          <w:color w:val="auto"/>
          <w:highlight w:val="none"/>
        </w:rPr>
        <w:t>2.2</w:t>
      </w:r>
      <w:r>
        <w:rPr>
          <w:rFonts w:hint="eastAsia" w:cs="宋体"/>
          <w:color w:val="auto"/>
          <w:highlight w:val="none"/>
        </w:rPr>
        <w:t>款规定的量化因素和分值进行打分，并计算出综合评估得分。</w:t>
      </w:r>
    </w:p>
    <w:p w14:paraId="09D6AE8D">
      <w:pPr>
        <w:spacing w:line="360" w:lineRule="auto"/>
        <w:ind w:firstLine="420" w:firstLineChars="200"/>
        <w:rPr>
          <w:color w:val="auto"/>
          <w:highlight w:val="none"/>
        </w:rPr>
      </w:pPr>
      <w:r>
        <w:rPr>
          <w:color w:val="auto"/>
          <w:highlight w:val="none"/>
        </w:rPr>
        <w:t xml:space="preserve">3.2.2 </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评分分值计算保留小数点后四位，投标人汇总得分保留小数点后两位，小数点后第三位</w:t>
      </w:r>
      <w:r>
        <w:rPr>
          <w:color w:val="auto"/>
          <w:highlight w:val="none"/>
        </w:rPr>
        <w:t>“</w:t>
      </w:r>
      <w:r>
        <w:rPr>
          <w:rFonts w:hint="eastAsia" w:cs="宋体"/>
          <w:color w:val="auto"/>
          <w:highlight w:val="none"/>
        </w:rPr>
        <w:t>四舍五入</w:t>
      </w:r>
      <w:r>
        <w:rPr>
          <w:color w:val="auto"/>
          <w:highlight w:val="none"/>
        </w:rPr>
        <w:t>”</w:t>
      </w:r>
      <w:r>
        <w:rPr>
          <w:rFonts w:hint="eastAsia" w:cs="宋体"/>
          <w:color w:val="auto"/>
          <w:highlight w:val="none"/>
        </w:rPr>
        <w:t>。</w:t>
      </w:r>
    </w:p>
    <w:p w14:paraId="4F358BBB">
      <w:pPr>
        <w:spacing w:line="360" w:lineRule="auto"/>
        <w:ind w:firstLine="420" w:firstLineChars="200"/>
        <w:rPr>
          <w:color w:val="auto"/>
          <w:highlight w:val="none"/>
        </w:rPr>
      </w:pPr>
      <w:r>
        <w:rPr>
          <w:color w:val="auto"/>
          <w:highlight w:val="none"/>
        </w:rPr>
        <w:t xml:space="preserve">3.2.3 </w:t>
      </w:r>
      <w:r>
        <w:rPr>
          <w:rFonts w:hint="eastAsia" w:cs="宋体"/>
          <w:color w:val="auto"/>
          <w:highlight w:val="none"/>
        </w:rPr>
        <w:t>投标人汇总得分（满分</w:t>
      </w:r>
      <w:r>
        <w:rPr>
          <w:color w:val="auto"/>
          <w:highlight w:val="none"/>
        </w:rPr>
        <w:t>100</w:t>
      </w:r>
      <w:r>
        <w:rPr>
          <w:rFonts w:hint="eastAsia" w:cs="宋体"/>
          <w:color w:val="auto"/>
          <w:highlight w:val="none"/>
        </w:rPr>
        <w:t>分）</w:t>
      </w:r>
      <w:r>
        <w:rPr>
          <w:color w:val="auto"/>
          <w:highlight w:val="none"/>
        </w:rPr>
        <w:t>=</w:t>
      </w:r>
      <w:r>
        <w:rPr>
          <w:rFonts w:hint="eastAsia" w:cs="宋体"/>
          <w:color w:val="auto"/>
          <w:highlight w:val="none"/>
        </w:rPr>
        <w:t>商务标得分</w:t>
      </w:r>
      <w:r>
        <w:rPr>
          <w:color w:val="auto"/>
          <w:highlight w:val="none"/>
        </w:rPr>
        <w:t>+</w:t>
      </w:r>
      <w:r>
        <w:rPr>
          <w:rFonts w:hint="eastAsia" w:cs="宋体"/>
          <w:color w:val="auto"/>
          <w:highlight w:val="none"/>
        </w:rPr>
        <w:t>技术标加权得分。</w:t>
      </w:r>
    </w:p>
    <w:p w14:paraId="3E69A66A">
      <w:pPr>
        <w:pStyle w:val="4"/>
        <w:ind w:firstLine="420"/>
        <w:rPr>
          <w:color w:val="auto"/>
          <w:highlight w:val="none"/>
        </w:rPr>
      </w:pPr>
      <w:bookmarkStart w:id="797" w:name="_Toc78449743"/>
      <w:bookmarkStart w:id="798" w:name="_Toc1893612524"/>
      <w:bookmarkStart w:id="799" w:name="_Toc389065248"/>
      <w:bookmarkStart w:id="800" w:name="_Toc29136"/>
      <w:bookmarkStart w:id="801" w:name="_Toc407135178"/>
      <w:r>
        <w:rPr>
          <w:color w:val="auto"/>
          <w:highlight w:val="none"/>
        </w:rPr>
        <w:t xml:space="preserve">3.3 </w:t>
      </w:r>
      <w:r>
        <w:rPr>
          <w:rFonts w:hint="eastAsia" w:cs="黑体"/>
          <w:color w:val="auto"/>
          <w:highlight w:val="none"/>
        </w:rPr>
        <w:t>投标文件的澄清和补正</w:t>
      </w:r>
      <w:bookmarkEnd w:id="797"/>
      <w:bookmarkEnd w:id="798"/>
      <w:bookmarkEnd w:id="799"/>
      <w:bookmarkEnd w:id="800"/>
      <w:bookmarkEnd w:id="801"/>
    </w:p>
    <w:p w14:paraId="695EC609">
      <w:pPr>
        <w:spacing w:line="360" w:lineRule="auto"/>
        <w:ind w:firstLine="420" w:firstLineChars="200"/>
        <w:rPr>
          <w:color w:val="auto"/>
          <w:highlight w:val="none"/>
        </w:rPr>
      </w:pPr>
      <w:r>
        <w:rPr>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045F620D">
      <w:pPr>
        <w:spacing w:line="360" w:lineRule="auto"/>
        <w:ind w:firstLine="420" w:firstLineChars="200"/>
        <w:rPr>
          <w:color w:val="auto"/>
          <w:highlight w:val="none"/>
        </w:rPr>
      </w:pPr>
      <w:r>
        <w:rPr>
          <w:color w:val="auto"/>
          <w:highlight w:val="none"/>
        </w:rPr>
        <w:t xml:space="preserve">3.3.2 </w:t>
      </w:r>
      <w:r>
        <w:rPr>
          <w:rFonts w:hint="eastAsia" w:cs="宋体"/>
          <w:color w:val="auto"/>
          <w:highlight w:val="none"/>
        </w:rPr>
        <w:t>澄清、说明和补正不得改变投标文件的实质性内容。投标人的书面澄清、说明和补正属于投标文件的组成部分。</w:t>
      </w:r>
    </w:p>
    <w:p w14:paraId="3416BB9E">
      <w:pPr>
        <w:spacing w:line="360" w:lineRule="auto"/>
        <w:ind w:firstLine="420" w:firstLineChars="200"/>
        <w:rPr>
          <w:color w:val="auto"/>
          <w:highlight w:val="none"/>
        </w:rPr>
      </w:pPr>
      <w:r>
        <w:rPr>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14:paraId="25413AFD">
      <w:pPr>
        <w:spacing w:line="360" w:lineRule="auto"/>
        <w:ind w:firstLine="420" w:firstLineChars="200"/>
        <w:rPr>
          <w:color w:val="auto"/>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6806332A">
      <w:pPr>
        <w:pStyle w:val="4"/>
        <w:ind w:firstLine="420"/>
        <w:rPr>
          <w:color w:val="auto"/>
          <w:highlight w:val="none"/>
        </w:rPr>
      </w:pPr>
      <w:bookmarkStart w:id="802" w:name="_Toc78449744"/>
      <w:bookmarkStart w:id="803" w:name="_Toc407135179"/>
      <w:bookmarkStart w:id="804" w:name="_Toc6880"/>
      <w:bookmarkStart w:id="805" w:name="_Toc389065249"/>
      <w:bookmarkStart w:id="806" w:name="_Toc749698601"/>
      <w:r>
        <w:rPr>
          <w:color w:val="auto"/>
          <w:highlight w:val="none"/>
        </w:rPr>
        <w:t xml:space="preserve">3.4 </w:t>
      </w:r>
      <w:r>
        <w:rPr>
          <w:rFonts w:hint="eastAsia" w:cs="黑体"/>
          <w:color w:val="auto"/>
          <w:highlight w:val="none"/>
        </w:rPr>
        <w:t>评标结果</w:t>
      </w:r>
      <w:bookmarkEnd w:id="802"/>
      <w:bookmarkEnd w:id="803"/>
      <w:bookmarkEnd w:id="804"/>
      <w:bookmarkEnd w:id="805"/>
      <w:bookmarkEnd w:id="806"/>
    </w:p>
    <w:p w14:paraId="28973C6A">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授权直接确定中标人外，评标委员会按照本章规定的顺序推荐中标候选人。</w:t>
      </w:r>
    </w:p>
    <w:p w14:paraId="1166FB37">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评标委员会完成评标后，应当向招标人提交书面评标报告。</w:t>
      </w:r>
    </w:p>
    <w:p w14:paraId="4C512047">
      <w:pPr>
        <w:spacing w:line="360" w:lineRule="auto"/>
        <w:ind w:firstLine="424" w:firstLineChars="202"/>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评标委员会应将评标过程中使用的文件、表格以及其他材料即时归还招标人。招标人应当按照“投标人须知前附表”规定的封存方式封存评标资料。</w:t>
      </w:r>
    </w:p>
    <w:p w14:paraId="6286622E">
      <w:pPr>
        <w:spacing w:line="360" w:lineRule="auto"/>
        <w:rPr>
          <w:color w:val="auto"/>
          <w:highlight w:val="none"/>
        </w:rPr>
        <w:sectPr>
          <w:pgSz w:w="11907" w:h="16840"/>
          <w:pgMar w:top="1440" w:right="1440" w:bottom="1440" w:left="1797" w:header="851" w:footer="851" w:gutter="0"/>
          <w:cols w:space="720" w:num="1"/>
          <w:docGrid w:linePitch="312" w:charSpace="0"/>
        </w:sectPr>
      </w:pPr>
    </w:p>
    <w:p w14:paraId="0DAE0A56">
      <w:pPr>
        <w:pStyle w:val="2"/>
        <w:jc w:val="center"/>
        <w:rPr>
          <w:color w:val="auto"/>
          <w:highlight w:val="none"/>
        </w:rPr>
      </w:pPr>
      <w:bookmarkStart w:id="807" w:name="_Toc389065250"/>
      <w:bookmarkStart w:id="808" w:name="_Toc10321"/>
      <w:bookmarkStart w:id="809" w:name="_Toc617804189"/>
      <w:bookmarkStart w:id="810" w:name="_Toc407135180"/>
      <w:bookmarkStart w:id="811" w:name="_Toc78449745"/>
      <w:r>
        <w:rPr>
          <w:rFonts w:hint="eastAsia" w:cs="黑体"/>
          <w:color w:val="auto"/>
          <w:highlight w:val="none"/>
        </w:rPr>
        <w:t>附件</w:t>
      </w:r>
      <w:r>
        <w:rPr>
          <w:color w:val="auto"/>
          <w:highlight w:val="none"/>
        </w:rPr>
        <w:t>A</w:t>
      </w:r>
      <w:bookmarkEnd w:id="807"/>
      <w:r>
        <w:rPr>
          <w:color w:val="auto"/>
          <w:highlight w:val="none"/>
        </w:rPr>
        <w:t xml:space="preserve">  </w:t>
      </w:r>
      <w:r>
        <w:rPr>
          <w:rFonts w:hint="eastAsia" w:cs="黑体"/>
          <w:color w:val="auto"/>
          <w:highlight w:val="none"/>
        </w:rPr>
        <w:t>评标详细程序</w:t>
      </w:r>
      <w:bookmarkEnd w:id="808"/>
      <w:bookmarkEnd w:id="809"/>
      <w:bookmarkEnd w:id="810"/>
      <w:bookmarkEnd w:id="811"/>
      <w:bookmarkStart w:id="812" w:name="_Toc389065251"/>
    </w:p>
    <w:p w14:paraId="573B388B">
      <w:pPr>
        <w:pStyle w:val="3"/>
        <w:rPr>
          <w:color w:val="auto"/>
          <w:highlight w:val="none"/>
        </w:rPr>
      </w:pPr>
      <w:bookmarkStart w:id="813" w:name="_Toc2104676258"/>
      <w:bookmarkStart w:id="814" w:name="_Toc78449746"/>
      <w:bookmarkStart w:id="815" w:name="_Toc407135181"/>
      <w:bookmarkStart w:id="816" w:name="_Toc9424"/>
      <w:bookmarkStart w:id="817" w:name="_Toc900842433"/>
      <w:bookmarkStart w:id="818" w:name="_Toc10593"/>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812"/>
      <w:bookmarkEnd w:id="813"/>
      <w:bookmarkEnd w:id="814"/>
      <w:bookmarkEnd w:id="815"/>
      <w:bookmarkEnd w:id="816"/>
      <w:bookmarkEnd w:id="817"/>
      <w:bookmarkEnd w:id="818"/>
    </w:p>
    <w:p w14:paraId="64EBD475">
      <w:pPr>
        <w:spacing w:line="360" w:lineRule="auto"/>
        <w:ind w:firstLine="420" w:firstLineChars="200"/>
        <w:outlineLvl w:val="0"/>
        <w:rPr>
          <w:b/>
          <w:bCs/>
          <w:color w:val="auto"/>
          <w:highlight w:val="none"/>
        </w:rPr>
      </w:pPr>
      <w:bookmarkStart w:id="819" w:name="_Toc389065252"/>
      <w:r>
        <w:rPr>
          <w:rFonts w:hint="eastAsia" w:cs="宋体"/>
          <w:color w:val="auto"/>
          <w:highlight w:val="none"/>
        </w:rPr>
        <w:t>本附件是本章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bookmarkEnd w:id="819"/>
    </w:p>
    <w:p w14:paraId="1918E61E">
      <w:pPr>
        <w:pStyle w:val="3"/>
        <w:rPr>
          <w:color w:val="auto"/>
          <w:highlight w:val="none"/>
        </w:rPr>
      </w:pPr>
      <w:bookmarkStart w:id="820" w:name="_Toc389065253"/>
      <w:bookmarkStart w:id="821" w:name="_Toc19629"/>
      <w:bookmarkStart w:id="822" w:name="_Toc17616"/>
      <w:bookmarkStart w:id="823" w:name="_Toc78449747"/>
      <w:bookmarkStart w:id="824" w:name="_Toc531907959"/>
      <w:bookmarkStart w:id="825" w:name="_Toc407135182"/>
      <w:bookmarkStart w:id="826" w:name="_Toc307409263"/>
      <w:r>
        <w:rPr>
          <w:color w:val="auto"/>
          <w:highlight w:val="none"/>
        </w:rPr>
        <w:t xml:space="preserve">A1 </w:t>
      </w:r>
      <w:r>
        <w:rPr>
          <w:rFonts w:hint="eastAsia" w:cs="黑体"/>
          <w:color w:val="auto"/>
          <w:highlight w:val="none"/>
        </w:rPr>
        <w:t>基本程序</w:t>
      </w:r>
      <w:bookmarkEnd w:id="820"/>
      <w:bookmarkEnd w:id="821"/>
      <w:bookmarkEnd w:id="822"/>
      <w:bookmarkEnd w:id="823"/>
      <w:bookmarkEnd w:id="824"/>
      <w:bookmarkEnd w:id="825"/>
      <w:bookmarkEnd w:id="826"/>
    </w:p>
    <w:p w14:paraId="3E3B84D2">
      <w:pPr>
        <w:spacing w:line="360" w:lineRule="auto"/>
        <w:ind w:firstLine="420" w:firstLineChars="200"/>
        <w:rPr>
          <w:color w:val="auto"/>
          <w:highlight w:val="none"/>
        </w:rPr>
      </w:pPr>
      <w:r>
        <w:rPr>
          <w:rFonts w:hint="eastAsia" w:cs="宋体"/>
          <w:color w:val="auto"/>
          <w:highlight w:val="none"/>
        </w:rPr>
        <w:t>评标活动将按以下五个步骤进行：</w:t>
      </w:r>
    </w:p>
    <w:p w14:paraId="34E481E7">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14:paraId="40273E7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14:paraId="2EC5741E">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14:paraId="1C599383">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14:paraId="06E2DCE6">
      <w:pPr>
        <w:spacing w:line="360" w:lineRule="auto"/>
        <w:ind w:firstLine="420" w:firstLineChars="200"/>
        <w:rPr>
          <w:b/>
          <w:bCs/>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14:paraId="54241B64">
      <w:pPr>
        <w:pStyle w:val="3"/>
        <w:rPr>
          <w:color w:val="auto"/>
          <w:highlight w:val="none"/>
        </w:rPr>
      </w:pPr>
      <w:bookmarkStart w:id="827" w:name="_Toc407135183"/>
      <w:bookmarkStart w:id="828" w:name="_Toc1077485706"/>
      <w:bookmarkStart w:id="829" w:name="_Toc10386"/>
      <w:bookmarkStart w:id="830" w:name="_Toc78449748"/>
      <w:bookmarkStart w:id="831" w:name="_Toc22659"/>
      <w:bookmarkStart w:id="832" w:name="_Toc716886411"/>
      <w:r>
        <w:rPr>
          <w:color w:val="auto"/>
          <w:highlight w:val="none"/>
        </w:rPr>
        <w:t xml:space="preserve">A2 </w:t>
      </w:r>
      <w:r>
        <w:rPr>
          <w:rFonts w:hint="eastAsia" w:cs="黑体"/>
          <w:color w:val="auto"/>
          <w:highlight w:val="none"/>
        </w:rPr>
        <w:t>评标准备</w:t>
      </w:r>
      <w:bookmarkEnd w:id="827"/>
      <w:bookmarkEnd w:id="828"/>
      <w:bookmarkEnd w:id="829"/>
      <w:bookmarkEnd w:id="830"/>
      <w:bookmarkEnd w:id="831"/>
      <w:bookmarkEnd w:id="832"/>
    </w:p>
    <w:p w14:paraId="1AD026ED">
      <w:pPr>
        <w:spacing w:line="360" w:lineRule="auto"/>
        <w:ind w:firstLine="420" w:firstLineChars="200"/>
        <w:outlineLvl w:val="0"/>
        <w:rPr>
          <w:color w:val="auto"/>
          <w:highlight w:val="none"/>
        </w:rPr>
      </w:pPr>
      <w:r>
        <w:rPr>
          <w:color w:val="auto"/>
          <w:highlight w:val="none"/>
        </w:rPr>
        <w:t xml:space="preserve">A2.1 </w:t>
      </w:r>
      <w:r>
        <w:rPr>
          <w:rFonts w:hint="eastAsia" w:cs="宋体"/>
          <w:color w:val="auto"/>
          <w:highlight w:val="none"/>
        </w:rPr>
        <w:t>评标委员会成员签到</w:t>
      </w:r>
    </w:p>
    <w:p w14:paraId="48574D7B">
      <w:pPr>
        <w:spacing w:line="360" w:lineRule="auto"/>
        <w:ind w:firstLine="420" w:firstLineChars="200"/>
        <w:rPr>
          <w:color w:val="auto"/>
          <w:highlight w:val="none"/>
        </w:rPr>
      </w:pPr>
      <w:r>
        <w:rPr>
          <w:rFonts w:hint="eastAsia" w:cs="宋体"/>
          <w:color w:val="auto"/>
          <w:highlight w:val="none"/>
        </w:rPr>
        <w:t>评标委员会成员到达评标现场时应在签到表上签到以证明其出席。</w:t>
      </w:r>
    </w:p>
    <w:p w14:paraId="23A48302">
      <w:pPr>
        <w:spacing w:line="360" w:lineRule="auto"/>
        <w:ind w:firstLine="420" w:firstLineChars="200"/>
        <w:rPr>
          <w:color w:val="auto"/>
          <w:highlight w:val="none"/>
        </w:rPr>
      </w:pPr>
      <w:r>
        <w:rPr>
          <w:color w:val="auto"/>
          <w:highlight w:val="none"/>
        </w:rPr>
        <w:t xml:space="preserve">A2.2 </w:t>
      </w:r>
      <w:r>
        <w:rPr>
          <w:rFonts w:hint="eastAsia" w:cs="宋体"/>
          <w:color w:val="auto"/>
          <w:highlight w:val="none"/>
        </w:rPr>
        <w:t>评标委员会的组建和分工</w:t>
      </w:r>
    </w:p>
    <w:p w14:paraId="73231D32">
      <w:pPr>
        <w:spacing w:line="360" w:lineRule="auto"/>
        <w:ind w:firstLine="420" w:firstLineChars="200"/>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通过电子评标系统以记名方式推选一名评标委员会主任。评标委员会主任负责评标活动的组织工作。当需要划分技术类、经济类评委时，应按照规定组建为技术组评委和经济组评委。招标人代表参加评标委员会的，应明确参加类别。</w:t>
      </w:r>
    </w:p>
    <w:p w14:paraId="126B6062">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1B2646BE">
      <w:pPr>
        <w:spacing w:line="360" w:lineRule="auto"/>
        <w:ind w:firstLine="420" w:firstLineChars="200"/>
        <w:outlineLvl w:val="0"/>
        <w:rPr>
          <w:color w:val="auto"/>
          <w:highlight w:val="none"/>
        </w:rPr>
      </w:pPr>
      <w:r>
        <w:rPr>
          <w:color w:val="auto"/>
          <w:highlight w:val="none"/>
        </w:rPr>
        <w:t xml:space="preserve">A2.3 </w:t>
      </w:r>
      <w:r>
        <w:rPr>
          <w:rFonts w:hint="eastAsia" w:cs="宋体"/>
          <w:color w:val="auto"/>
          <w:highlight w:val="none"/>
        </w:rPr>
        <w:t>熟悉文件资料</w:t>
      </w:r>
    </w:p>
    <w:p w14:paraId="6B6013CA">
      <w:pPr>
        <w:spacing w:line="360" w:lineRule="auto"/>
        <w:ind w:firstLine="420" w:firstLineChars="200"/>
        <w:rPr>
          <w:color w:val="auto"/>
          <w:highlight w:val="none"/>
        </w:rPr>
      </w:pPr>
      <w:r>
        <w:rPr>
          <w:color w:val="auto"/>
          <w:highlight w:val="none"/>
        </w:rPr>
        <w:t xml:space="preserve">A2.3.1 </w:t>
      </w:r>
      <w:r>
        <w:rPr>
          <w:rFonts w:hint="eastAsia" w:cs="宋体"/>
          <w:color w:val="auto"/>
          <w:highlight w:val="none"/>
        </w:rPr>
        <w:t>评标委员会主任应组织评标委员会成员认真研究招标文件，了解和熟悉招标目的、招标范围、主要合同条件、技术标准和要求、质量标准和工期要求，掌握评标标准和方法，熟悉本章及附件中包括的评标表格的使用。</w:t>
      </w:r>
    </w:p>
    <w:p w14:paraId="7CD6A16C">
      <w:pPr>
        <w:spacing w:line="360" w:lineRule="auto"/>
        <w:ind w:firstLine="420" w:firstLineChars="200"/>
        <w:rPr>
          <w:b/>
          <w:bCs/>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招标人或招标代理机构应向评标委员会提供评标所需的信息和数据，包括招标文件、未在开标会上当场拒绝的各投标文件、开标会记录、</w:t>
      </w:r>
      <w:r>
        <w:rPr>
          <w:rFonts w:hint="eastAsia" w:cs="宋体"/>
          <w:color w:val="auto"/>
          <w:highlight w:val="none"/>
          <w:lang w:eastAsia="zh-CN"/>
        </w:rPr>
        <w:t>最高投标限价</w:t>
      </w:r>
      <w:r>
        <w:rPr>
          <w:rFonts w:hint="eastAsia" w:cs="宋体"/>
          <w:color w:val="auto"/>
          <w:highlight w:val="none"/>
        </w:rPr>
        <w:t>、工程所在地工程造价管理部门颁布的工程造价信息、定额（如作为计价依据时）、有关的</w:t>
      </w:r>
      <w:r>
        <w:rPr>
          <w:rFonts w:hint="eastAsia" w:cs="宋体"/>
          <w:color w:val="auto"/>
          <w:highlight w:val="none"/>
          <w:lang w:eastAsia="zh-CN"/>
        </w:rPr>
        <w:t>法律法规</w:t>
      </w:r>
      <w:r>
        <w:rPr>
          <w:rFonts w:hint="eastAsia" w:cs="宋体"/>
          <w:color w:val="auto"/>
          <w:highlight w:val="none"/>
        </w:rPr>
        <w:t>、规章、国家标准以及招标人或评标委员会认为必要的其他信息和数据。</w:t>
      </w:r>
    </w:p>
    <w:p w14:paraId="1188D6E2">
      <w:pPr>
        <w:pStyle w:val="3"/>
        <w:rPr>
          <w:color w:val="auto"/>
          <w:highlight w:val="none"/>
        </w:rPr>
      </w:pPr>
      <w:bookmarkStart w:id="833" w:name="_Toc785306888"/>
      <w:bookmarkStart w:id="834" w:name="_Toc407135184"/>
      <w:bookmarkStart w:id="835" w:name="_Toc26052"/>
      <w:bookmarkStart w:id="836" w:name="_Toc1112907658"/>
      <w:bookmarkStart w:id="837" w:name="_Toc78449749"/>
      <w:bookmarkStart w:id="838" w:name="_Toc1458"/>
      <w:r>
        <w:rPr>
          <w:color w:val="auto"/>
          <w:highlight w:val="none"/>
        </w:rPr>
        <w:t xml:space="preserve">A3 </w:t>
      </w:r>
      <w:r>
        <w:rPr>
          <w:rFonts w:hint="eastAsia" w:cs="黑体"/>
          <w:color w:val="auto"/>
          <w:highlight w:val="none"/>
        </w:rPr>
        <w:t>初步评审</w:t>
      </w:r>
      <w:bookmarkEnd w:id="833"/>
      <w:bookmarkEnd w:id="834"/>
      <w:bookmarkEnd w:id="835"/>
      <w:bookmarkEnd w:id="836"/>
      <w:bookmarkEnd w:id="837"/>
      <w:bookmarkEnd w:id="838"/>
    </w:p>
    <w:p w14:paraId="3AEEDA78">
      <w:pPr>
        <w:spacing w:line="360" w:lineRule="auto"/>
        <w:ind w:firstLine="420" w:firstLineChars="200"/>
        <w:rPr>
          <w:color w:val="auto"/>
          <w:spacing w:val="-2"/>
          <w:highlight w:val="none"/>
        </w:rPr>
      </w:pPr>
      <w:r>
        <w:rPr>
          <w:color w:val="auto"/>
          <w:highlight w:val="none"/>
        </w:rPr>
        <w:t>A3.1</w:t>
      </w:r>
      <w:r>
        <w:rPr>
          <w:rFonts w:hint="eastAsia" w:cs="宋体"/>
          <w:color w:val="auto"/>
          <w:highlight w:val="none"/>
        </w:rPr>
        <w:t>形式评审</w:t>
      </w:r>
    </w:p>
    <w:p w14:paraId="29C1EA74">
      <w:pPr>
        <w:spacing w:line="360" w:lineRule="auto"/>
        <w:ind w:firstLine="412" w:firstLineChars="200"/>
        <w:rPr>
          <w:color w:val="auto"/>
          <w:highlight w:val="none"/>
        </w:rPr>
      </w:pPr>
      <w:r>
        <w:rPr>
          <w:rFonts w:hint="eastAsia" w:cs="宋体"/>
          <w:color w:val="auto"/>
          <w:spacing w:val="-2"/>
          <w:highlight w:val="none"/>
        </w:rPr>
        <w:t>评标委员会根据</w:t>
      </w:r>
      <w:r>
        <w:rPr>
          <w:color w:val="auto"/>
          <w:spacing w:val="-2"/>
          <w:highlight w:val="none"/>
        </w:rPr>
        <w:t>“</w:t>
      </w:r>
      <w:r>
        <w:rPr>
          <w:rFonts w:hint="eastAsia" w:cs="宋体"/>
          <w:color w:val="auto"/>
          <w:spacing w:val="-2"/>
          <w:highlight w:val="none"/>
        </w:rPr>
        <w:t>评标办法前附表</w:t>
      </w:r>
      <w:r>
        <w:rPr>
          <w:color w:val="auto"/>
          <w:spacing w:val="-2"/>
          <w:highlight w:val="none"/>
        </w:rPr>
        <w:t>”</w:t>
      </w:r>
      <w:r>
        <w:rPr>
          <w:rFonts w:hint="eastAsia" w:cs="宋体"/>
          <w:color w:val="auto"/>
          <w:spacing w:val="-2"/>
          <w:highlight w:val="none"/>
        </w:rPr>
        <w:t>中规定的评审因素和评审标准，对投标人的投标文件进行形式评审。</w:t>
      </w:r>
    </w:p>
    <w:p w14:paraId="7D148541">
      <w:pPr>
        <w:spacing w:line="360" w:lineRule="auto"/>
        <w:ind w:firstLine="420" w:firstLineChars="200"/>
        <w:rPr>
          <w:color w:val="auto"/>
          <w:highlight w:val="none"/>
        </w:rPr>
      </w:pPr>
      <w:r>
        <w:rPr>
          <w:color w:val="auto"/>
          <w:highlight w:val="none"/>
        </w:rPr>
        <w:t xml:space="preserve">A3.2 </w:t>
      </w:r>
      <w:r>
        <w:rPr>
          <w:rFonts w:hint="eastAsia" w:cs="宋体"/>
          <w:color w:val="auto"/>
          <w:highlight w:val="none"/>
        </w:rPr>
        <w:t>响应性评审</w:t>
      </w:r>
    </w:p>
    <w:p w14:paraId="0EC6E6CD">
      <w:pPr>
        <w:spacing w:line="360" w:lineRule="auto"/>
        <w:ind w:firstLine="420" w:firstLineChars="200"/>
        <w:rPr>
          <w:color w:val="auto"/>
          <w:highlight w:val="none"/>
        </w:rPr>
      </w:pPr>
      <w:r>
        <w:rPr>
          <w:color w:val="auto"/>
          <w:highlight w:val="none"/>
        </w:rPr>
        <w:t xml:space="preserve">A3.2.1 </w:t>
      </w:r>
      <w:r>
        <w:rPr>
          <w:rFonts w:hint="eastAsia" w:cs="宋体"/>
          <w:color w:val="auto"/>
          <w:highlight w:val="none"/>
        </w:rPr>
        <w:t>评标委员会根据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中规定的评审因素和评审标准，对投标人的投标文件进行响应性评审。</w:t>
      </w:r>
    </w:p>
    <w:p w14:paraId="3C9E1331">
      <w:pPr>
        <w:spacing w:line="360" w:lineRule="auto"/>
        <w:ind w:firstLine="420" w:firstLineChars="200"/>
        <w:rPr>
          <w:rFonts w:cs="宋体"/>
          <w:color w:val="auto"/>
          <w:highlight w:val="none"/>
        </w:rPr>
      </w:pPr>
      <w:r>
        <w:rPr>
          <w:color w:val="auto"/>
          <w:highlight w:val="none"/>
        </w:rPr>
        <w:t xml:space="preserve">A3.2.2 </w:t>
      </w:r>
      <w:r>
        <w:rPr>
          <w:rFonts w:hint="eastAsia" w:cs="宋体"/>
          <w:color w:val="auto"/>
          <w:highlight w:val="none"/>
        </w:rPr>
        <w:t>投标人投标总价不得超出（不含等于）招标人公布的</w:t>
      </w:r>
      <w:r>
        <w:rPr>
          <w:rFonts w:hint="eastAsia" w:cs="宋体"/>
          <w:color w:val="auto"/>
          <w:highlight w:val="none"/>
          <w:lang w:eastAsia="zh-CN"/>
        </w:rPr>
        <w:t>最高投标限价</w:t>
      </w:r>
      <w:r>
        <w:rPr>
          <w:rFonts w:hint="eastAsia" w:cs="宋体"/>
          <w:color w:val="auto"/>
          <w:highlight w:val="none"/>
        </w:rPr>
        <w:t>，凡投标人的投标总价超出</w:t>
      </w:r>
      <w:r>
        <w:rPr>
          <w:rFonts w:hint="eastAsia" w:cs="宋体"/>
          <w:color w:val="auto"/>
          <w:highlight w:val="none"/>
          <w:lang w:eastAsia="zh-CN"/>
        </w:rPr>
        <w:t>最高投标限价</w:t>
      </w:r>
      <w:r>
        <w:rPr>
          <w:rFonts w:hint="eastAsia" w:cs="宋体"/>
          <w:color w:val="auto"/>
          <w:highlight w:val="none"/>
        </w:rPr>
        <w:t>的，该投标人的投标文件不能通过响应性评审。</w:t>
      </w:r>
    </w:p>
    <w:p w14:paraId="23E95845">
      <w:pPr>
        <w:spacing w:line="360" w:lineRule="auto"/>
        <w:ind w:firstLine="420" w:firstLineChars="200"/>
        <w:outlineLvl w:val="0"/>
        <w:rPr>
          <w:color w:val="auto"/>
          <w:spacing w:val="-2"/>
          <w:highlight w:val="none"/>
        </w:rPr>
      </w:pPr>
      <w:r>
        <w:rPr>
          <w:color w:val="auto"/>
          <w:highlight w:val="none"/>
        </w:rPr>
        <w:t xml:space="preserve">A3.3 </w:t>
      </w:r>
      <w:r>
        <w:rPr>
          <w:rFonts w:hint="eastAsia" w:cs="宋体"/>
          <w:color w:val="auto"/>
          <w:highlight w:val="none"/>
        </w:rPr>
        <w:t>资格评审</w:t>
      </w:r>
    </w:p>
    <w:p w14:paraId="2D876984">
      <w:pPr>
        <w:spacing w:line="360" w:lineRule="auto"/>
        <w:ind w:firstLine="412" w:firstLineChars="200"/>
        <w:rPr>
          <w:rFonts w:hint="eastAsia"/>
          <w:color w:val="auto"/>
          <w:highlight w:val="none"/>
        </w:rPr>
      </w:pPr>
      <w:r>
        <w:rPr>
          <w:rFonts w:hint="eastAsia" w:cs="宋体"/>
          <w:color w:val="auto"/>
          <w:spacing w:val="-2"/>
          <w:highlight w:val="none"/>
        </w:rPr>
        <w:t>评标委员会根据</w:t>
      </w:r>
      <w:r>
        <w:rPr>
          <w:color w:val="auto"/>
          <w:spacing w:val="-2"/>
          <w:highlight w:val="none"/>
        </w:rPr>
        <w:t>“</w:t>
      </w:r>
      <w:r>
        <w:rPr>
          <w:rFonts w:hint="eastAsia" w:cs="宋体"/>
          <w:color w:val="auto"/>
          <w:spacing w:val="-2"/>
          <w:highlight w:val="none"/>
        </w:rPr>
        <w:t>评标办法前附表</w:t>
      </w:r>
      <w:r>
        <w:rPr>
          <w:color w:val="auto"/>
          <w:spacing w:val="-2"/>
          <w:highlight w:val="none"/>
        </w:rPr>
        <w:t>”</w:t>
      </w:r>
      <w:r>
        <w:rPr>
          <w:rFonts w:hint="eastAsia" w:cs="宋体"/>
          <w:color w:val="auto"/>
          <w:spacing w:val="-2"/>
          <w:highlight w:val="none"/>
        </w:rPr>
        <w:t>中规定的评审因素和评审标准，对投标人的投标文件进行资格评审。</w:t>
      </w:r>
    </w:p>
    <w:p w14:paraId="5FB887AC">
      <w:pPr>
        <w:spacing w:line="360" w:lineRule="auto"/>
        <w:ind w:firstLine="420" w:firstLineChars="200"/>
        <w:rPr>
          <w:color w:val="auto"/>
          <w:highlight w:val="none"/>
        </w:rPr>
      </w:pPr>
      <w:r>
        <w:rPr>
          <w:color w:val="auto"/>
          <w:highlight w:val="none"/>
        </w:rPr>
        <w:t xml:space="preserve">A3.4 </w:t>
      </w:r>
      <w:r>
        <w:rPr>
          <w:rFonts w:hint="eastAsia" w:cs="宋体"/>
          <w:color w:val="auto"/>
          <w:highlight w:val="none"/>
        </w:rPr>
        <w:t>判断投标是否为否决投标</w:t>
      </w:r>
    </w:p>
    <w:p w14:paraId="22F3D90A">
      <w:pPr>
        <w:spacing w:line="360" w:lineRule="auto"/>
        <w:ind w:firstLine="420" w:firstLineChars="200"/>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14:paraId="6E16C5ED">
      <w:pPr>
        <w:spacing w:line="360" w:lineRule="auto"/>
        <w:ind w:firstLine="420" w:firstLineChars="200"/>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和本章正文部分包括的否决投标条件抵触，如果出现相互矛盾的情况，以第二章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14:paraId="4586168D">
      <w:pPr>
        <w:spacing w:line="360" w:lineRule="auto"/>
        <w:ind w:firstLine="420" w:firstLineChars="200"/>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14:paraId="1889CD3D">
      <w:pPr>
        <w:spacing w:line="360" w:lineRule="auto"/>
        <w:ind w:firstLine="420" w:firstLineChars="200"/>
        <w:outlineLvl w:val="0"/>
        <w:rPr>
          <w:color w:val="auto"/>
          <w:highlight w:val="none"/>
        </w:rPr>
      </w:pPr>
      <w:r>
        <w:rPr>
          <w:color w:val="auto"/>
          <w:highlight w:val="none"/>
        </w:rPr>
        <w:t xml:space="preserve">A3.5 </w:t>
      </w:r>
      <w:r>
        <w:rPr>
          <w:rFonts w:hint="eastAsia" w:cs="宋体"/>
          <w:color w:val="auto"/>
          <w:highlight w:val="none"/>
        </w:rPr>
        <w:t>澄清、说明或补正</w:t>
      </w:r>
    </w:p>
    <w:p w14:paraId="6F90CF8F">
      <w:pPr>
        <w:spacing w:line="360" w:lineRule="auto"/>
        <w:ind w:firstLine="420" w:firstLineChars="200"/>
        <w:rPr>
          <w:rFonts w:hint="eastAsia" w:cs="宋体"/>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14:paraId="2A2A62F7">
      <w:pPr>
        <w:spacing w:line="360" w:lineRule="auto"/>
        <w:ind w:firstLine="420" w:firstLineChars="200"/>
        <w:rPr>
          <w:rFonts w:hint="eastAsia" w:cs="宋体"/>
          <w:color w:val="auto"/>
          <w:highlight w:val="none"/>
          <w:lang w:eastAsia="zh-CN"/>
        </w:rPr>
      </w:pPr>
      <w:bookmarkStart w:id="839" w:name="_Toc407135185"/>
      <w:bookmarkStart w:id="840" w:name="_Toc78449750"/>
      <w:bookmarkStart w:id="841" w:name="_Toc540526119"/>
      <w:bookmarkStart w:id="842" w:name="_Toc886681223"/>
      <w:r>
        <w:rPr>
          <w:rFonts w:hint="eastAsia" w:cs="宋体"/>
          <w:color w:val="auto"/>
          <w:highlight w:val="none"/>
          <w:lang w:val="en-US" w:eastAsia="zh-CN"/>
        </w:rPr>
        <w:t>对投标报价的</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p>
    <w:p w14:paraId="68B12E93">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.1评标委员会可就投标文件中工程量清单项目编码、名称及特征、计量单位与招标工程量清单不一致等要求投标人澄清或说明；</w:t>
      </w:r>
    </w:p>
    <w:p w14:paraId="5E89EF78">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.2评标委员会可就投标文件中的报价合理性、报价完整性</w:t>
      </w:r>
      <w:r>
        <w:rPr>
          <w:rFonts w:hint="eastAsia"/>
          <w:color w:val="auto"/>
          <w:highlight w:val="none"/>
          <w:lang w:eastAsia="zh-CN"/>
        </w:rPr>
        <w:t>（</w:t>
      </w:r>
      <w:r>
        <w:rPr>
          <w:rFonts w:hint="eastAsia"/>
          <w:color w:val="auto"/>
          <w:highlight w:val="none"/>
        </w:rPr>
        <w:t>漏报或未报</w:t>
      </w:r>
      <w:r>
        <w:rPr>
          <w:rFonts w:hint="eastAsia"/>
          <w:color w:val="auto"/>
          <w:highlight w:val="none"/>
          <w:lang w:eastAsia="zh-CN"/>
        </w:rPr>
        <w:t>）</w:t>
      </w:r>
      <w:r>
        <w:rPr>
          <w:rFonts w:hint="eastAsia"/>
          <w:color w:val="auto"/>
          <w:highlight w:val="none"/>
        </w:rPr>
        <w:t>进行评审，存在下列报价合理性疑问的，可要求投标人作出相应的澄清或说明：</w:t>
      </w:r>
    </w:p>
    <w:p w14:paraId="4B2146DF">
      <w:pPr>
        <w:spacing w:line="360" w:lineRule="auto"/>
        <w:ind w:firstLine="420" w:firstLineChars="200"/>
        <w:rPr>
          <w:rFonts w:hint="eastAsia"/>
          <w:color w:val="auto"/>
          <w:highlight w:val="none"/>
        </w:rPr>
      </w:pPr>
      <w:r>
        <w:rPr>
          <w:rFonts w:hint="eastAsia"/>
          <w:color w:val="auto"/>
          <w:highlight w:val="none"/>
        </w:rPr>
        <w:t xml:space="preserve"> 分部分项工程清单项目的综合单价与同类工程的同期市场竞争合理价格（如无法确认同期市场竞争合理价格的，可与</w:t>
      </w:r>
      <w:r>
        <w:rPr>
          <w:rFonts w:hint="eastAsia"/>
          <w:color w:val="auto"/>
          <w:highlight w:val="none"/>
          <w:lang w:eastAsia="zh-CN"/>
        </w:rPr>
        <w:t>最高投标限价</w:t>
      </w:r>
      <w:r>
        <w:rPr>
          <w:rFonts w:hint="eastAsia"/>
          <w:color w:val="auto"/>
          <w:highlight w:val="none"/>
        </w:rPr>
        <w:t>对比）相比非合理性偏低或偏高（非合理性偏低或偏高值设定为50%以上），可要求投标人提供证明其所报综合单价不低于成本价或报价合理的支持资料。并可要求投标人在不改变投标总价的前提下，提供用于已标价工程量清单所列清单项目数量增减的计价和工程变更计价的合理修正综合单价。</w:t>
      </w:r>
    </w:p>
    <w:p w14:paraId="7C46CD82">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.3 评标委员会发现投标人的投标文件存在以下算术误差及细微偏差问题的，应要求投标人澄清、说明或者按以下规定修正，但投标总价不得作任何调整，修正报价汇总后的总价应与投标函内填报的投标总价一致，修正的价格经投标人书面确认后具有约束力。投标人不接受修正价格的，其投标作否决投标处理。</w:t>
      </w:r>
    </w:p>
    <w:p w14:paraId="2DF04A07">
      <w:pPr>
        <w:spacing w:line="360" w:lineRule="auto"/>
        <w:ind w:firstLine="420" w:firstLineChars="200"/>
        <w:rPr>
          <w:rFonts w:hint="eastAsia"/>
          <w:color w:val="auto"/>
          <w:highlight w:val="none"/>
        </w:rPr>
      </w:pPr>
      <w:r>
        <w:rPr>
          <w:rFonts w:hint="eastAsia"/>
          <w:color w:val="auto"/>
          <w:highlight w:val="none"/>
        </w:rPr>
        <w:t>（1）投标函或投标总价扉页内填报的投标总价大写金额与小写金额不一致的，应以大写金额为准，修正相应小写金额；</w:t>
      </w:r>
    </w:p>
    <w:p w14:paraId="28513470">
      <w:pPr>
        <w:spacing w:line="360" w:lineRule="auto"/>
        <w:ind w:firstLine="420" w:firstLineChars="200"/>
        <w:rPr>
          <w:rFonts w:hint="eastAsia"/>
          <w:color w:val="auto"/>
          <w:highlight w:val="none"/>
        </w:rPr>
      </w:pPr>
      <w:r>
        <w:rPr>
          <w:rFonts w:hint="eastAsia"/>
          <w:color w:val="auto"/>
          <w:highlight w:val="none"/>
        </w:rPr>
        <w:t>（2） 投标函内填报的投标总价与已标价工程量清单项目填报的价格累计总额不一致的，应以投标函内投标总价为准，修正工程量清单项目报价累计总额；</w:t>
      </w:r>
    </w:p>
    <w:p w14:paraId="74BC9595">
      <w:pPr>
        <w:spacing w:line="360" w:lineRule="auto"/>
        <w:ind w:firstLine="420" w:firstLineChars="200"/>
        <w:rPr>
          <w:rFonts w:hint="eastAsia"/>
          <w:color w:val="auto"/>
          <w:highlight w:val="none"/>
        </w:rPr>
      </w:pPr>
      <w:r>
        <w:rPr>
          <w:rFonts w:hint="eastAsia"/>
          <w:color w:val="auto"/>
          <w:highlight w:val="none"/>
        </w:rPr>
        <w:t>（3）投标总价中所列的暂列金额、专业工程暂估价、材料暂估价与招标工程量清单内提供的金额不一致的，应以招标工程量清单内提供的金额为准，参照本章第3.3.1款第（1）条规定处理。如不作为无效投标处理的，应按招标工程量清单内提供的金额修正其报价；</w:t>
      </w:r>
    </w:p>
    <w:p w14:paraId="5CC9554F">
      <w:pPr>
        <w:spacing w:line="360" w:lineRule="auto"/>
        <w:ind w:firstLine="420" w:firstLineChars="200"/>
        <w:rPr>
          <w:rFonts w:hint="eastAsia"/>
          <w:color w:val="auto"/>
          <w:highlight w:val="none"/>
        </w:rPr>
      </w:pPr>
      <w:r>
        <w:rPr>
          <w:rFonts w:hint="eastAsia"/>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48D00E97">
      <w:pPr>
        <w:spacing w:line="360" w:lineRule="auto"/>
        <w:ind w:firstLine="420" w:firstLineChars="200"/>
        <w:rPr>
          <w:rFonts w:hint="eastAsia"/>
          <w:color w:val="auto"/>
          <w:highlight w:val="none"/>
        </w:rPr>
      </w:pPr>
      <w:r>
        <w:rPr>
          <w:rFonts w:hint="eastAsia"/>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39CDB0F6">
      <w:pPr>
        <w:spacing w:line="360" w:lineRule="auto"/>
        <w:ind w:firstLine="420" w:firstLineChars="200"/>
        <w:rPr>
          <w:rFonts w:hint="eastAsia"/>
          <w:color w:val="auto"/>
          <w:highlight w:val="none"/>
        </w:rPr>
      </w:pPr>
      <w:r>
        <w:rPr>
          <w:rFonts w:hint="eastAsia"/>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6CB707F3">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.4 评标委员会发现投标人存在下列未按要求完整（漏报或未报）填写投标报价的，可要求投标人澄清或说明：</w:t>
      </w:r>
    </w:p>
    <w:p w14:paraId="51482DDF">
      <w:pPr>
        <w:spacing w:line="360" w:lineRule="auto"/>
        <w:ind w:firstLine="420" w:firstLineChars="200"/>
        <w:rPr>
          <w:rFonts w:hint="eastAsia"/>
          <w:color w:val="auto"/>
          <w:highlight w:val="none"/>
        </w:rPr>
      </w:pPr>
      <w:r>
        <w:rPr>
          <w:rFonts w:hint="eastAsia"/>
          <w:color w:val="auto"/>
          <w:highlight w:val="none"/>
        </w:rPr>
        <w:t>（1）未按要求填报总价合同中分部分项工程清单项目综合单价及合价的，其费用应视为已包含在其他的清单项目综合单价、合价及投标总价中，工程结算时不作重新计价及调整；</w:t>
      </w:r>
    </w:p>
    <w:p w14:paraId="069CEA93">
      <w:pPr>
        <w:spacing w:line="360" w:lineRule="auto"/>
        <w:ind w:firstLine="420" w:firstLineChars="200"/>
        <w:rPr>
          <w:rFonts w:hint="eastAsia"/>
          <w:color w:val="auto"/>
          <w:highlight w:val="none"/>
        </w:rPr>
      </w:pPr>
      <w:r>
        <w:rPr>
          <w:rFonts w:hint="eastAsia"/>
          <w:color w:val="auto"/>
          <w:highlight w:val="none"/>
        </w:rPr>
        <w:t>（2）未按要求填报措施清单项目的价格、按项计价的分部分项工程清单项目的价格，其费用应视为已包含在其他的清单项目综合单价、合价及投标总价中，工程结算时不作重新计价及调整；</w:t>
      </w:r>
    </w:p>
    <w:p w14:paraId="7DF6EE73">
      <w:pPr>
        <w:spacing w:line="360" w:lineRule="auto"/>
        <w:ind w:firstLine="420" w:firstLineChars="200"/>
        <w:rPr>
          <w:rFonts w:hint="eastAsia"/>
          <w:color w:val="auto"/>
          <w:highlight w:val="none"/>
        </w:rPr>
      </w:pPr>
      <w:r>
        <w:rPr>
          <w:rFonts w:hint="eastAsia"/>
          <w:color w:val="auto"/>
          <w:highlight w:val="none"/>
        </w:rPr>
        <w:t>（3）未按要求填报单价合同中分部分项工程清单项目的综合单价及合价的，该清单项目价格视为包含在其他分部分项工程清单项目中，并要求投标人在不改变投标总价的前提下，提供用于已标价工程量清单所列清单项目数量增减的计价及工程变更计价的合理修正综合单价。</w:t>
      </w:r>
    </w:p>
    <w:p w14:paraId="2C841136">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.5要求澄清或说明的文件应以书面形式发出给相关投标人，投标人应以书面形式予以回复，要求澄清或说明的文件及回复文件在评标、定标过程中应严格保密。</w:t>
      </w:r>
    </w:p>
    <w:p w14:paraId="4573C809">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.6投标人回复的投标报价澄清或说明文件应包括证明其报价合理的支持文件，但不应涉及要求澄清或说明文件中未要求回复的内容。</w:t>
      </w:r>
    </w:p>
    <w:p w14:paraId="1B9A56BF">
      <w:pPr>
        <w:spacing w:line="360" w:lineRule="auto"/>
        <w:ind w:firstLine="420" w:firstLineChars="200"/>
        <w:rPr>
          <w:rFonts w:hint="eastAsia"/>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7评标委员会宜结合要求澄清或说明的文件和投标人提交的澄清或说明回复文件进行评标。如响应要求澄清或说明的文件，提交回复文件的投标人中标，则中标人接收的要求澄清或说明的文件和回复文件可构成合同文件的组成部分，其已标价工程量清单的综合单价及其修正综合单价作为合同单价，应用于合同价款调整的计价。</w:t>
      </w:r>
    </w:p>
    <w:p w14:paraId="456D8381">
      <w:pPr>
        <w:spacing w:line="360" w:lineRule="auto"/>
        <w:ind w:firstLine="420" w:firstLineChars="200"/>
        <w:rPr>
          <w:rFonts w:hint="eastAsia" w:cs="宋体"/>
          <w:color w:val="auto"/>
          <w:highlight w:val="none"/>
        </w:rPr>
      </w:pPr>
      <w:r>
        <w:rPr>
          <w:color w:val="auto"/>
          <w:highlight w:val="none"/>
        </w:rPr>
        <w:t>A</w:t>
      </w:r>
      <w:r>
        <w:rPr>
          <w:rFonts w:hint="eastAsia"/>
          <w:color w:val="auto"/>
          <w:highlight w:val="none"/>
        </w:rPr>
        <w:t>3.</w:t>
      </w:r>
      <w:r>
        <w:rPr>
          <w:rFonts w:hint="eastAsia"/>
          <w:color w:val="auto"/>
          <w:highlight w:val="none"/>
          <w:lang w:val="en-US" w:eastAsia="zh-CN"/>
        </w:rPr>
        <w:t>5</w:t>
      </w:r>
      <w:r>
        <w:rPr>
          <w:rFonts w:hint="eastAsia"/>
          <w:color w:val="auto"/>
          <w:highlight w:val="none"/>
        </w:rPr>
        <w:t>.8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69A20B72">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0650C98">
      <w:pPr>
        <w:pStyle w:val="3"/>
        <w:rPr>
          <w:color w:val="auto"/>
          <w:highlight w:val="none"/>
        </w:rPr>
      </w:pPr>
      <w:bookmarkStart w:id="843" w:name="_Toc15013"/>
      <w:bookmarkStart w:id="844" w:name="_Toc5460"/>
      <w:r>
        <w:rPr>
          <w:color w:val="auto"/>
          <w:highlight w:val="none"/>
        </w:rPr>
        <w:t xml:space="preserve">A4 </w:t>
      </w:r>
      <w:r>
        <w:rPr>
          <w:rFonts w:hint="eastAsia" w:cs="黑体"/>
          <w:color w:val="auto"/>
          <w:highlight w:val="none"/>
        </w:rPr>
        <w:t>详细评审</w:t>
      </w:r>
      <w:bookmarkEnd w:id="839"/>
      <w:bookmarkEnd w:id="840"/>
      <w:bookmarkEnd w:id="841"/>
      <w:bookmarkEnd w:id="842"/>
      <w:bookmarkEnd w:id="843"/>
      <w:bookmarkEnd w:id="844"/>
    </w:p>
    <w:p w14:paraId="67CAC127">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14:paraId="0C64F175">
      <w:pPr>
        <w:spacing w:line="360" w:lineRule="auto"/>
        <w:ind w:firstLine="420" w:firstLineChars="200"/>
        <w:rPr>
          <w:color w:val="auto"/>
          <w:highlight w:val="none"/>
        </w:rPr>
      </w:pPr>
      <w:r>
        <w:rPr>
          <w:color w:val="auto"/>
          <w:highlight w:val="none"/>
        </w:rPr>
        <w:t xml:space="preserve">A4.1 </w:t>
      </w:r>
      <w:r>
        <w:rPr>
          <w:rFonts w:hint="eastAsia" w:cs="宋体"/>
          <w:color w:val="auto"/>
          <w:highlight w:val="none"/>
        </w:rPr>
        <w:t>对投标文件进行基础性数据分析和整理工作（清标）</w:t>
      </w:r>
    </w:p>
    <w:p w14:paraId="15C0EFFA">
      <w:pPr>
        <w:spacing w:line="360" w:lineRule="auto"/>
        <w:ind w:firstLine="420" w:firstLineChars="200"/>
        <w:rPr>
          <w:rFonts w:eastAsia="楷体_GB2312"/>
          <w:color w:val="auto"/>
          <w:highlight w:val="none"/>
        </w:rPr>
      </w:pPr>
      <w:r>
        <w:rPr>
          <w:rFonts w:hint="eastAsia" w:eastAsia="楷体_GB2312" w:cs="楷体_GB2312"/>
          <w:color w:val="auto"/>
          <w:highlight w:val="none"/>
        </w:rPr>
        <w:t>【备注：根据项目情况进行设置】</w:t>
      </w:r>
    </w:p>
    <w:p w14:paraId="451E596B">
      <w:pPr>
        <w:spacing w:line="360" w:lineRule="auto"/>
        <w:ind w:firstLine="420" w:firstLineChars="200"/>
        <w:rPr>
          <w:color w:val="auto"/>
          <w:highlight w:val="none"/>
        </w:rPr>
      </w:pPr>
      <w:r>
        <w:rPr>
          <w:color w:val="auto"/>
          <w:highlight w:val="none"/>
        </w:rPr>
        <w:t xml:space="preserve">A4.2 </w:t>
      </w:r>
      <w:r>
        <w:rPr>
          <w:rFonts w:hint="eastAsia" w:cs="宋体"/>
          <w:color w:val="auto"/>
          <w:highlight w:val="none"/>
        </w:rPr>
        <w:t>算术错误修正</w:t>
      </w:r>
    </w:p>
    <w:p w14:paraId="6EE19439">
      <w:pPr>
        <w:spacing w:line="360" w:lineRule="auto"/>
        <w:ind w:firstLine="420" w:firstLineChars="200"/>
        <w:rPr>
          <w:color w:val="auto"/>
          <w:highlight w:val="none"/>
        </w:rPr>
      </w:pPr>
      <w:r>
        <w:rPr>
          <w:rFonts w:hint="eastAsia" w:cs="宋体"/>
          <w:color w:val="auto"/>
          <w:highlight w:val="none"/>
        </w:rPr>
        <w:t>评标委员会</w:t>
      </w:r>
      <w:r>
        <w:rPr>
          <w:rFonts w:hint="eastAsia" w:cs="宋体"/>
          <w:color w:val="auto"/>
          <w:spacing w:val="-2"/>
          <w:highlight w:val="none"/>
        </w:rPr>
        <w:t>经济组评委</w:t>
      </w:r>
      <w:r>
        <w:rPr>
          <w:rFonts w:hint="eastAsia" w:cs="宋体"/>
          <w:color w:val="auto"/>
          <w:highlight w:val="none"/>
        </w:rPr>
        <w:t>依据本章中规定的相关原则对投标报价中存在的算术错误进行修正，并根据算术错误修正结果计算评标基准价。</w:t>
      </w:r>
    </w:p>
    <w:p w14:paraId="4BE51FBD">
      <w:pPr>
        <w:spacing w:line="360" w:lineRule="auto"/>
        <w:ind w:firstLine="420" w:firstLineChars="200"/>
        <w:rPr>
          <w:color w:val="auto"/>
          <w:highlight w:val="none"/>
        </w:rPr>
      </w:pPr>
      <w:r>
        <w:rPr>
          <w:color w:val="auto"/>
          <w:highlight w:val="none"/>
        </w:rPr>
        <w:t xml:space="preserve">A4.3 </w:t>
      </w:r>
      <w:r>
        <w:rPr>
          <w:rFonts w:hint="eastAsia" w:cs="宋体"/>
          <w:color w:val="auto"/>
          <w:highlight w:val="none"/>
        </w:rPr>
        <w:t>详细评审的程序</w:t>
      </w:r>
    </w:p>
    <w:p w14:paraId="7FD3E3F1">
      <w:pPr>
        <w:spacing w:line="360" w:lineRule="auto"/>
        <w:ind w:firstLine="420" w:firstLineChars="200"/>
        <w:rPr>
          <w:color w:val="auto"/>
          <w:highlight w:val="none"/>
        </w:rPr>
      </w:pPr>
      <w:r>
        <w:rPr>
          <w:color w:val="auto"/>
          <w:highlight w:val="none"/>
        </w:rPr>
        <w:t xml:space="preserve">A4.3.1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14:paraId="3DD83F87">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）技术标评审和评分；</w:t>
      </w:r>
    </w:p>
    <w:p w14:paraId="00710409">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14:paraId="4ADA4408">
      <w:pPr>
        <w:spacing w:line="360" w:lineRule="auto"/>
        <w:ind w:firstLine="945" w:firstLineChars="450"/>
        <w:rPr>
          <w:rFonts w:hint="eastAsia" w:cs="宋体"/>
          <w:color w:val="auto"/>
          <w:highlight w:val="none"/>
        </w:rPr>
      </w:pPr>
      <w:r>
        <w:rPr>
          <w:rFonts w:hint="eastAsia" w:cs="宋体"/>
          <w:color w:val="auto"/>
          <w:highlight w:val="none"/>
        </w:rPr>
        <w:t>①企业信誉实力评审和评分；</w:t>
      </w:r>
    </w:p>
    <w:p w14:paraId="79F37E6F">
      <w:pPr>
        <w:spacing w:line="360" w:lineRule="auto"/>
        <w:ind w:firstLine="945" w:firstLineChars="450"/>
        <w:rPr>
          <w:color w:val="auto"/>
          <w:highlight w:val="none"/>
        </w:rPr>
      </w:pPr>
      <w:r>
        <w:rPr>
          <w:rFonts w:hint="eastAsia" w:cs="宋体"/>
          <w:color w:val="auto"/>
          <w:highlight w:val="none"/>
        </w:rPr>
        <w:t>②报价分评审和评分</w:t>
      </w:r>
    </w:p>
    <w:p w14:paraId="04CCBAE6">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）汇总评分结果。</w:t>
      </w:r>
    </w:p>
    <w:p w14:paraId="034702F2">
      <w:pPr>
        <w:spacing w:line="360" w:lineRule="auto"/>
        <w:ind w:firstLine="420" w:firstLineChars="200"/>
        <w:rPr>
          <w:color w:val="auto"/>
          <w:highlight w:val="none"/>
        </w:rPr>
      </w:pPr>
      <w:r>
        <w:rPr>
          <w:color w:val="auto"/>
          <w:highlight w:val="none"/>
        </w:rPr>
        <w:t xml:space="preserve">A4.4 </w:t>
      </w:r>
      <w:r>
        <w:rPr>
          <w:rFonts w:hint="eastAsia" w:cs="宋体"/>
          <w:color w:val="auto"/>
          <w:highlight w:val="none"/>
        </w:rPr>
        <w:t>技术标评审和评分</w:t>
      </w:r>
    </w:p>
    <w:p w14:paraId="44F905A4">
      <w:pPr>
        <w:spacing w:line="360" w:lineRule="auto"/>
        <w:ind w:firstLine="420" w:firstLineChars="200"/>
        <w:rPr>
          <w:color w:val="auto"/>
          <w:highlight w:val="none"/>
        </w:rPr>
      </w:pP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中规定的分值设定、各项评分因素、评分标准，由</w:t>
      </w:r>
      <w:r>
        <w:rPr>
          <w:rFonts w:hint="eastAsia" w:cs="宋体"/>
          <w:color w:val="auto"/>
          <w:spacing w:val="-2"/>
          <w:highlight w:val="none"/>
        </w:rPr>
        <w:t>评标委员会的技术组评委</w:t>
      </w:r>
      <w:r>
        <w:rPr>
          <w:rFonts w:hint="eastAsia" w:cs="宋体"/>
          <w:color w:val="auto"/>
          <w:highlight w:val="none"/>
        </w:rPr>
        <w:t>进行评审和评分。</w:t>
      </w:r>
    </w:p>
    <w:p w14:paraId="3AC81879">
      <w:pPr>
        <w:spacing w:line="360" w:lineRule="auto"/>
        <w:ind w:firstLine="420" w:firstLineChars="200"/>
        <w:rPr>
          <w:color w:val="auto"/>
          <w:highlight w:val="none"/>
        </w:rPr>
      </w:pPr>
      <w:r>
        <w:rPr>
          <w:color w:val="auto"/>
          <w:highlight w:val="none"/>
        </w:rPr>
        <w:t xml:space="preserve">A4.5 </w:t>
      </w:r>
      <w:r>
        <w:rPr>
          <w:rFonts w:hint="eastAsia" w:cs="宋体"/>
          <w:color w:val="auto"/>
          <w:highlight w:val="none"/>
        </w:rPr>
        <w:t>报价分评审和评分</w:t>
      </w:r>
    </w:p>
    <w:p w14:paraId="01DBA01B">
      <w:pPr>
        <w:spacing w:line="360" w:lineRule="auto"/>
        <w:ind w:firstLine="420" w:firstLineChars="200"/>
        <w:rPr>
          <w:color w:val="auto"/>
          <w:highlight w:val="none"/>
        </w:rPr>
      </w:pPr>
      <w:r>
        <w:rPr>
          <w:color w:val="auto"/>
          <w:highlight w:val="none"/>
        </w:rPr>
        <w:t>A4.5.1</w:t>
      </w:r>
      <w:r>
        <w:rPr>
          <w:rFonts w:hint="eastAsia" w:cs="宋体"/>
          <w:color w:val="auto"/>
          <w:spacing w:val="-2"/>
          <w:highlight w:val="none"/>
        </w:rPr>
        <w:t>评标委员会的经济组评委</w:t>
      </w: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中规定的方法计算</w:t>
      </w:r>
      <w:r>
        <w:rPr>
          <w:color w:val="auto"/>
          <w:highlight w:val="none"/>
        </w:rPr>
        <w:t>“</w:t>
      </w:r>
      <w:r>
        <w:rPr>
          <w:rFonts w:hint="eastAsia" w:cs="宋体"/>
          <w:color w:val="auto"/>
          <w:highlight w:val="none"/>
        </w:rPr>
        <w:t>评标基准价</w:t>
      </w:r>
      <w:r>
        <w:rPr>
          <w:color w:val="auto"/>
          <w:highlight w:val="none"/>
        </w:rPr>
        <w:t>”</w:t>
      </w:r>
      <w:r>
        <w:rPr>
          <w:rFonts w:hint="eastAsia" w:cs="宋体"/>
          <w:color w:val="auto"/>
          <w:highlight w:val="none"/>
        </w:rPr>
        <w:t>。</w:t>
      </w:r>
    </w:p>
    <w:p w14:paraId="41DA0DD8">
      <w:pPr>
        <w:spacing w:line="360" w:lineRule="auto"/>
        <w:ind w:firstLine="420" w:firstLineChars="200"/>
        <w:rPr>
          <w:color w:val="auto"/>
          <w:highlight w:val="none"/>
        </w:rPr>
      </w:pPr>
      <w:r>
        <w:rPr>
          <w:color w:val="auto"/>
          <w:highlight w:val="none"/>
        </w:rPr>
        <w:t>A4.5.2</w:t>
      </w:r>
      <w:r>
        <w:rPr>
          <w:rFonts w:hint="eastAsia" w:cs="宋体"/>
          <w:color w:val="auto"/>
          <w:spacing w:val="-2"/>
          <w:highlight w:val="none"/>
        </w:rPr>
        <w:t>评标委员会的经济组评委</w:t>
      </w: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中规定的方法，计算各个已通过了初步评审和技术标评审的报价分得分。</w:t>
      </w:r>
    </w:p>
    <w:p w14:paraId="7C81A8E0">
      <w:pPr>
        <w:spacing w:line="360" w:lineRule="auto"/>
        <w:ind w:firstLine="420" w:firstLineChars="200"/>
        <w:rPr>
          <w:color w:val="auto"/>
          <w:highlight w:val="none"/>
        </w:rPr>
      </w:pPr>
      <w:r>
        <w:rPr>
          <w:color w:val="auto"/>
          <w:highlight w:val="none"/>
        </w:rPr>
        <w:t xml:space="preserve">A4.6 </w:t>
      </w:r>
      <w:r>
        <w:rPr>
          <w:rFonts w:hint="eastAsia" w:cs="宋体"/>
          <w:color w:val="auto"/>
          <w:highlight w:val="none"/>
        </w:rPr>
        <w:t>企业信誉实力评审和评分</w:t>
      </w:r>
    </w:p>
    <w:p w14:paraId="3768C93C">
      <w:pPr>
        <w:spacing w:line="360" w:lineRule="auto"/>
        <w:ind w:firstLine="412" w:firstLineChars="200"/>
        <w:rPr>
          <w:color w:val="auto"/>
          <w:highlight w:val="none"/>
        </w:rPr>
      </w:pPr>
      <w:r>
        <w:rPr>
          <w:rFonts w:hint="eastAsia" w:cs="宋体"/>
          <w:color w:val="auto"/>
          <w:spacing w:val="-2"/>
          <w:highlight w:val="none"/>
        </w:rPr>
        <w:t>评标委员会</w:t>
      </w:r>
      <w:r>
        <w:rPr>
          <w:rFonts w:hint="eastAsia" w:cs="宋体"/>
          <w:color w:val="auto"/>
          <w:highlight w:val="none"/>
        </w:rPr>
        <w:t>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中规定的分值设定、各项评分因素和相应的评分标准进行评审和评分。</w:t>
      </w:r>
    </w:p>
    <w:p w14:paraId="4CADEF74">
      <w:pPr>
        <w:spacing w:line="360" w:lineRule="auto"/>
        <w:ind w:firstLine="420" w:firstLineChars="200"/>
        <w:rPr>
          <w:color w:val="auto"/>
          <w:highlight w:val="none"/>
        </w:rPr>
      </w:pPr>
      <w:r>
        <w:rPr>
          <w:color w:val="auto"/>
          <w:highlight w:val="none"/>
        </w:rPr>
        <w:t xml:space="preserve">A4.7 </w:t>
      </w:r>
      <w:r>
        <w:rPr>
          <w:rFonts w:hint="eastAsia" w:cs="宋体"/>
          <w:color w:val="auto"/>
          <w:highlight w:val="none"/>
        </w:rPr>
        <w:t>判断投标报价是否低于成本</w:t>
      </w:r>
    </w:p>
    <w:p w14:paraId="1234E82A">
      <w:pPr>
        <w:spacing w:line="360" w:lineRule="auto"/>
        <w:ind w:firstLine="420" w:firstLineChars="200"/>
        <w:rPr>
          <w:color w:val="auto"/>
          <w:highlight w:val="none"/>
        </w:rPr>
      </w:pPr>
      <w:r>
        <w:rPr>
          <w:rFonts w:hint="eastAsia" w:cs="宋体"/>
          <w:color w:val="auto"/>
          <w:highlight w:val="none"/>
        </w:rPr>
        <w:t>由评标委员会的经济组评委认定投标人是否以低于成本竞标。</w:t>
      </w:r>
    </w:p>
    <w:p w14:paraId="45E33ABF">
      <w:pPr>
        <w:spacing w:line="360" w:lineRule="auto"/>
        <w:ind w:firstLine="420" w:firstLineChars="200"/>
        <w:rPr>
          <w:color w:val="auto"/>
          <w:highlight w:val="none"/>
        </w:rPr>
      </w:pPr>
      <w:r>
        <w:rPr>
          <w:color w:val="auto"/>
          <w:highlight w:val="none"/>
        </w:rPr>
        <w:t xml:space="preserve">A4.8 </w:t>
      </w:r>
      <w:r>
        <w:rPr>
          <w:rFonts w:hint="eastAsia" w:cs="宋体"/>
          <w:color w:val="auto"/>
          <w:highlight w:val="none"/>
        </w:rPr>
        <w:t>澄清、说明或补正</w:t>
      </w:r>
    </w:p>
    <w:p w14:paraId="3E89A9A5">
      <w:pPr>
        <w:spacing w:line="360" w:lineRule="auto"/>
        <w:ind w:firstLine="420" w:firstLineChars="200"/>
        <w:rPr>
          <w:color w:val="auto"/>
          <w:highlight w:val="none"/>
        </w:rPr>
      </w:pPr>
      <w:r>
        <w:rPr>
          <w:rFonts w:hint="eastAsia" w:cs="宋体"/>
          <w:color w:val="auto"/>
          <w:highlight w:val="none"/>
        </w:rPr>
        <w:t>在评审过程中，评标委员会应当就投标文件中不明确的内容要求投标人进行澄清、说明或者补正。投标人对此以书面形式予以澄清、说明或者补正。澄清、说明或补正根据本章第</w:t>
      </w:r>
      <w:r>
        <w:rPr>
          <w:color w:val="auto"/>
          <w:highlight w:val="none"/>
        </w:rPr>
        <w:t>3.3</w:t>
      </w:r>
      <w:r>
        <w:rPr>
          <w:rFonts w:hint="eastAsia" w:cs="宋体"/>
          <w:color w:val="auto"/>
          <w:highlight w:val="none"/>
        </w:rPr>
        <w:t>款的规定执行。</w:t>
      </w:r>
    </w:p>
    <w:p w14:paraId="7B08CAAD">
      <w:pPr>
        <w:spacing w:line="360" w:lineRule="auto"/>
        <w:ind w:firstLine="420" w:firstLineChars="200"/>
        <w:rPr>
          <w:color w:val="auto"/>
          <w:highlight w:val="none"/>
        </w:rPr>
      </w:pPr>
      <w:r>
        <w:rPr>
          <w:color w:val="auto"/>
          <w:highlight w:val="none"/>
        </w:rPr>
        <w:t xml:space="preserve">A4.9 </w:t>
      </w:r>
      <w:r>
        <w:rPr>
          <w:rFonts w:hint="eastAsia" w:cs="宋体"/>
          <w:color w:val="auto"/>
          <w:highlight w:val="none"/>
        </w:rPr>
        <w:t>汇总评分结果</w:t>
      </w:r>
    </w:p>
    <w:p w14:paraId="5CA7D159">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14:paraId="343E12FA">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14:paraId="2E09FF00">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3B7CB86E">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1976EFD4">
      <w:pPr>
        <w:spacing w:line="360" w:lineRule="auto"/>
        <w:ind w:firstLine="420" w:firstLineChars="200"/>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09AE40D1">
      <w:pPr>
        <w:spacing w:line="360" w:lineRule="auto"/>
        <w:ind w:firstLine="420" w:firstLineChars="200"/>
        <w:rPr>
          <w:b/>
          <w:bCs/>
          <w:color w:val="auto"/>
          <w:highlight w:val="none"/>
        </w:rPr>
      </w:pPr>
      <w:r>
        <w:rPr>
          <w:rFonts w:hint="eastAsia"/>
          <w:color w:val="auto"/>
          <w:highlight w:val="none"/>
        </w:rPr>
        <w:t>（4）综合评估法资格评审也按上述原则统计分数。</w:t>
      </w:r>
    </w:p>
    <w:p w14:paraId="2D35C5DB">
      <w:pPr>
        <w:pStyle w:val="3"/>
        <w:rPr>
          <w:color w:val="auto"/>
          <w:highlight w:val="none"/>
        </w:rPr>
      </w:pPr>
      <w:bookmarkStart w:id="845" w:name="_Toc78449751"/>
      <w:bookmarkStart w:id="846" w:name="_Toc17690"/>
      <w:bookmarkStart w:id="847" w:name="_Toc407135186"/>
      <w:bookmarkStart w:id="848" w:name="_Toc1287"/>
      <w:bookmarkStart w:id="849" w:name="_Toc1907102730"/>
      <w:bookmarkStart w:id="850" w:name="_Toc289047715"/>
      <w:r>
        <w:rPr>
          <w:color w:val="auto"/>
          <w:highlight w:val="none"/>
        </w:rPr>
        <w:t xml:space="preserve">A5 </w:t>
      </w:r>
      <w:r>
        <w:rPr>
          <w:rFonts w:hint="eastAsia" w:cs="黑体"/>
          <w:color w:val="auto"/>
          <w:highlight w:val="none"/>
        </w:rPr>
        <w:t>推荐中标候选人或者直接确定中标人</w:t>
      </w:r>
      <w:bookmarkEnd w:id="845"/>
      <w:bookmarkEnd w:id="846"/>
      <w:bookmarkEnd w:id="847"/>
      <w:bookmarkEnd w:id="848"/>
      <w:bookmarkEnd w:id="849"/>
      <w:bookmarkEnd w:id="850"/>
    </w:p>
    <w:p w14:paraId="4D0F587B">
      <w:pPr>
        <w:spacing w:line="360" w:lineRule="auto"/>
        <w:ind w:left="-2" w:leftChars="-1" w:firstLine="420" w:firstLineChars="200"/>
        <w:outlineLvl w:val="0"/>
        <w:rPr>
          <w:color w:val="auto"/>
          <w:highlight w:val="none"/>
        </w:rPr>
      </w:pPr>
      <w:r>
        <w:rPr>
          <w:color w:val="auto"/>
          <w:highlight w:val="none"/>
        </w:rPr>
        <w:t xml:space="preserve">A5.1 </w:t>
      </w:r>
      <w:r>
        <w:rPr>
          <w:rFonts w:hint="eastAsia" w:cs="宋体"/>
          <w:color w:val="auto"/>
          <w:highlight w:val="none"/>
        </w:rPr>
        <w:t>推荐中标候选人</w:t>
      </w:r>
    </w:p>
    <w:p w14:paraId="5C821603">
      <w:pPr>
        <w:spacing w:line="360" w:lineRule="auto"/>
        <w:ind w:left="-2" w:leftChars="-1" w:firstLine="420" w:firstLineChars="200"/>
        <w:rPr>
          <w:color w:val="auto"/>
          <w:highlight w:val="none"/>
        </w:rPr>
      </w:pPr>
      <w:r>
        <w:rPr>
          <w:color w:val="auto"/>
          <w:highlight w:val="none"/>
        </w:rPr>
        <w:t xml:space="preserve">A5.1.1 </w:t>
      </w:r>
      <w:r>
        <w:rPr>
          <w:rFonts w:hint="eastAsia" w:cs="宋体"/>
          <w:color w:val="auto"/>
          <w:highlight w:val="none"/>
        </w:rPr>
        <w:t>除第二章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款授权直接确定中标人外，评标委员会在推荐中标候选人时，应遵照以下原则：</w:t>
      </w:r>
    </w:p>
    <w:p w14:paraId="4A115D9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）评标委员会按照最终得分由高至低的次序排列，并根据第二章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款规定及本章的规定推荐中标候选人。</w:t>
      </w:r>
    </w:p>
    <w:p w14:paraId="70574D03">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14:paraId="784BCCB4">
      <w:pPr>
        <w:spacing w:line="360" w:lineRule="auto"/>
        <w:ind w:left="-2" w:leftChars="-1" w:firstLine="420" w:firstLineChars="200"/>
        <w:rPr>
          <w:color w:val="auto"/>
          <w:highlight w:val="none"/>
        </w:rPr>
      </w:pPr>
      <w:r>
        <w:rPr>
          <w:color w:val="auto"/>
          <w:highlight w:val="none"/>
        </w:rPr>
        <w:t xml:space="preserve">A5.1.2 </w:t>
      </w:r>
      <w:r>
        <w:rPr>
          <w:rFonts w:hint="eastAsia" w:cs="宋体"/>
          <w:color w:val="auto"/>
          <w:highlight w:val="none"/>
        </w:rPr>
        <w:t>投标截止时间前递交投标文件的投标人数量少于三个或者所有投标被否决的，招标人应当依法重新招标。</w:t>
      </w:r>
    </w:p>
    <w:p w14:paraId="4F7B5EDE">
      <w:pPr>
        <w:spacing w:line="360" w:lineRule="auto"/>
        <w:ind w:left="-2" w:leftChars="-1" w:firstLine="420" w:firstLineChars="200"/>
        <w:rPr>
          <w:color w:val="auto"/>
          <w:highlight w:val="none"/>
        </w:rPr>
      </w:pPr>
      <w:r>
        <w:rPr>
          <w:color w:val="auto"/>
          <w:highlight w:val="none"/>
        </w:rPr>
        <w:t xml:space="preserve">A5.2 </w:t>
      </w:r>
      <w:r>
        <w:rPr>
          <w:rFonts w:hint="eastAsia" w:cs="宋体"/>
          <w:color w:val="auto"/>
          <w:highlight w:val="none"/>
        </w:rPr>
        <w:t>直接确定中标人</w:t>
      </w:r>
    </w:p>
    <w:p w14:paraId="25DB5A7E">
      <w:pPr>
        <w:spacing w:line="360" w:lineRule="auto"/>
        <w:ind w:left="-2" w:leftChars="-1" w:firstLine="420" w:firstLineChars="200"/>
        <w:rPr>
          <w:color w:val="auto"/>
          <w:highlight w:val="none"/>
        </w:rPr>
      </w:pP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前附表授权评标委员会直接确定中标人的，评标委员会按照最终得分由高至低的次序排列，按照本章的规定直接确定中标人。</w:t>
      </w:r>
    </w:p>
    <w:p w14:paraId="7F36CEE5">
      <w:pPr>
        <w:spacing w:line="360" w:lineRule="auto"/>
        <w:ind w:left="-2" w:leftChars="-1" w:firstLine="420" w:firstLineChars="200"/>
        <w:rPr>
          <w:color w:val="auto"/>
          <w:highlight w:val="none"/>
        </w:rPr>
      </w:pPr>
      <w:r>
        <w:rPr>
          <w:color w:val="auto"/>
          <w:highlight w:val="none"/>
        </w:rPr>
        <w:t xml:space="preserve">A5.3 </w:t>
      </w:r>
      <w:r>
        <w:rPr>
          <w:rFonts w:hint="eastAsia" w:cs="宋体"/>
          <w:color w:val="auto"/>
          <w:highlight w:val="none"/>
        </w:rPr>
        <w:t>编制评标报告</w:t>
      </w:r>
    </w:p>
    <w:p w14:paraId="105BAFCF">
      <w:pPr>
        <w:spacing w:line="360" w:lineRule="auto"/>
        <w:ind w:left="-2" w:leftChars="-1" w:firstLine="420" w:firstLineChars="200"/>
        <w:rPr>
          <w:color w:val="auto"/>
          <w:highlight w:val="none"/>
        </w:rPr>
      </w:pPr>
      <w:r>
        <w:rPr>
          <w:rFonts w:hint="eastAsia" w:cs="宋体"/>
          <w:color w:val="auto"/>
          <w:highlight w:val="none"/>
        </w:rPr>
        <w:t>评标委员会向招标人提交评标报告。评标报告应当由全体评标委员会成员加盖个人电子印章，并于评标结束时抄送有关行政监督部门。评标报告应当包括但不限于以下内容：</w:t>
      </w:r>
    </w:p>
    <w:p w14:paraId="74D4FEA7">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14:paraId="3F44F470">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14:paraId="304DF8CF">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14:paraId="775C7967">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14:paraId="673C9FAD">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14:paraId="299E3A72">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14:paraId="1529FD97">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p>
    <w:p w14:paraId="53C1631F">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p>
    <w:p w14:paraId="513467B4">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前附表授权评标委员会直接确定中标人，则为</w:t>
      </w:r>
      <w:r>
        <w:rPr>
          <w:color w:val="auto"/>
          <w:highlight w:val="none"/>
        </w:rPr>
        <w:t>“</w:t>
      </w:r>
      <w:r>
        <w:rPr>
          <w:rFonts w:hint="eastAsia" w:cs="宋体"/>
          <w:color w:val="auto"/>
          <w:highlight w:val="none"/>
        </w:rPr>
        <w:t>确定的中标人</w:t>
      </w:r>
      <w:r>
        <w:rPr>
          <w:color w:val="auto"/>
          <w:highlight w:val="none"/>
        </w:rPr>
        <w:t>”</w:t>
      </w:r>
      <w:r>
        <w:rPr>
          <w:rFonts w:hint="eastAsia" w:cs="宋体"/>
          <w:color w:val="auto"/>
          <w:highlight w:val="none"/>
        </w:rPr>
        <w:t>）与签订合同前要处理的事宜；</w:t>
      </w:r>
    </w:p>
    <w:p w14:paraId="42885A15">
      <w:pPr>
        <w:spacing w:line="360" w:lineRule="auto"/>
        <w:ind w:left="-2" w:leftChars="-1" w:firstLine="420" w:firstLineChars="200"/>
        <w:rPr>
          <w:b/>
          <w:bCs/>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）澄清、说明、补正事项纪要。</w:t>
      </w:r>
    </w:p>
    <w:p w14:paraId="18DC2238">
      <w:pPr>
        <w:pStyle w:val="3"/>
        <w:rPr>
          <w:color w:val="auto"/>
          <w:highlight w:val="none"/>
        </w:rPr>
      </w:pPr>
      <w:bookmarkStart w:id="851" w:name="_Toc24245"/>
      <w:bookmarkStart w:id="852" w:name="_Toc1531373377"/>
      <w:bookmarkStart w:id="853" w:name="_Toc588688870"/>
      <w:bookmarkStart w:id="854" w:name="_Toc78449752"/>
      <w:bookmarkStart w:id="855" w:name="_Toc407135187"/>
      <w:bookmarkStart w:id="856" w:name="_Toc19964"/>
      <w:r>
        <w:rPr>
          <w:color w:val="auto"/>
          <w:highlight w:val="none"/>
        </w:rPr>
        <w:t xml:space="preserve">A6 </w:t>
      </w:r>
      <w:r>
        <w:rPr>
          <w:rFonts w:hint="eastAsia" w:cs="黑体"/>
          <w:color w:val="auto"/>
          <w:highlight w:val="none"/>
        </w:rPr>
        <w:t>特殊情况的处置程序</w:t>
      </w:r>
      <w:bookmarkEnd w:id="851"/>
      <w:bookmarkEnd w:id="852"/>
      <w:bookmarkEnd w:id="853"/>
      <w:bookmarkEnd w:id="854"/>
      <w:bookmarkEnd w:id="855"/>
      <w:bookmarkEnd w:id="856"/>
    </w:p>
    <w:p w14:paraId="655A7131">
      <w:pPr>
        <w:spacing w:line="360" w:lineRule="auto"/>
        <w:ind w:firstLine="420" w:firstLineChars="200"/>
        <w:rPr>
          <w:color w:val="auto"/>
          <w:highlight w:val="none"/>
        </w:rPr>
      </w:pPr>
      <w:r>
        <w:rPr>
          <w:color w:val="auto"/>
          <w:highlight w:val="none"/>
        </w:rPr>
        <w:t xml:space="preserve">A6.1 </w:t>
      </w:r>
      <w:r>
        <w:rPr>
          <w:rFonts w:hint="eastAsia" w:cs="宋体"/>
          <w:color w:val="auto"/>
          <w:highlight w:val="none"/>
        </w:rPr>
        <w:t>关于评标活动暂停</w:t>
      </w:r>
    </w:p>
    <w:p w14:paraId="3BE31369">
      <w:pPr>
        <w:spacing w:line="360" w:lineRule="auto"/>
        <w:ind w:left="-2" w:leftChars="-1"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14:paraId="32D9D60E">
      <w:pPr>
        <w:spacing w:line="360" w:lineRule="auto"/>
        <w:ind w:left="-2" w:leftChars="-1"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p>
    <w:p w14:paraId="17785A44">
      <w:pPr>
        <w:spacing w:line="360" w:lineRule="auto"/>
        <w:ind w:firstLine="420" w:firstLineChars="200"/>
        <w:outlineLvl w:val="0"/>
        <w:rPr>
          <w:color w:val="auto"/>
          <w:highlight w:val="none"/>
        </w:rPr>
      </w:pPr>
      <w:r>
        <w:rPr>
          <w:color w:val="auto"/>
          <w:highlight w:val="none"/>
        </w:rPr>
        <w:t xml:space="preserve">A6.2 </w:t>
      </w:r>
      <w:r>
        <w:rPr>
          <w:rFonts w:hint="eastAsia" w:cs="宋体"/>
          <w:color w:val="auto"/>
          <w:highlight w:val="none"/>
        </w:rPr>
        <w:t>关于评标中途更换评委</w:t>
      </w:r>
    </w:p>
    <w:p w14:paraId="70E81F8A">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14:paraId="5637C50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14:paraId="77A5E92E">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14:paraId="159E8046">
      <w:pPr>
        <w:spacing w:line="360" w:lineRule="auto"/>
        <w:ind w:left="-2" w:leftChars="-1"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退出评标的评标委员会成员，其已完成的评标行为无效。由招标人根据本招标文件规定的评标委员会成员生产方式另行确定替代者进行评标。</w:t>
      </w:r>
    </w:p>
    <w:p w14:paraId="52DCFF78">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p>
    <w:p w14:paraId="02DD5BAF">
      <w:pPr>
        <w:spacing w:line="360" w:lineRule="auto"/>
        <w:ind w:left="-2" w:leftChars="-1" w:firstLine="420" w:firstLineChars="200"/>
        <w:rPr>
          <w:b/>
          <w:bCs/>
          <w:color w:val="auto"/>
          <w:highlight w:val="none"/>
        </w:rPr>
      </w:pPr>
      <w:r>
        <w:rPr>
          <w:rFonts w:hint="eastAsia" w:cs="宋体"/>
          <w:color w:val="auto"/>
          <w:highlight w:val="none"/>
        </w:rPr>
        <w:t>需评标委员会就某项定性的评审结论做出表决的，由评标委员会全体成员按照少数服从多数的原则，以记名投票方式表决。</w:t>
      </w:r>
    </w:p>
    <w:p w14:paraId="2B475376">
      <w:pPr>
        <w:pStyle w:val="3"/>
        <w:rPr>
          <w:color w:val="auto"/>
          <w:highlight w:val="none"/>
        </w:rPr>
      </w:pPr>
      <w:bookmarkStart w:id="857" w:name="_Toc2133"/>
      <w:bookmarkStart w:id="858" w:name="_Toc12606"/>
      <w:bookmarkStart w:id="859" w:name="_Toc78449753"/>
      <w:bookmarkStart w:id="860" w:name="_Toc457814420"/>
      <w:bookmarkStart w:id="861" w:name="_Toc2125943846"/>
      <w:bookmarkStart w:id="862" w:name="_Toc407135188"/>
      <w:r>
        <w:rPr>
          <w:color w:val="auto"/>
          <w:highlight w:val="none"/>
        </w:rPr>
        <w:t xml:space="preserve">A7 </w:t>
      </w:r>
      <w:r>
        <w:rPr>
          <w:rFonts w:hint="eastAsia" w:cs="黑体"/>
          <w:color w:val="auto"/>
          <w:highlight w:val="none"/>
        </w:rPr>
        <w:t>补充条款</w:t>
      </w:r>
      <w:bookmarkEnd w:id="857"/>
      <w:bookmarkEnd w:id="858"/>
      <w:bookmarkEnd w:id="859"/>
      <w:bookmarkEnd w:id="860"/>
      <w:bookmarkEnd w:id="861"/>
      <w:bookmarkEnd w:id="862"/>
    </w:p>
    <w:p w14:paraId="50C576F4">
      <w:pPr>
        <w:spacing w:line="360" w:lineRule="auto"/>
        <w:ind w:left="-2" w:leftChars="-1" w:firstLine="420" w:firstLineChars="200"/>
        <w:rPr>
          <w:rFonts w:cs="宋体"/>
          <w:color w:val="auto"/>
          <w:highlight w:val="none"/>
        </w:rPr>
      </w:pPr>
      <w:r>
        <w:rPr>
          <w:rFonts w:hint="eastAsia" w:cs="宋体"/>
          <w:color w:val="auto"/>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8AB49A0">
      <w:pPr>
        <w:spacing w:line="360" w:lineRule="auto"/>
        <w:rPr>
          <w:color w:val="auto"/>
          <w:highlight w:val="none"/>
        </w:rPr>
      </w:pPr>
    </w:p>
    <w:p w14:paraId="4CBBD9EC">
      <w:pPr>
        <w:spacing w:line="360" w:lineRule="auto"/>
        <w:ind w:left="-2" w:leftChars="-1" w:firstLine="420" w:firstLineChars="200"/>
        <w:rPr>
          <w:color w:val="auto"/>
          <w:highlight w:val="none"/>
        </w:rPr>
      </w:pPr>
    </w:p>
    <w:p w14:paraId="5AE7856C">
      <w:pPr>
        <w:spacing w:line="360" w:lineRule="auto"/>
        <w:ind w:left="-2" w:leftChars="-1" w:firstLine="420" w:firstLineChars="200"/>
        <w:rPr>
          <w:color w:val="auto"/>
          <w:highlight w:val="none"/>
        </w:rPr>
      </w:pPr>
    </w:p>
    <w:p w14:paraId="6D11F064">
      <w:pPr>
        <w:spacing w:line="360" w:lineRule="auto"/>
        <w:rPr>
          <w:color w:val="auto"/>
          <w:highlight w:val="none"/>
        </w:rPr>
        <w:sectPr>
          <w:pgSz w:w="11907" w:h="16840"/>
          <w:pgMar w:top="1440" w:right="1440" w:bottom="1440" w:left="1797" w:header="851" w:footer="851" w:gutter="0"/>
          <w:cols w:space="720" w:num="1"/>
          <w:docGrid w:linePitch="312" w:charSpace="0"/>
        </w:sectPr>
      </w:pPr>
    </w:p>
    <w:p w14:paraId="0892D90D">
      <w:pPr>
        <w:pStyle w:val="2"/>
        <w:jc w:val="center"/>
        <w:rPr>
          <w:b w:val="0"/>
          <w:bCs w:val="0"/>
          <w:color w:val="auto"/>
          <w:sz w:val="28"/>
          <w:szCs w:val="28"/>
          <w:highlight w:val="none"/>
        </w:rPr>
      </w:pPr>
      <w:bookmarkStart w:id="863" w:name="_Toc27080"/>
      <w:bookmarkStart w:id="864" w:name="_Toc680389609"/>
      <w:bookmarkStart w:id="865" w:name="_Toc78449754"/>
      <w:bookmarkStart w:id="866" w:name="_Toc407135189"/>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bookmarkEnd w:id="863"/>
      <w:bookmarkEnd w:id="864"/>
      <w:bookmarkEnd w:id="865"/>
      <w:bookmarkEnd w:id="866"/>
    </w:p>
    <w:p w14:paraId="59A60BD5">
      <w:pPr>
        <w:adjustRightInd w:val="0"/>
        <w:snapToGrid w:val="0"/>
        <w:spacing w:line="440" w:lineRule="exact"/>
        <w:rPr>
          <w:b/>
          <w:bCs/>
          <w:color w:val="auto"/>
          <w:highlight w:val="none"/>
        </w:rPr>
      </w:pPr>
    </w:p>
    <w:p w14:paraId="2A9A341E">
      <w:pPr>
        <w:adjustRightInd w:val="0"/>
        <w:snapToGrid w:val="0"/>
        <w:spacing w:line="440" w:lineRule="exact"/>
        <w:rPr>
          <w:b/>
          <w:bCs/>
          <w:color w:val="auto"/>
          <w:highlight w:val="none"/>
        </w:rPr>
      </w:pPr>
    </w:p>
    <w:p w14:paraId="5D8508BE">
      <w:pPr>
        <w:adjustRightInd w:val="0"/>
        <w:snapToGrid w:val="0"/>
        <w:spacing w:line="440" w:lineRule="exact"/>
        <w:rPr>
          <w:color w:val="auto"/>
          <w:highlight w:val="none"/>
        </w:rPr>
      </w:pPr>
      <w:r>
        <w:rPr>
          <w:rFonts w:hint="eastAsia" w:cs="宋体"/>
          <w:b/>
          <w:bCs/>
          <w:color w:val="auto"/>
          <w:highlight w:val="none"/>
        </w:rPr>
        <w:t>备注：</w:t>
      </w:r>
      <w:r>
        <w:rPr>
          <w:rFonts w:hint="eastAsia" w:cs="宋体"/>
          <w:color w:val="auto"/>
          <w:highlight w:val="none"/>
        </w:rPr>
        <w:t>同“第三章（经评审的合理低价法）”附件</w:t>
      </w:r>
      <w:r>
        <w:rPr>
          <w:color w:val="auto"/>
          <w:highlight w:val="none"/>
        </w:rPr>
        <w:t>B</w:t>
      </w:r>
      <w:r>
        <w:rPr>
          <w:rFonts w:hint="eastAsia" w:cs="宋体"/>
          <w:color w:val="auto"/>
          <w:highlight w:val="none"/>
        </w:rPr>
        <w:t>。</w:t>
      </w:r>
    </w:p>
    <w:p w14:paraId="1B91BA6E">
      <w:pPr>
        <w:spacing w:line="360" w:lineRule="auto"/>
        <w:ind w:firstLine="450"/>
        <w:rPr>
          <w:color w:val="auto"/>
          <w:highlight w:val="none"/>
        </w:rPr>
      </w:pPr>
    </w:p>
    <w:p w14:paraId="7D63BDB2">
      <w:pPr>
        <w:spacing w:line="360" w:lineRule="auto"/>
        <w:ind w:firstLine="450"/>
        <w:rPr>
          <w:color w:val="auto"/>
          <w:highlight w:val="none"/>
        </w:rPr>
      </w:pPr>
    </w:p>
    <w:p w14:paraId="1AB39359">
      <w:pPr>
        <w:spacing w:line="360" w:lineRule="auto"/>
        <w:ind w:firstLine="450"/>
        <w:rPr>
          <w:color w:val="auto"/>
          <w:highlight w:val="none"/>
        </w:rPr>
      </w:pPr>
    </w:p>
    <w:p w14:paraId="09C1CC78">
      <w:pPr>
        <w:spacing w:line="420" w:lineRule="exact"/>
        <w:jc w:val="center"/>
        <w:rPr>
          <w:color w:val="auto"/>
          <w:highlight w:val="none"/>
        </w:rPr>
      </w:pPr>
    </w:p>
    <w:p w14:paraId="464F7F26">
      <w:pPr>
        <w:spacing w:line="420" w:lineRule="exact"/>
        <w:jc w:val="center"/>
        <w:rPr>
          <w:color w:val="auto"/>
          <w:highlight w:val="none"/>
        </w:rPr>
      </w:pPr>
    </w:p>
    <w:p w14:paraId="672DDF0F">
      <w:pPr>
        <w:spacing w:line="420" w:lineRule="exact"/>
        <w:jc w:val="center"/>
        <w:rPr>
          <w:color w:val="auto"/>
          <w:highlight w:val="none"/>
        </w:rPr>
      </w:pPr>
    </w:p>
    <w:p w14:paraId="24BF9D4C">
      <w:pPr>
        <w:spacing w:line="420" w:lineRule="exact"/>
        <w:jc w:val="center"/>
        <w:rPr>
          <w:color w:val="auto"/>
          <w:highlight w:val="none"/>
        </w:rPr>
      </w:pPr>
    </w:p>
    <w:p w14:paraId="3DD1763E">
      <w:pPr>
        <w:spacing w:line="420" w:lineRule="exact"/>
        <w:rPr>
          <w:color w:val="auto"/>
          <w:highlight w:val="none"/>
        </w:rPr>
      </w:pPr>
    </w:p>
    <w:p w14:paraId="6EB2F5DA">
      <w:pPr>
        <w:pStyle w:val="135"/>
        <w:spacing w:line="360" w:lineRule="auto"/>
        <w:ind w:firstLine="308" w:firstLineChars="147"/>
        <w:jc w:val="left"/>
        <w:rPr>
          <w:color w:val="auto"/>
          <w:highlight w:val="none"/>
        </w:rPr>
      </w:pPr>
    </w:p>
    <w:p w14:paraId="6FF48886">
      <w:pPr>
        <w:pStyle w:val="135"/>
        <w:spacing w:line="360" w:lineRule="auto"/>
        <w:ind w:firstLine="308" w:firstLineChars="147"/>
        <w:jc w:val="left"/>
        <w:rPr>
          <w:color w:val="auto"/>
          <w:highlight w:val="none"/>
        </w:rPr>
      </w:pPr>
    </w:p>
    <w:p w14:paraId="313D4060">
      <w:pPr>
        <w:pStyle w:val="135"/>
        <w:spacing w:line="360" w:lineRule="auto"/>
        <w:ind w:firstLine="308" w:firstLineChars="147"/>
        <w:jc w:val="left"/>
        <w:rPr>
          <w:color w:val="auto"/>
          <w:highlight w:val="none"/>
        </w:rPr>
        <w:sectPr>
          <w:pgSz w:w="11907" w:h="16840"/>
          <w:pgMar w:top="1440" w:right="1440" w:bottom="1440" w:left="1797" w:header="851" w:footer="851" w:gutter="0"/>
          <w:cols w:space="720" w:num="1"/>
          <w:docGrid w:linePitch="312" w:charSpace="0"/>
        </w:sectPr>
      </w:pPr>
    </w:p>
    <w:p w14:paraId="0D8A1FEF">
      <w:pPr>
        <w:pStyle w:val="4"/>
        <w:rPr>
          <w:rFonts w:eastAsia="黑体"/>
          <w:color w:val="auto"/>
          <w:sz w:val="28"/>
          <w:szCs w:val="28"/>
          <w:highlight w:val="none"/>
        </w:rPr>
      </w:pPr>
      <w:bookmarkStart w:id="867" w:name="_Toc78449755"/>
      <w:bookmarkStart w:id="868" w:name="_Toc32580197"/>
      <w:bookmarkStart w:id="869" w:name="_Toc553694808"/>
      <w:bookmarkStart w:id="870" w:name="_Toc20266"/>
      <w:bookmarkStart w:id="871" w:name="_Toc80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bookmarkEnd w:id="867"/>
      <w:bookmarkEnd w:id="868"/>
      <w:bookmarkEnd w:id="869"/>
      <w:bookmarkEnd w:id="870"/>
      <w:bookmarkEnd w:id="871"/>
    </w:p>
    <w:p w14:paraId="00F4E8EF">
      <w:pPr>
        <w:adjustRightInd w:val="0"/>
        <w:snapToGrid w:val="0"/>
        <w:jc w:val="center"/>
        <w:rPr>
          <w:rFonts w:hint="eastAsia"/>
          <w:color w:val="auto"/>
          <w:sz w:val="28"/>
          <w:szCs w:val="28"/>
          <w:highlight w:val="none"/>
          <w:lang w:val="en-US" w:eastAsia="zh-CN"/>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p>
    <w:p w14:paraId="73CD9C84">
      <w:pPr>
        <w:adjustRightInd w:val="0"/>
        <w:snapToGrid w:val="0"/>
        <w:jc w:val="center"/>
        <w:rPr>
          <w:rFonts w:hint="eastAsia"/>
          <w:color w:val="auto"/>
          <w:sz w:val="28"/>
          <w:szCs w:val="28"/>
          <w:highlight w:val="none"/>
          <w:lang w:val="en-US" w:eastAsia="zh-CN"/>
        </w:rPr>
      </w:pPr>
    </w:p>
    <w:p w14:paraId="373D1727">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0DB11C9">
      <w:pPr>
        <w:spacing w:after="72" w:afterLines="30"/>
        <w:rPr>
          <w:color w:val="auto"/>
          <w:highlight w:val="none"/>
          <w:u w:val="singl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r>
        <w:rPr>
          <w:rFonts w:hint="eastAsia" w:cs="宋体"/>
          <w:color w:val="auto"/>
          <w:highlight w:val="none"/>
          <w:u w:val="single"/>
        </w:rPr>
        <w:t xml:space="preserve">           </w:t>
      </w:r>
    </w:p>
    <w:tbl>
      <w:tblPr>
        <w:tblStyle w:val="40"/>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633"/>
        <w:gridCol w:w="1134"/>
        <w:gridCol w:w="709"/>
        <w:gridCol w:w="1701"/>
        <w:gridCol w:w="2126"/>
      </w:tblGrid>
      <w:tr w14:paraId="63D9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265F6E0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70E15DF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027" w:type="dxa"/>
            <w:gridSpan w:val="3"/>
            <w:noWrap w:val="0"/>
            <w:vAlign w:val="top"/>
          </w:tcPr>
          <w:p w14:paraId="64BDEEB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709" w:type="dxa"/>
            <w:vMerge w:val="restart"/>
            <w:noWrap w:val="0"/>
            <w:vAlign w:val="center"/>
          </w:tcPr>
          <w:p w14:paraId="7989CB0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4D50BA7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701" w:type="dxa"/>
            <w:vMerge w:val="restart"/>
            <w:noWrap w:val="0"/>
            <w:vAlign w:val="center"/>
          </w:tcPr>
          <w:p w14:paraId="3391355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1D9760A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7FC34A3F">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1B53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exact"/>
        </w:trPr>
        <w:tc>
          <w:tcPr>
            <w:tcW w:w="586" w:type="dxa"/>
            <w:vMerge w:val="continue"/>
            <w:noWrap w:val="0"/>
            <w:vAlign w:val="center"/>
          </w:tcPr>
          <w:p w14:paraId="4451957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738F6F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710F47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633" w:type="dxa"/>
            <w:noWrap w:val="0"/>
            <w:vAlign w:val="center"/>
          </w:tcPr>
          <w:p w14:paraId="28B3975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34" w:type="dxa"/>
            <w:noWrap w:val="0"/>
            <w:vAlign w:val="center"/>
          </w:tcPr>
          <w:p w14:paraId="14AE4B5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09" w:type="dxa"/>
            <w:vMerge w:val="continue"/>
            <w:noWrap w:val="0"/>
            <w:vAlign w:val="center"/>
          </w:tcPr>
          <w:p w14:paraId="70E4F0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701" w:type="dxa"/>
            <w:vMerge w:val="continue"/>
            <w:noWrap w:val="0"/>
            <w:vAlign w:val="center"/>
          </w:tcPr>
          <w:p w14:paraId="6CB953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3D2CB70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18DF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5CA5213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722809C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72F17E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50E58CF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6310F49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130685E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608241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05F983B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721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86" w:type="dxa"/>
            <w:noWrap w:val="0"/>
            <w:vAlign w:val="center"/>
          </w:tcPr>
          <w:p w14:paraId="3AC545FB">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753E5C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732BE4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74CB32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0A3923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62D270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589B8F5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5B12C7D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6FF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60C91E9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7493310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40EA92C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2BB91C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254C1E1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747E425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52C35F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771FDAF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4199CB9C">
      <w:pPr>
        <w:rPr>
          <w:rFonts w:ascii="宋体"/>
          <w:color w:val="auto"/>
          <w:highlight w:val="none"/>
        </w:rPr>
      </w:pPr>
    </w:p>
    <w:p w14:paraId="11FF4A82">
      <w:pPr>
        <w:rPr>
          <w:rFonts w:hint="eastAsia" w:ascii="宋体" w:hAnsi="宋体" w:cs="宋体"/>
          <w:color w:val="auto"/>
          <w:highlight w:val="none"/>
        </w:rPr>
      </w:pPr>
    </w:p>
    <w:p w14:paraId="5216F18D">
      <w:pPr>
        <w:rPr>
          <w:rFonts w:hint="eastAsia" w:ascii="宋体" w:hAnsi="宋体" w:cs="宋体"/>
          <w:color w:val="auto"/>
          <w:highlight w:val="none"/>
        </w:rPr>
      </w:pPr>
    </w:p>
    <w:p w14:paraId="253D8A16">
      <w:pPr>
        <w:rPr>
          <w:rFonts w:hint="eastAsia" w:cs="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29F5E6EA">
      <w:pPr>
        <w:rPr>
          <w:rFonts w:hint="eastAsia" w:cs="宋体"/>
          <w:color w:val="auto"/>
          <w:highlight w:val="none"/>
        </w:rPr>
      </w:pPr>
      <w:r>
        <w:rPr>
          <w:rFonts w:hint="eastAsia" w:cs="宋体"/>
          <w:color w:val="auto"/>
          <w:highlight w:val="none"/>
        </w:rPr>
        <w:t>注：开标前身份证验证时，如投标单位的专职投标员的</w:t>
      </w:r>
      <w:r>
        <w:rPr>
          <w:rFonts w:hint="eastAsia"/>
          <w:color w:val="auto"/>
          <w:highlight w:val="none"/>
        </w:rPr>
        <w:t>诚信信息未处</w:t>
      </w:r>
      <w:r>
        <w:rPr>
          <w:rFonts w:hint="eastAsia" w:cs="宋体"/>
          <w:color w:val="auto"/>
          <w:highlight w:val="none"/>
        </w:rPr>
        <w:t>于有效状态，则为</w:t>
      </w:r>
      <w:r>
        <w:rPr>
          <w:rFonts w:hint="eastAsia"/>
          <w:color w:val="auto"/>
          <w:highlight w:val="none"/>
        </w:rPr>
        <w:t>诚信信息</w:t>
      </w:r>
      <w:r>
        <w:rPr>
          <w:rFonts w:hint="eastAsia" w:cs="宋体"/>
          <w:color w:val="auto"/>
          <w:highlight w:val="none"/>
        </w:rPr>
        <w:t>未通过验证，该投标</w:t>
      </w:r>
      <w:r>
        <w:rPr>
          <w:rFonts w:cs="宋体"/>
          <w:color w:val="auto"/>
          <w:highlight w:val="none"/>
        </w:rPr>
        <w:t>文件</w:t>
      </w:r>
      <w:r>
        <w:rPr>
          <w:rFonts w:hint="eastAsia" w:cs="宋体"/>
          <w:color w:val="auto"/>
          <w:highlight w:val="none"/>
        </w:rPr>
        <w:t>投标无</w:t>
      </w:r>
      <w:r>
        <w:rPr>
          <w:rFonts w:cs="宋体"/>
          <w:color w:val="auto"/>
          <w:highlight w:val="none"/>
        </w:rPr>
        <w:t>效</w:t>
      </w:r>
      <w:r>
        <w:rPr>
          <w:rFonts w:hint="eastAsia" w:cs="宋体"/>
          <w:color w:val="auto"/>
          <w:highlight w:val="none"/>
        </w:rPr>
        <w:t>。评标时，如评委发现投标单位投标文件中专职投标员与开标时所验身份证的专职投标员不相符时，应视作该投标单位的</w:t>
      </w:r>
      <w:r>
        <w:rPr>
          <w:rFonts w:hint="eastAsia"/>
          <w:color w:val="auto"/>
          <w:highlight w:val="none"/>
        </w:rPr>
        <w:t>诚信信息</w:t>
      </w:r>
      <w:r>
        <w:rPr>
          <w:rFonts w:hint="eastAsia" w:cs="宋体"/>
          <w:color w:val="auto"/>
          <w:highlight w:val="none"/>
        </w:rPr>
        <w:t>未通过验证。</w:t>
      </w:r>
    </w:p>
    <w:p w14:paraId="4FAB129E">
      <w:pPr>
        <w:pStyle w:val="4"/>
        <w:spacing w:line="240" w:lineRule="auto"/>
        <w:rPr>
          <w:rFonts w:hint="default" w:cs="宋体"/>
          <w:b w:val="0"/>
          <w:bCs w:val="0"/>
          <w:color w:val="auto"/>
          <w:highlight w:val="none"/>
          <w:lang w:val="en-US"/>
        </w:rPr>
      </w:pPr>
      <w:r>
        <w:rPr>
          <w:color w:val="auto"/>
          <w:sz w:val="24"/>
          <w:szCs w:val="24"/>
          <w:highlight w:val="none"/>
        </w:rPr>
        <w:br w:type="page"/>
      </w:r>
      <w:bookmarkStart w:id="872" w:name="_Toc369221374"/>
      <w:bookmarkStart w:id="873" w:name="_Toc354648305"/>
      <w:bookmarkStart w:id="874" w:name="_Toc20829"/>
      <w:bookmarkStart w:id="875" w:name="_Toc78449756"/>
      <w:bookmarkStart w:id="876" w:name="_Toc28751"/>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－2：投标单位人员诚信状态核查情况记录表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bookmarkEnd w:id="872"/>
      <w:bookmarkEnd w:id="873"/>
      <w:bookmarkEnd w:id="874"/>
      <w:bookmarkEnd w:id="875"/>
      <w:bookmarkEnd w:id="876"/>
    </w:p>
    <w:p w14:paraId="41EFC47E">
      <w:pPr>
        <w:spacing w:line="440" w:lineRule="exact"/>
        <w:jc w:val="center"/>
        <w:rPr>
          <w:rFonts w:hint="default" w:cs="宋体"/>
          <w:b/>
          <w:bCs/>
          <w:color w:val="auto"/>
          <w:highlight w:val="none"/>
          <w:lang w:val="en-US"/>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p>
    <w:p w14:paraId="3DF324D9">
      <w:pPr>
        <w:spacing w:after="72" w:afterLines="30"/>
        <w:rPr>
          <w:color w:val="auto"/>
          <w:highlight w:val="none"/>
        </w:rPr>
      </w:pPr>
    </w:p>
    <w:p w14:paraId="270451F5">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D4C3D1B">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1EC4132D">
      <w:pPr>
        <w:rPr>
          <w:rFonts w:ascii="宋体"/>
          <w:color w:val="auto"/>
          <w:highlight w:val="none"/>
        </w:rPr>
      </w:pPr>
    </w:p>
    <w:tbl>
      <w:tblPr>
        <w:tblStyle w:val="40"/>
        <w:tblpPr w:leftFromText="180" w:rightFromText="180" w:vertAnchor="text" w:horzAnchor="page" w:tblpX="921"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1269"/>
        <w:gridCol w:w="1270"/>
        <w:gridCol w:w="793"/>
        <w:gridCol w:w="952"/>
        <w:gridCol w:w="1269"/>
        <w:gridCol w:w="1305"/>
        <w:gridCol w:w="1417"/>
        <w:gridCol w:w="2126"/>
      </w:tblGrid>
      <w:tr w14:paraId="5577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5679B08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6D810CD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4612" w:type="dxa"/>
            <w:gridSpan w:val="4"/>
            <w:noWrap w:val="0"/>
            <w:vAlign w:val="top"/>
          </w:tcPr>
          <w:p w14:paraId="68A2B0C9">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3014" w:type="dxa"/>
            <w:gridSpan w:val="3"/>
            <w:noWrap w:val="0"/>
            <w:vAlign w:val="top"/>
          </w:tcPr>
          <w:p w14:paraId="10BB132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305" w:type="dxa"/>
            <w:vMerge w:val="restart"/>
            <w:noWrap w:val="0"/>
            <w:vAlign w:val="center"/>
          </w:tcPr>
          <w:p w14:paraId="53962A4A">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6F5DD168">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417" w:type="dxa"/>
            <w:vMerge w:val="restart"/>
            <w:noWrap w:val="0"/>
            <w:vAlign w:val="center"/>
          </w:tcPr>
          <w:p w14:paraId="7FEFA4F1">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center"/>
          </w:tcPr>
          <w:p w14:paraId="6453CD2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验证项目经理和专职安全生产管理人员与投标文件中拟投入者是否一致</w:t>
            </w:r>
          </w:p>
          <w:p w14:paraId="5B05B63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264C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exact"/>
        </w:trPr>
        <w:tc>
          <w:tcPr>
            <w:tcW w:w="604" w:type="dxa"/>
            <w:vMerge w:val="continue"/>
            <w:noWrap w:val="0"/>
            <w:vAlign w:val="center"/>
          </w:tcPr>
          <w:p w14:paraId="6A8FEF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0ADD6A0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0687EC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4F722DF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01E659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存在在建工程及不良行为情况</w:t>
            </w:r>
          </w:p>
        </w:tc>
        <w:tc>
          <w:tcPr>
            <w:tcW w:w="1270" w:type="dxa"/>
            <w:noWrap w:val="0"/>
            <w:vAlign w:val="center"/>
          </w:tcPr>
          <w:p w14:paraId="14B4DDF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93" w:type="dxa"/>
            <w:noWrap w:val="0"/>
            <w:vAlign w:val="center"/>
          </w:tcPr>
          <w:p w14:paraId="40242F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952" w:type="dxa"/>
            <w:noWrap w:val="0"/>
            <w:vAlign w:val="center"/>
          </w:tcPr>
          <w:p w14:paraId="1E28C7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041AE28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305" w:type="dxa"/>
            <w:vMerge w:val="continue"/>
            <w:noWrap w:val="0"/>
            <w:vAlign w:val="center"/>
          </w:tcPr>
          <w:p w14:paraId="52EB20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417" w:type="dxa"/>
            <w:vMerge w:val="continue"/>
            <w:noWrap w:val="0"/>
            <w:vAlign w:val="top"/>
          </w:tcPr>
          <w:p w14:paraId="1E7AB0C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center"/>
          </w:tcPr>
          <w:p w14:paraId="6E75C7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3104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6655203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4719C47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4DE52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0FD952E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660EAC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07B7B4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2F4343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6DD17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ED0D8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39620F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5D79F2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0A4DBF1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671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0A9DFCC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7482E5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AD132F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2C4E4E1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6857BC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2389E5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E8A34D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DC56B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D54051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025366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327625E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0C0D627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C81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695233EE">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5A624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20F779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405DD0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6079082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DC1785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D3108C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12148D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0E2018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3635EE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5B16C87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279B3C8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F97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13B85F6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634465A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F0DF98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593232B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12E56E6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098809C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B78C07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08EB2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0105C1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60AF7B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054A0E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02A90CC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7D0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C939A34">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728D84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9D973F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36A5AC5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5889E1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5CB752C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DF3142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B9CD3A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CE47A1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54A328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651F0DC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0B1E2D1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73A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95DC33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88BF54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92515E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B55C90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FB33E0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A73D11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145B25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51F2DF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2CE9D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5D3CB3C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00DE77B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5247280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356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6B428D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772" w:type="dxa"/>
            <w:vMerge w:val="restart"/>
            <w:noWrap w:val="0"/>
            <w:vAlign w:val="center"/>
          </w:tcPr>
          <w:p w14:paraId="2AC6D6E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4BE94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1E2843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7D2749C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05E7C7A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0439C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E9257B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B89D25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7C3126A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6D3BDB2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18D504A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B95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0842B53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F479F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B4162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0846AA4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D23E8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5A1DC3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13556F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0A978A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B7280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501DC6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1FEF144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71A3B2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130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5F891423">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1E1706F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F92A23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456D32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1848A6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00D044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1A91F8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EFA09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0ABFDD0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E65B5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154783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04D0D9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316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967F844">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6DCAACB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1CECE6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3AE25CC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25989A5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34149B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C902B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ECD44F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3E14AB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29D30D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0B6B3BD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641B97D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51A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6DF427A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11124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7D4087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084F5F6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707504C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0CED09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AD6199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1EC928A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363A39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2F783D0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7BCF68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35FF68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973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2DFA2069">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A6B5F9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D901CB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1D8DBF5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2C32916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CCFA1C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938DCA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13E018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6D0025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E60B1B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7936713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7D8134F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0DED0849">
      <w:pPr>
        <w:rPr>
          <w:rFonts w:hint="eastAsia" w:ascii="宋体" w:hAnsi="宋体" w:cs="宋体"/>
          <w:color w:val="auto"/>
          <w:highlight w:val="none"/>
        </w:rPr>
      </w:pPr>
    </w:p>
    <w:p w14:paraId="74779115">
      <w:pPr>
        <w:rPr>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5AE2EDD7">
      <w:pPr>
        <w:rPr>
          <w:color w:val="auto"/>
          <w:highlight w:val="none"/>
        </w:rPr>
      </w:pPr>
      <w:r>
        <w:rPr>
          <w:rFonts w:hint="eastAsia" w:cs="宋体"/>
          <w:color w:val="auto"/>
          <w:highlight w:val="none"/>
        </w:rPr>
        <w:t>评委签字（仅负责核查投标文件中拟投入的项目经理或专职安全生产管理人员与本记录表中的项目经理或专职安全生产管理人员是否相符）：</w:t>
      </w:r>
    </w:p>
    <w:p w14:paraId="6C0F477A">
      <w:pPr>
        <w:rPr>
          <w:color w:val="auto"/>
          <w:highlight w:val="none"/>
        </w:rPr>
      </w:pPr>
    </w:p>
    <w:p w14:paraId="176D425E">
      <w:pPr>
        <w:jc w:val="left"/>
        <w:rPr>
          <w:rStyle w:val="52"/>
          <w:color w:val="auto"/>
          <w:highlight w:val="none"/>
          <w:lang w:val="zh-CN"/>
        </w:rPr>
      </w:pPr>
      <w:r>
        <w:rPr>
          <w:rFonts w:hint="eastAsia" w:cs="宋体"/>
          <w:color w:val="auto"/>
          <w:highlight w:val="none"/>
        </w:rPr>
        <w:t>注：开标时对项目经理和专职安全生产管理人员进行身份证验证，如投标单位的项目经理和专职安全生产管理人员中有一人的诚信信息未处于有效状态，则为诚信信息未通过验证，则该投标</w:t>
      </w:r>
      <w:r>
        <w:rPr>
          <w:rFonts w:cs="宋体"/>
          <w:color w:val="auto"/>
          <w:highlight w:val="none"/>
        </w:rPr>
        <w:t>文件</w:t>
      </w:r>
      <w:r>
        <w:rPr>
          <w:rFonts w:hint="eastAsia" w:cs="宋体"/>
          <w:color w:val="auto"/>
          <w:highlight w:val="none"/>
        </w:rPr>
        <w:t>投标无</w:t>
      </w:r>
      <w:r>
        <w:rPr>
          <w:rFonts w:cs="宋体"/>
          <w:color w:val="auto"/>
          <w:highlight w:val="none"/>
        </w:rPr>
        <w:t>效</w:t>
      </w:r>
      <w:r>
        <w:rPr>
          <w:rFonts w:hint="eastAsia" w:cs="宋体"/>
          <w:color w:val="auto"/>
          <w:highlight w:val="none"/>
        </w:rPr>
        <w:t>；评标时，如评委发现投标单位投标文件中拟投入的项目经理或专职安全生产管理人员与开标时所验身份证的项目经理或专职安全生产管理人员不相符时，应视作该投标单位的诚信信息未通过验证。</w:t>
      </w:r>
    </w:p>
    <w:p w14:paraId="5DDC02F8">
      <w:pPr>
        <w:pStyle w:val="4"/>
        <w:spacing w:line="240" w:lineRule="auto"/>
        <w:rPr>
          <w:color w:val="auto"/>
          <w:sz w:val="28"/>
          <w:szCs w:val="28"/>
          <w:highlight w:val="none"/>
        </w:rPr>
      </w:pPr>
      <w:bookmarkStart w:id="877" w:name="_Toc563649471"/>
      <w:bookmarkStart w:id="878" w:name="_Toc374827288"/>
      <w:bookmarkStart w:id="879" w:name="_Toc1298"/>
      <w:bookmarkStart w:id="880" w:name="_Toc13955"/>
      <w:r>
        <w:rPr>
          <w:rFonts w:hint="eastAsia"/>
          <w:color w:val="auto"/>
          <w:sz w:val="28"/>
          <w:szCs w:val="28"/>
          <w:highlight w:val="none"/>
        </w:rPr>
        <w:t>附表</w:t>
      </w:r>
      <w:r>
        <w:rPr>
          <w:color w:val="auto"/>
          <w:sz w:val="28"/>
          <w:szCs w:val="28"/>
          <w:highlight w:val="none"/>
        </w:rPr>
        <w:t>A</w:t>
      </w:r>
      <w:r>
        <w:rPr>
          <w:rStyle w:val="52"/>
          <w:rFonts w:hint="eastAsia"/>
          <w:b w:val="0"/>
          <w:bCs w:val="0"/>
          <w:color w:val="auto"/>
          <w:sz w:val="28"/>
          <w:szCs w:val="28"/>
          <w:highlight w:val="none"/>
          <w:lang w:val="zh-CN"/>
        </w:rPr>
        <w:t>－</w:t>
      </w:r>
      <w:r>
        <w:rPr>
          <w:rStyle w:val="52"/>
          <w:rFonts w:hint="eastAsia"/>
          <w:b w:val="0"/>
          <w:bCs w:val="0"/>
          <w:color w:val="auto"/>
          <w:sz w:val="28"/>
          <w:szCs w:val="28"/>
          <w:highlight w:val="none"/>
          <w:lang w:val="en-US"/>
        </w:rPr>
        <w:t>2</w:t>
      </w:r>
      <w:r>
        <w:rPr>
          <w:rFonts w:hint="eastAsia"/>
          <w:color w:val="auto"/>
          <w:sz w:val="28"/>
          <w:szCs w:val="28"/>
          <w:highlight w:val="none"/>
        </w:rPr>
        <w:t>：</w:t>
      </w:r>
      <w:r>
        <w:rPr>
          <w:rStyle w:val="52"/>
          <w:rFonts w:hint="eastAsia"/>
          <w:b w:val="0"/>
          <w:bCs w:val="0"/>
          <w:color w:val="auto"/>
          <w:sz w:val="28"/>
          <w:szCs w:val="28"/>
          <w:highlight w:val="none"/>
          <w:lang w:val="zh-CN"/>
        </w:rPr>
        <w:t>开标记录表</w:t>
      </w:r>
      <w:bookmarkEnd w:id="877"/>
      <w:bookmarkEnd w:id="878"/>
      <w:bookmarkEnd w:id="879"/>
      <w:bookmarkEnd w:id="880"/>
    </w:p>
    <w:p w14:paraId="78ADF957">
      <w:pPr>
        <w:jc w:val="left"/>
        <w:rPr>
          <w:rStyle w:val="52"/>
          <w:color w:val="auto"/>
          <w:highlight w:val="none"/>
          <w:lang w:val="zh-CN"/>
        </w:rPr>
      </w:pPr>
    </w:p>
    <w:p w14:paraId="7200A961">
      <w:pPr>
        <w:jc w:val="left"/>
        <w:rPr>
          <w:rStyle w:val="52"/>
          <w:color w:val="auto"/>
          <w:highlight w:val="none"/>
          <w:lang w:val="zh-CN"/>
        </w:rPr>
      </w:pPr>
    </w:p>
    <w:p w14:paraId="09FAEC91">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5A2B4F01">
      <w:pPr>
        <w:adjustRightInd w:val="0"/>
        <w:snapToGrid w:val="0"/>
        <w:spacing w:line="420" w:lineRule="exact"/>
        <w:jc w:val="center"/>
        <w:rPr>
          <w:rFonts w:eastAsia="黑体"/>
          <w:color w:val="auto"/>
          <w:sz w:val="28"/>
          <w:szCs w:val="28"/>
          <w:highlight w:val="none"/>
        </w:rPr>
      </w:pPr>
    </w:p>
    <w:p w14:paraId="61D2A074">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68F6D89">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080"/>
        <w:gridCol w:w="1060"/>
        <w:gridCol w:w="1064"/>
        <w:gridCol w:w="720"/>
        <w:gridCol w:w="1236"/>
        <w:gridCol w:w="2027"/>
        <w:gridCol w:w="608"/>
      </w:tblGrid>
      <w:tr w14:paraId="33B7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exact"/>
          <w:jc w:val="center"/>
        </w:trPr>
        <w:tc>
          <w:tcPr>
            <w:tcW w:w="497" w:type="dxa"/>
            <w:noWrap w:val="0"/>
            <w:vAlign w:val="center"/>
          </w:tcPr>
          <w:p w14:paraId="17A038C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980" w:type="dxa"/>
            <w:noWrap w:val="0"/>
            <w:vAlign w:val="center"/>
          </w:tcPr>
          <w:p w14:paraId="031FC0B7">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900" w:type="dxa"/>
            <w:noWrap w:val="0"/>
            <w:vAlign w:val="center"/>
          </w:tcPr>
          <w:p w14:paraId="2EF2CA5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是否按时递交投标文件</w:t>
            </w:r>
          </w:p>
        </w:tc>
        <w:tc>
          <w:tcPr>
            <w:tcW w:w="1080" w:type="dxa"/>
            <w:noWrap w:val="0"/>
            <w:vAlign w:val="center"/>
          </w:tcPr>
          <w:p w14:paraId="7E2CDE09">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单位是否有效</w:t>
            </w:r>
          </w:p>
        </w:tc>
        <w:tc>
          <w:tcPr>
            <w:tcW w:w="900" w:type="dxa"/>
            <w:noWrap w:val="0"/>
            <w:vAlign w:val="center"/>
          </w:tcPr>
          <w:p w14:paraId="3389A76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人员</w:t>
            </w:r>
            <w:r>
              <w:rPr>
                <w:rFonts w:hint="eastAsia" w:ascii="Calibri" w:hAnsi="Calibri" w:eastAsia="宋体" w:cs="宋体"/>
                <w:color w:val="auto"/>
                <w:highlight w:val="none"/>
              </w:rPr>
              <w:t>是否有效</w:t>
            </w:r>
          </w:p>
        </w:tc>
        <w:tc>
          <w:tcPr>
            <w:tcW w:w="1080" w:type="dxa"/>
            <w:noWrap w:val="0"/>
            <w:vAlign w:val="center"/>
          </w:tcPr>
          <w:p w14:paraId="635F952D">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提交的投标保证金（万元）</w:t>
            </w:r>
          </w:p>
        </w:tc>
        <w:tc>
          <w:tcPr>
            <w:tcW w:w="1060" w:type="dxa"/>
            <w:noWrap w:val="0"/>
            <w:vAlign w:val="center"/>
          </w:tcPr>
          <w:p w14:paraId="6F863F4E">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投标总报价（元）</w:t>
            </w:r>
          </w:p>
        </w:tc>
        <w:tc>
          <w:tcPr>
            <w:tcW w:w="1064" w:type="dxa"/>
            <w:noWrap w:val="0"/>
            <w:vAlign w:val="center"/>
          </w:tcPr>
          <w:p w14:paraId="4472849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自报工期（日历天）</w:t>
            </w:r>
          </w:p>
        </w:tc>
        <w:tc>
          <w:tcPr>
            <w:tcW w:w="720" w:type="dxa"/>
            <w:noWrap w:val="0"/>
            <w:vAlign w:val="center"/>
          </w:tcPr>
          <w:p w14:paraId="7B501A82">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自报质量等级</w:t>
            </w:r>
          </w:p>
        </w:tc>
        <w:tc>
          <w:tcPr>
            <w:tcW w:w="1236" w:type="dxa"/>
            <w:noWrap w:val="0"/>
            <w:vAlign w:val="center"/>
          </w:tcPr>
          <w:p w14:paraId="67B07DBF">
            <w:pPr>
              <w:keepNext w:val="0"/>
              <w:keepLines w:val="0"/>
              <w:suppressLineNumbers w:val="0"/>
              <w:spacing w:before="0" w:beforeAutospacing="0" w:after="0" w:afterAutospacing="0" w:line="280" w:lineRule="exact"/>
              <w:ind w:left="0" w:right="0"/>
              <w:jc w:val="center"/>
              <w:rPr>
                <w:rFonts w:hint="default" w:ascii="宋体" w:hAnsi="Calibri" w:eastAsia="宋体" w:cs="Times New Roman"/>
                <w:color w:val="auto"/>
                <w:highlight w:val="none"/>
              </w:rPr>
            </w:pPr>
            <w:r>
              <w:rPr>
                <w:rFonts w:hint="default" w:ascii="宋体" w:hAnsi="Calibri" w:eastAsia="宋体" w:cs="宋体"/>
                <w:color w:val="auto"/>
                <w:highlight w:val="none"/>
              </w:rPr>
              <w:t>....</w:t>
            </w:r>
          </w:p>
        </w:tc>
        <w:tc>
          <w:tcPr>
            <w:tcW w:w="2027" w:type="dxa"/>
            <w:noWrap w:val="0"/>
            <w:vAlign w:val="center"/>
          </w:tcPr>
          <w:p w14:paraId="4C503D6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608" w:type="dxa"/>
            <w:noWrap w:val="0"/>
            <w:vAlign w:val="center"/>
          </w:tcPr>
          <w:p w14:paraId="1652BB4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5F0D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750DEA4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980" w:type="dxa"/>
            <w:noWrap w:val="0"/>
            <w:vAlign w:val="center"/>
          </w:tcPr>
          <w:p w14:paraId="4928E3D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162C6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6BF284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55A165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39EF631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3A3178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4B470E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254C10D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0F0A991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5E0CC41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3731B4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258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4622AFE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980" w:type="dxa"/>
            <w:noWrap w:val="0"/>
            <w:vAlign w:val="center"/>
          </w:tcPr>
          <w:p w14:paraId="5FC145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A5011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38F8605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D147B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7AA7C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E98BE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2819B7F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3B3751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2AEAFA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76EE89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6565865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565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8E3F83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980" w:type="dxa"/>
            <w:noWrap w:val="0"/>
            <w:vAlign w:val="center"/>
          </w:tcPr>
          <w:p w14:paraId="60B203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323BF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2CE719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0DB610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0BA6C3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2BA835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1D101A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1620023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B23EF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6B5E1D0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65846E5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0FA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2396B24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980" w:type="dxa"/>
            <w:noWrap w:val="0"/>
            <w:vAlign w:val="center"/>
          </w:tcPr>
          <w:p w14:paraId="3F37C24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681F3B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B14C21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D2F08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6FA2D2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1CB96C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D14B8E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714DF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6BA18F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3F448D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6CBF9F2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507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7FB779F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980" w:type="dxa"/>
            <w:noWrap w:val="0"/>
            <w:vAlign w:val="center"/>
          </w:tcPr>
          <w:p w14:paraId="14D6B4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32D67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573190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66CC9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542DD91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6710D3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4A56029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127C79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47E9798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219D7B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213E5E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0AACA4E0">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u w:val="singl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4BB6EF62">
      <w:pPr>
        <w:pStyle w:val="4"/>
        <w:spacing w:line="240" w:lineRule="auto"/>
        <w:rPr>
          <w:color w:val="auto"/>
          <w:sz w:val="28"/>
          <w:szCs w:val="28"/>
          <w:highlight w:val="none"/>
        </w:rPr>
      </w:pPr>
      <w:bookmarkStart w:id="881" w:name="_Toc36071301"/>
      <w:bookmarkStart w:id="882" w:name="_Toc20098"/>
      <w:bookmarkStart w:id="883" w:name="_Toc1362799683"/>
      <w:bookmarkStart w:id="884" w:name="_Toc59203028"/>
      <w:bookmarkStart w:id="885" w:name="_Toc78449758"/>
      <w:bookmarkStart w:id="886" w:name="_Toc268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－1：开标会异常记录表（如有）</w:t>
      </w:r>
      <w:bookmarkEnd w:id="881"/>
      <w:bookmarkEnd w:id="882"/>
      <w:bookmarkEnd w:id="883"/>
      <w:bookmarkEnd w:id="884"/>
      <w:bookmarkEnd w:id="885"/>
      <w:bookmarkEnd w:id="886"/>
    </w:p>
    <w:p w14:paraId="029AB94B">
      <w:pPr>
        <w:rPr>
          <w:rFonts w:ascii="宋体"/>
          <w:color w:val="auto"/>
          <w:highlight w:val="none"/>
        </w:rPr>
      </w:pPr>
    </w:p>
    <w:p w14:paraId="4C2517AA">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开标会异常记录表（如有）</w:t>
      </w:r>
    </w:p>
    <w:p w14:paraId="01799405">
      <w:pPr>
        <w:rPr>
          <w:rFonts w:ascii="宋体"/>
          <w:color w:val="auto"/>
          <w:highlight w:val="none"/>
        </w:rPr>
      </w:pPr>
    </w:p>
    <w:p w14:paraId="14CD0C79">
      <w:pPr>
        <w:rPr>
          <w:color w:val="auto"/>
          <w:highlight w:val="none"/>
        </w:rPr>
      </w:pPr>
      <w:r>
        <w:rPr>
          <w:rFonts w:hint="eastAsia" w:cs="宋体"/>
          <w:color w:val="auto"/>
          <w:highlight w:val="none"/>
          <w:lang w:val="en-US" w:eastAsia="zh-CN"/>
        </w:rPr>
        <w:t>招标项目</w:t>
      </w:r>
      <w:r>
        <w:rPr>
          <w:rFonts w:hint="eastAsia" w:cs="宋体"/>
          <w:color w:val="auto"/>
          <w:highlight w:val="none"/>
        </w:rPr>
        <w:t>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5C976641">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E1FBAEF">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43A2A077">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048E08B8">
      <w:pPr>
        <w:adjustRightInd w:val="0"/>
        <w:snapToGrid w:val="0"/>
        <w:rPr>
          <w:color w:val="auto"/>
          <w:highlight w:val="none"/>
          <w:u w:val="single"/>
        </w:rPr>
      </w:pPr>
    </w:p>
    <w:p w14:paraId="5B292091">
      <w:pPr>
        <w:adjustRightInd w:val="0"/>
        <w:snapToGrid w:val="0"/>
        <w:rPr>
          <w:color w:val="auto"/>
          <w:highlight w:val="none"/>
          <w:u w:val="single"/>
        </w:rPr>
      </w:pPr>
    </w:p>
    <w:p w14:paraId="106A606A">
      <w:pPr>
        <w:adjustRightInd w:val="0"/>
        <w:snapToGrid w:val="0"/>
        <w:rPr>
          <w:color w:val="auto"/>
          <w:highlight w:val="none"/>
          <w:u w:val="single"/>
        </w:rPr>
      </w:pPr>
    </w:p>
    <w:p w14:paraId="72691399">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异议</w:t>
      </w:r>
      <w:r>
        <w:rPr>
          <w:rFonts w:ascii="宋体" w:hAnsi="宋体" w:cs="宋体"/>
          <w:color w:val="auto"/>
          <w:highlight w:val="none"/>
        </w:rPr>
        <w:t xml:space="preserve">*************                                                                </w:t>
      </w:r>
    </w:p>
    <w:p w14:paraId="684C2AD5">
      <w:pPr>
        <w:rPr>
          <w:rFonts w:ascii="宋体"/>
          <w:color w:val="auto"/>
          <w:highlight w:val="none"/>
        </w:rPr>
      </w:pPr>
    </w:p>
    <w:p w14:paraId="07BD4252">
      <w:pPr>
        <w:rPr>
          <w:rFonts w:ascii="宋体"/>
          <w:color w:val="auto"/>
          <w:highlight w:val="none"/>
        </w:rPr>
      </w:pPr>
    </w:p>
    <w:p w14:paraId="7C01D907">
      <w:pPr>
        <w:rPr>
          <w:rFonts w:ascii="宋体"/>
          <w:color w:val="auto"/>
          <w:highlight w:val="none"/>
        </w:rPr>
      </w:pPr>
    </w:p>
    <w:p w14:paraId="52AB1857">
      <w:pPr>
        <w:rPr>
          <w:rFonts w:ascii="宋体"/>
          <w:color w:val="auto"/>
          <w:highlight w:val="none"/>
        </w:rPr>
      </w:pPr>
      <w:r>
        <w:rPr>
          <w:rFonts w:hint="eastAsia" w:ascii="宋体" w:hAnsi="宋体" w:cs="宋体"/>
          <w:color w:val="auto"/>
          <w:highlight w:val="none"/>
        </w:rPr>
        <w:t>开标现场异议人：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14:paraId="20B0349A">
      <w:pPr>
        <w:rPr>
          <w:rFonts w:ascii="宋体"/>
          <w:color w:val="auto"/>
          <w:highlight w:val="none"/>
        </w:rPr>
      </w:pPr>
    </w:p>
    <w:p w14:paraId="6856C965">
      <w:pPr>
        <w:rPr>
          <w:rFonts w:ascii="宋体"/>
          <w:color w:val="auto"/>
          <w:highlight w:val="none"/>
        </w:rPr>
      </w:pPr>
    </w:p>
    <w:p w14:paraId="28E7C0C6">
      <w:pPr>
        <w:rPr>
          <w:rFonts w:ascii="宋体"/>
          <w:color w:val="auto"/>
          <w:highlight w:val="none"/>
        </w:rPr>
      </w:pPr>
      <w:r>
        <w:rPr>
          <w:rFonts w:hint="eastAsia" w:ascii="宋体" w:hAnsi="宋体" w:cs="宋体"/>
          <w:color w:val="auto"/>
          <w:highlight w:val="none"/>
        </w:rPr>
        <w:t>招标人代表：</w:t>
      </w:r>
    </w:p>
    <w:p w14:paraId="5EB974B2">
      <w:pPr>
        <w:rPr>
          <w:rFonts w:ascii="宋体"/>
          <w:color w:val="auto"/>
          <w:highlight w:val="none"/>
        </w:rPr>
      </w:pP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17872572">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4864C492">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0A0466F1">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6CA24729">
      <w:pPr>
        <w:rPr>
          <w:rFonts w:ascii="宋体"/>
          <w:color w:val="auto"/>
          <w:highlight w:val="none"/>
        </w:rPr>
      </w:pPr>
    </w:p>
    <w:p w14:paraId="458BFE0E">
      <w:pPr>
        <w:rPr>
          <w:rFonts w:ascii="宋体"/>
          <w:color w:val="auto"/>
          <w:highlight w:val="none"/>
        </w:rPr>
      </w:pPr>
    </w:p>
    <w:p w14:paraId="070ACD02">
      <w:pPr>
        <w:rPr>
          <w:rFonts w:ascii="宋体"/>
          <w:color w:val="auto"/>
          <w:highlight w:val="none"/>
        </w:rPr>
      </w:pPr>
    </w:p>
    <w:p w14:paraId="41DD953E">
      <w:pPr>
        <w:rPr>
          <w:rFonts w:ascii="宋体"/>
          <w:color w:val="auto"/>
          <w:highlight w:val="none"/>
        </w:rPr>
      </w:pPr>
    </w:p>
    <w:p w14:paraId="3F2D3634">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开标现场或网上开标室其余投标人法定代表人或专职投标员签电子章（必须为专职投标员持证本人）：</w:t>
      </w:r>
    </w:p>
    <w:p w14:paraId="1F0E6B51">
      <w:pPr>
        <w:rPr>
          <w:rFonts w:ascii="宋体" w:hAnsi="宋体" w:cs="宋体"/>
          <w:color w:val="auto"/>
          <w:highlight w:val="none"/>
        </w:rPr>
      </w:pPr>
    </w:p>
    <w:p w14:paraId="069114B2">
      <w:pPr>
        <w:pStyle w:val="4"/>
        <w:spacing w:line="240" w:lineRule="auto"/>
        <w:rPr>
          <w:color w:val="auto"/>
          <w:sz w:val="28"/>
          <w:szCs w:val="28"/>
          <w:highlight w:val="none"/>
        </w:rPr>
      </w:pPr>
      <w:bookmarkStart w:id="887" w:name="_Toc19361"/>
      <w:bookmarkStart w:id="888" w:name="_Toc78449759"/>
      <w:bookmarkStart w:id="889" w:name="_Toc2111101751"/>
      <w:bookmarkStart w:id="890" w:name="_Toc1123078200"/>
      <w:bookmarkStart w:id="891" w:name="_Toc2722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3</w:t>
      </w:r>
      <w:r>
        <w:rPr>
          <w:rFonts w:hint="eastAsia"/>
          <w:color w:val="auto"/>
          <w:sz w:val="28"/>
          <w:szCs w:val="28"/>
          <w:highlight w:val="none"/>
        </w:rPr>
        <w:t>：评标委员会签到表</w:t>
      </w:r>
      <w:bookmarkEnd w:id="887"/>
      <w:bookmarkEnd w:id="888"/>
      <w:bookmarkEnd w:id="889"/>
      <w:bookmarkEnd w:id="890"/>
      <w:bookmarkEnd w:id="891"/>
    </w:p>
    <w:p w14:paraId="5CC52776">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58E3734D">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140C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FF091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624" w:type="dxa"/>
            <w:noWrap w:val="0"/>
            <w:vAlign w:val="center"/>
          </w:tcPr>
          <w:p w14:paraId="44602A3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1624" w:type="dxa"/>
            <w:noWrap w:val="0"/>
            <w:vAlign w:val="center"/>
          </w:tcPr>
          <w:p w14:paraId="279E3A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4543" w:type="dxa"/>
            <w:noWrap w:val="0"/>
            <w:vAlign w:val="center"/>
          </w:tcPr>
          <w:p w14:paraId="28AECC6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工作单位</w:t>
            </w:r>
          </w:p>
        </w:tc>
        <w:tc>
          <w:tcPr>
            <w:tcW w:w="1980" w:type="dxa"/>
            <w:noWrap w:val="0"/>
            <w:vAlign w:val="center"/>
          </w:tcPr>
          <w:p w14:paraId="1C4A1E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专家身份证号码</w:t>
            </w:r>
          </w:p>
        </w:tc>
        <w:tc>
          <w:tcPr>
            <w:tcW w:w="1912" w:type="dxa"/>
            <w:noWrap w:val="0"/>
            <w:vAlign w:val="center"/>
          </w:tcPr>
          <w:p w14:paraId="7AF03AB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联系电话</w:t>
            </w:r>
          </w:p>
        </w:tc>
        <w:tc>
          <w:tcPr>
            <w:tcW w:w="1688" w:type="dxa"/>
            <w:noWrap w:val="0"/>
            <w:vAlign w:val="center"/>
          </w:tcPr>
          <w:p w14:paraId="5D5A47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签到时间</w:t>
            </w:r>
          </w:p>
        </w:tc>
      </w:tr>
      <w:tr w14:paraId="5F83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71E700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43E88AB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020D60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B0DA9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1ADE9B0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C0EA2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22F1C9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077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7E24835">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36E355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B3509D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59C21D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1F5BAC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2A2D910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EAB07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755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58071CE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4BEA9A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501B2A9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CA91E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5DE7B0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5417D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524698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41F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25D3535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69150A7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52919F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EBD86B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7569E0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38D3EC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CE4D3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85F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3E69EBD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5298E8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95E42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076DEFD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7809DC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634C6F0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3FD81F1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739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D196092">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0E63ADB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6EF7BB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C96886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D549E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180F01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2AA28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EFB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BB7252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469D1A5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302CF4A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27EA1C3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59D188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3E3A4DC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7C91181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1D99354E">
      <w:pPr>
        <w:spacing w:line="440" w:lineRule="exact"/>
        <w:rPr>
          <w:color w:val="auto"/>
          <w:highlight w:val="none"/>
        </w:rPr>
      </w:pPr>
    </w:p>
    <w:p w14:paraId="2B61694D">
      <w:pPr>
        <w:spacing w:line="440" w:lineRule="exact"/>
        <w:rPr>
          <w:color w:val="auto"/>
          <w:highlight w:val="none"/>
        </w:rPr>
      </w:pPr>
    </w:p>
    <w:p w14:paraId="6456D7C4">
      <w:pPr>
        <w:pStyle w:val="4"/>
        <w:spacing w:line="240" w:lineRule="auto"/>
        <w:rPr>
          <w:rFonts w:hint="eastAsia"/>
          <w:color w:val="auto"/>
          <w:sz w:val="28"/>
          <w:szCs w:val="28"/>
          <w:highlight w:val="none"/>
        </w:rPr>
      </w:pPr>
      <w:bookmarkStart w:id="892" w:name="_Toc13860"/>
      <w:bookmarkStart w:id="893" w:name="_Toc17777"/>
      <w:bookmarkStart w:id="894" w:name="_Toc157156844"/>
      <w:bookmarkStart w:id="895" w:name="_Toc1398200412"/>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892"/>
      <w:bookmarkEnd w:id="893"/>
      <w:bookmarkEnd w:id="894"/>
      <w:bookmarkEnd w:id="895"/>
    </w:p>
    <w:p w14:paraId="1992E3B7">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eastAsia" w:eastAsia="黑体" w:cs="黑体"/>
          <w:color w:val="auto"/>
          <w:sz w:val="28"/>
          <w:szCs w:val="28"/>
          <w:highlight w:val="none"/>
        </w:rPr>
        <w:t>记录表</w:t>
      </w:r>
    </w:p>
    <w:p w14:paraId="02735F2B">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5681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43376F6A">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4E0951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063CDA1D">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6C87B1F2">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7A95E143">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1C94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EFAD64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266F9222">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04DD52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4E696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95B7E2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6F3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061278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610576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F1A82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820D54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4191C3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594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609B8F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1F7423E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204605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74C35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01D888C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6FE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5DD0FD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5161" w:type="dxa"/>
            <w:noWrap w:val="0"/>
            <w:vAlign w:val="center"/>
          </w:tcPr>
          <w:p w14:paraId="1C2900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A30825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1665B5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6ECF8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6AD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84C7F6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5161" w:type="dxa"/>
            <w:noWrap w:val="0"/>
            <w:vAlign w:val="center"/>
          </w:tcPr>
          <w:p w14:paraId="5E60938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64E20E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2B649B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3FAD80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FBC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ADF441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5161" w:type="dxa"/>
            <w:noWrap w:val="0"/>
            <w:vAlign w:val="center"/>
          </w:tcPr>
          <w:p w14:paraId="0F27AA1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3F3A001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31005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37E13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65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B32C3B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5161" w:type="dxa"/>
            <w:noWrap w:val="0"/>
            <w:vAlign w:val="center"/>
          </w:tcPr>
          <w:p w14:paraId="372509D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52E6284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48E6EE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FF14FF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F34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455F76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5161" w:type="dxa"/>
            <w:noWrap w:val="0"/>
            <w:vAlign w:val="center"/>
          </w:tcPr>
          <w:p w14:paraId="05A9E25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261D7D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F2F89E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B464E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BD6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7C23FF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5161" w:type="dxa"/>
            <w:noWrap w:val="0"/>
            <w:vAlign w:val="center"/>
          </w:tcPr>
          <w:p w14:paraId="706E2C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7F228E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E1979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0318DE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658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0B46BB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5161" w:type="dxa"/>
            <w:noWrap w:val="0"/>
            <w:vAlign w:val="center"/>
          </w:tcPr>
          <w:p w14:paraId="06CE33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2AE7026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CEF18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548D729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BE5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684F83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00200B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69749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BCAAD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43C66DCE">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43346BD8">
      <w:pPr>
        <w:pStyle w:val="4"/>
        <w:spacing w:line="240" w:lineRule="auto"/>
        <w:rPr>
          <w:rFonts w:hint="eastAsia"/>
          <w:b w:val="0"/>
          <w:bCs w:val="0"/>
          <w:color w:val="auto"/>
          <w:highlight w:val="none"/>
        </w:rPr>
      </w:pPr>
      <w:bookmarkStart w:id="896" w:name="_Toc1191119050"/>
      <w:bookmarkStart w:id="897" w:name="_Toc32104"/>
      <w:bookmarkStart w:id="898" w:name="_Toc9031"/>
      <w:bookmarkStart w:id="899" w:name="_Toc904032556"/>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5</w:t>
      </w:r>
      <w:r>
        <w:rPr>
          <w:rFonts w:hint="eastAsia"/>
          <w:color w:val="auto"/>
          <w:sz w:val="28"/>
          <w:szCs w:val="28"/>
          <w:highlight w:val="none"/>
        </w:rPr>
        <w:t>：形式评审记录表（</w:t>
      </w:r>
      <w:r>
        <w:rPr>
          <w:color w:val="auto"/>
          <w:sz w:val="28"/>
          <w:szCs w:val="28"/>
          <w:highlight w:val="none"/>
        </w:rPr>
        <w:t>商务标）</w:t>
      </w:r>
      <w:bookmarkEnd w:id="896"/>
      <w:bookmarkEnd w:id="897"/>
      <w:bookmarkEnd w:id="898"/>
      <w:bookmarkEnd w:id="899"/>
    </w:p>
    <w:p w14:paraId="39919726">
      <w:pPr>
        <w:spacing w:line="440" w:lineRule="exact"/>
        <w:jc w:val="center"/>
        <w:rPr>
          <w:color w:val="auto"/>
          <w:highlight w:val="none"/>
        </w:rPr>
      </w:pPr>
      <w:r>
        <w:rPr>
          <w:rFonts w:hint="eastAsia" w:eastAsia="黑体" w:cs="黑体"/>
          <w:color w:val="auto"/>
          <w:sz w:val="28"/>
          <w:szCs w:val="28"/>
          <w:highlight w:val="none"/>
        </w:rPr>
        <w:t>形式评审记录表（商务标）</w:t>
      </w:r>
    </w:p>
    <w:p w14:paraId="3EDDB5BA">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029"/>
        <w:gridCol w:w="992"/>
        <w:gridCol w:w="992"/>
        <w:gridCol w:w="993"/>
        <w:gridCol w:w="992"/>
        <w:gridCol w:w="992"/>
        <w:gridCol w:w="992"/>
        <w:gridCol w:w="993"/>
        <w:gridCol w:w="992"/>
        <w:gridCol w:w="965"/>
      </w:tblGrid>
      <w:tr w14:paraId="42BC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10043A7">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4029" w:type="dxa"/>
            <w:noWrap w:val="0"/>
            <w:vAlign w:val="center"/>
          </w:tcPr>
          <w:p w14:paraId="38380A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8903" w:type="dxa"/>
            <w:gridSpan w:val="9"/>
            <w:noWrap w:val="0"/>
            <w:vAlign w:val="center"/>
          </w:tcPr>
          <w:p w14:paraId="0A8FAF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2CF7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D70361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4029" w:type="dxa"/>
            <w:noWrap w:val="0"/>
            <w:vAlign w:val="center"/>
          </w:tcPr>
          <w:p w14:paraId="4F980F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992" w:type="dxa"/>
            <w:noWrap w:val="0"/>
            <w:vAlign w:val="center"/>
          </w:tcPr>
          <w:p w14:paraId="46EA47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E3A61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1CA681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D3CD2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953ED3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79161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591469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5CD76D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021687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975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82E80E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4029" w:type="dxa"/>
            <w:noWrap w:val="0"/>
            <w:vAlign w:val="center"/>
          </w:tcPr>
          <w:p w14:paraId="4FF0F4D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投标函盖章</w:t>
            </w:r>
          </w:p>
        </w:tc>
        <w:tc>
          <w:tcPr>
            <w:tcW w:w="992" w:type="dxa"/>
            <w:noWrap w:val="0"/>
            <w:vAlign w:val="center"/>
          </w:tcPr>
          <w:p w14:paraId="47CE137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45F92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53815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63B15D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7DDFB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C6D89A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C7109A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B4EC4C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11B2B8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A2F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CA06EB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3</w:t>
            </w:r>
          </w:p>
        </w:tc>
        <w:tc>
          <w:tcPr>
            <w:tcW w:w="4029" w:type="dxa"/>
            <w:noWrap w:val="0"/>
            <w:vAlign w:val="center"/>
          </w:tcPr>
          <w:p w14:paraId="316F7589">
            <w:pPr>
              <w:keepNext w:val="0"/>
              <w:keepLines w:val="0"/>
              <w:suppressLineNumbers w:val="0"/>
              <w:spacing w:before="0" w:beforeAutospacing="0" w:after="0" w:afterAutospacing="0" w:line="44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992" w:type="dxa"/>
            <w:noWrap w:val="0"/>
            <w:vAlign w:val="center"/>
          </w:tcPr>
          <w:p w14:paraId="699647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73A81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AE84E0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A0C1B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428FF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FB4B6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D2C20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A4FCCD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3D3BA7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B51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62CFAA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4</w:t>
            </w:r>
          </w:p>
        </w:tc>
        <w:tc>
          <w:tcPr>
            <w:tcW w:w="4029" w:type="dxa"/>
            <w:noWrap w:val="0"/>
            <w:vAlign w:val="center"/>
          </w:tcPr>
          <w:p w14:paraId="53E74EF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992" w:type="dxa"/>
            <w:noWrap w:val="0"/>
            <w:vAlign w:val="center"/>
          </w:tcPr>
          <w:p w14:paraId="2D6F89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A17518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C464A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7CE23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D92DEF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C720D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2C57BF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82662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79C95C7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3039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579066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5</w:t>
            </w:r>
          </w:p>
        </w:tc>
        <w:tc>
          <w:tcPr>
            <w:tcW w:w="4029" w:type="dxa"/>
            <w:noWrap w:val="0"/>
            <w:vAlign w:val="center"/>
          </w:tcPr>
          <w:p w14:paraId="323B32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992" w:type="dxa"/>
            <w:noWrap w:val="0"/>
            <w:vAlign w:val="center"/>
          </w:tcPr>
          <w:p w14:paraId="27373E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8716F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6DD1223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B36058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08AD7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7EFA3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518780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C4B07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502C028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10C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exact"/>
          <w:jc w:val="center"/>
        </w:trPr>
        <w:tc>
          <w:tcPr>
            <w:tcW w:w="912" w:type="dxa"/>
            <w:noWrap w:val="0"/>
            <w:vAlign w:val="center"/>
          </w:tcPr>
          <w:p w14:paraId="45D53E7C">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6</w:t>
            </w:r>
          </w:p>
        </w:tc>
        <w:tc>
          <w:tcPr>
            <w:tcW w:w="4029" w:type="dxa"/>
            <w:noWrap w:val="0"/>
            <w:vAlign w:val="center"/>
          </w:tcPr>
          <w:p w14:paraId="05C247C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报价唯一（只能有一个有效报价；所有投标报价均大于等于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x</w:t>
            </w:r>
            <w:r>
              <w:rPr>
                <w:rFonts w:hint="eastAsia" w:ascii="Calibri" w:hAnsi="Calibri" w:eastAsia="宋体" w:cs="宋体"/>
                <w:color w:val="auto"/>
                <w:highlight w:val="none"/>
              </w:rPr>
              <w:t>（1-D%）的，则本项目招标失败，由招标人依法重新招标。D=    （备注：由招标人在招标文件中确定，D值可取0~</w:t>
            </w:r>
            <w:r>
              <w:rPr>
                <w:rFonts w:hint="default" w:ascii="Calibri" w:hAnsi="Calibri" w:eastAsia="宋体" w:cs="宋体"/>
                <w:color w:val="auto"/>
                <w:highlight w:val="none"/>
              </w:rPr>
              <w:t>5</w:t>
            </w:r>
            <w:r>
              <w:rPr>
                <w:rFonts w:hint="eastAsia" w:ascii="Calibri" w:hAnsi="Calibri" w:eastAsia="宋体" w:cs="宋体"/>
                <w:color w:val="auto"/>
                <w:highlight w:val="none"/>
              </w:rPr>
              <w:t>）</w:t>
            </w:r>
          </w:p>
        </w:tc>
        <w:tc>
          <w:tcPr>
            <w:tcW w:w="992" w:type="dxa"/>
            <w:noWrap w:val="0"/>
            <w:vAlign w:val="center"/>
          </w:tcPr>
          <w:p w14:paraId="54FC260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B4CE3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D3866F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793344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0EE6F3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6B3CD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B8FB71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12383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126A03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B2A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8269AF1">
            <w:pPr>
              <w:keepNext w:val="0"/>
              <w:keepLines w:val="0"/>
              <w:suppressLineNumbers w:val="0"/>
              <w:spacing w:before="0" w:beforeAutospacing="0" w:after="0" w:afterAutospacing="0" w:line="440" w:lineRule="exact"/>
              <w:ind w:left="0" w:right="0"/>
              <w:jc w:val="center"/>
              <w:rPr>
                <w:rFonts w:hint="eastAsia" w:ascii="Calibri" w:hAnsi="Calibri" w:eastAsia="黑体" w:cs="Times New Roman"/>
                <w:color w:val="auto"/>
                <w:highlight w:val="none"/>
                <w:lang w:val="en-US" w:eastAsia="zh-CN"/>
              </w:rPr>
            </w:pPr>
            <w:r>
              <w:rPr>
                <w:rFonts w:hint="eastAsia" w:ascii="Calibri" w:hAnsi="Calibri" w:eastAsia="黑体" w:cs="Times New Roman"/>
                <w:color w:val="auto"/>
                <w:highlight w:val="none"/>
                <w:lang w:val="en-US" w:eastAsia="zh-CN"/>
              </w:rPr>
              <w:t>7</w:t>
            </w:r>
          </w:p>
        </w:tc>
        <w:tc>
          <w:tcPr>
            <w:tcW w:w="4029" w:type="dxa"/>
            <w:noWrap w:val="0"/>
            <w:vAlign w:val="center"/>
          </w:tcPr>
          <w:p w14:paraId="5B9619A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992" w:type="dxa"/>
            <w:noWrap w:val="0"/>
            <w:vAlign w:val="center"/>
          </w:tcPr>
          <w:p w14:paraId="7372C9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88364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1D081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78F3E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1CA19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301AA1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76ADC7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11C088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76A211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EBD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8C1A667">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4029" w:type="dxa"/>
            <w:noWrap w:val="0"/>
            <w:vAlign w:val="center"/>
          </w:tcPr>
          <w:p w14:paraId="1D278F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992" w:type="dxa"/>
            <w:noWrap w:val="0"/>
            <w:vAlign w:val="center"/>
          </w:tcPr>
          <w:p w14:paraId="4483540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6BDFF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9C4F5F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45260A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6433C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245AE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D1A34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D5703C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465024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70B85A61">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42078C9A">
      <w:pPr>
        <w:spacing w:line="440" w:lineRule="exact"/>
        <w:rPr>
          <w:color w:val="auto"/>
          <w:highlight w:val="none"/>
        </w:rPr>
      </w:pPr>
    </w:p>
    <w:p w14:paraId="7594DB37">
      <w:pPr>
        <w:spacing w:line="44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6D6C4248">
      <w:pPr>
        <w:spacing w:line="440" w:lineRule="exact"/>
        <w:rPr>
          <w:rFonts w:cs="宋体"/>
          <w:color w:val="auto"/>
          <w:highlight w:val="none"/>
        </w:rPr>
      </w:pPr>
    </w:p>
    <w:p w14:paraId="4868B12B">
      <w:pPr>
        <w:spacing w:line="440" w:lineRule="exact"/>
        <w:rPr>
          <w:rFonts w:cs="宋体"/>
          <w:color w:val="auto"/>
          <w:highlight w:val="none"/>
        </w:rPr>
      </w:pPr>
    </w:p>
    <w:p w14:paraId="4E0C7A50">
      <w:pPr>
        <w:spacing w:line="440" w:lineRule="exact"/>
        <w:rPr>
          <w:rFonts w:cs="宋体"/>
          <w:color w:val="auto"/>
          <w:highlight w:val="none"/>
        </w:rPr>
      </w:pPr>
    </w:p>
    <w:p w14:paraId="672CECAF">
      <w:pPr>
        <w:spacing w:line="440" w:lineRule="exact"/>
        <w:rPr>
          <w:rFonts w:cs="宋体"/>
          <w:color w:val="auto"/>
          <w:highlight w:val="none"/>
        </w:rPr>
      </w:pPr>
    </w:p>
    <w:p w14:paraId="31C2BC24">
      <w:pPr>
        <w:spacing w:line="440" w:lineRule="exact"/>
        <w:rPr>
          <w:rFonts w:hint="eastAsia" w:cs="宋体"/>
          <w:color w:val="auto"/>
          <w:highlight w:val="none"/>
        </w:rPr>
      </w:pPr>
    </w:p>
    <w:p w14:paraId="1C9B842A">
      <w:pPr>
        <w:pStyle w:val="4"/>
        <w:spacing w:line="240" w:lineRule="auto"/>
        <w:rPr>
          <w:rFonts w:hint="eastAsia"/>
          <w:color w:val="auto"/>
          <w:sz w:val="28"/>
          <w:szCs w:val="28"/>
          <w:highlight w:val="none"/>
        </w:rPr>
      </w:pPr>
      <w:bookmarkStart w:id="900" w:name="_Toc24258"/>
      <w:bookmarkStart w:id="901" w:name="_Toc19936"/>
      <w:bookmarkStart w:id="902" w:name="_Toc34802557"/>
      <w:bookmarkStart w:id="903" w:name="_Toc162362488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6</w:t>
      </w:r>
      <w:r>
        <w:rPr>
          <w:rFonts w:hint="eastAsia"/>
          <w:color w:val="auto"/>
          <w:sz w:val="28"/>
          <w:szCs w:val="28"/>
          <w:highlight w:val="none"/>
        </w:rPr>
        <w:t>：形式评审记录表（</w:t>
      </w:r>
      <w:r>
        <w:rPr>
          <w:color w:val="auto"/>
          <w:sz w:val="28"/>
          <w:szCs w:val="28"/>
          <w:highlight w:val="none"/>
        </w:rPr>
        <w:t>技术标）</w:t>
      </w:r>
      <w:bookmarkEnd w:id="900"/>
      <w:bookmarkEnd w:id="901"/>
      <w:bookmarkEnd w:id="902"/>
      <w:bookmarkEnd w:id="903"/>
    </w:p>
    <w:p w14:paraId="6CB22CD0">
      <w:pPr>
        <w:spacing w:line="440" w:lineRule="exact"/>
        <w:jc w:val="center"/>
        <w:rPr>
          <w:color w:val="auto"/>
          <w:highlight w:val="none"/>
        </w:rPr>
      </w:pPr>
      <w:r>
        <w:rPr>
          <w:rFonts w:hint="eastAsia" w:eastAsia="黑体" w:cs="黑体"/>
          <w:color w:val="auto"/>
          <w:sz w:val="28"/>
          <w:szCs w:val="28"/>
          <w:highlight w:val="none"/>
        </w:rPr>
        <w:t>形式评审记录表（技术标）</w:t>
      </w:r>
    </w:p>
    <w:p w14:paraId="25C37294">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108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2EFE68C">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noWrap w:val="0"/>
            <w:vAlign w:val="center"/>
          </w:tcPr>
          <w:p w14:paraId="52CBD3B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156631D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37B5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88DD89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604D789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1197" w:type="dxa"/>
            <w:noWrap w:val="0"/>
            <w:vAlign w:val="center"/>
          </w:tcPr>
          <w:p w14:paraId="56EEB6C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474C9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2FAC5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4DC1F4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0D1007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67B843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DE99B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7B3AC6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27610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619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AD3D35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2DBE0CA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1197" w:type="dxa"/>
            <w:noWrap w:val="0"/>
            <w:vAlign w:val="center"/>
          </w:tcPr>
          <w:p w14:paraId="12075D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7B47A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489D1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1A0CD4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3BD7CB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369275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6CCA37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AA4418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DEE47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9E5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3953AA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0F71D0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197" w:type="dxa"/>
            <w:noWrap w:val="0"/>
            <w:vAlign w:val="center"/>
          </w:tcPr>
          <w:p w14:paraId="5BEF52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38386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7ECB5E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71A11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3E7531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FE406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5346A3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D1B23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A324B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AD5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875259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273612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F7C335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A2878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B3E3F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AF8AFB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F87D9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78374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C0AB3A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F281A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5A5AB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661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EBECB6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537BE0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DFAA78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43432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5F5489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A64125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BF560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062F7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393A88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33A6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07F9AA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A58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867C01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2B526A4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410A38D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4BAACB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56BC43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81CA51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267066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710DD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47FC5F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57D59E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4CD647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9B7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6376D7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2156" w:type="dxa"/>
            <w:noWrap w:val="0"/>
            <w:vAlign w:val="center"/>
          </w:tcPr>
          <w:p w14:paraId="44923F5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732BE6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84CC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803677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B00D7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C1989A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21F54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0C93C1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8F16B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5D99CC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6F355B83">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60DD2C97">
      <w:pPr>
        <w:spacing w:line="440" w:lineRule="exact"/>
        <w:rPr>
          <w:color w:val="auto"/>
          <w:highlight w:val="none"/>
        </w:rPr>
      </w:pPr>
    </w:p>
    <w:p w14:paraId="1A34AF38">
      <w:pPr>
        <w:spacing w:line="440" w:lineRule="exact"/>
        <w:rPr>
          <w:rFonts w:hint="eastAsia"/>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21FF8D0">
      <w:pPr>
        <w:pStyle w:val="4"/>
        <w:spacing w:line="240" w:lineRule="auto"/>
        <w:rPr>
          <w:b w:val="0"/>
          <w:bCs w:val="0"/>
          <w:color w:val="auto"/>
          <w:highlight w:val="none"/>
        </w:rPr>
      </w:pPr>
      <w:r>
        <w:rPr>
          <w:color w:val="auto"/>
          <w:highlight w:val="none"/>
        </w:rPr>
        <w:br w:type="page"/>
      </w:r>
      <w:bookmarkStart w:id="904" w:name="_Toc1542"/>
      <w:bookmarkStart w:id="905" w:name="_Toc871536358"/>
      <w:bookmarkStart w:id="906" w:name="_Toc31135"/>
      <w:bookmarkStart w:id="907" w:name="_Toc180981868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7</w:t>
      </w:r>
      <w:r>
        <w:rPr>
          <w:rFonts w:hint="eastAsia"/>
          <w:color w:val="auto"/>
          <w:sz w:val="28"/>
          <w:szCs w:val="28"/>
          <w:highlight w:val="none"/>
        </w:rPr>
        <w:t>：响应性评审记录表（商务标）</w:t>
      </w:r>
      <w:bookmarkEnd w:id="904"/>
      <w:bookmarkEnd w:id="905"/>
      <w:bookmarkEnd w:id="906"/>
      <w:bookmarkEnd w:id="907"/>
    </w:p>
    <w:p w14:paraId="01CC3B09">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商务标）</w:t>
      </w:r>
    </w:p>
    <w:p w14:paraId="4BF8C29A">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69A0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BD989DC">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498346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21FA71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4E1E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13A8C3DD">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7B9CEC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DF7F9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87335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0306D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DFC83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E7CC3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A713D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7EF58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A6209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107478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1D0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F2A0E72">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2B24B747">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r>
              <w:rPr>
                <w:rFonts w:hint="default" w:ascii="Calibri" w:hAnsi="Calibri" w:eastAsia="宋体" w:cs="宋体"/>
                <w:color w:val="auto"/>
                <w:highlight w:val="none"/>
              </w:rPr>
              <w:t>格式</w:t>
            </w:r>
          </w:p>
        </w:tc>
        <w:tc>
          <w:tcPr>
            <w:tcW w:w="1197" w:type="dxa"/>
            <w:noWrap w:val="0"/>
            <w:vAlign w:val="center"/>
          </w:tcPr>
          <w:p w14:paraId="1911A7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F903A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654CD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43D6D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C07A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C11E65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8005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A2938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B6887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6E1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C74845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25B1BF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3DCB4D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E7AED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FD1AB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40B938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7C18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428C8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6E23C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5ED38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56685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78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7338CE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509701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6B28B3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78FC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BAD83A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E26E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A8AB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40823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59CDA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B24DD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2679F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42D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4D3A71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2C5FC0F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2A61ECD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1F33C4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1DB669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9394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49E9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FD20D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7BD2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F5F71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603FF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796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E28A0F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24093B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64CAAE3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C71A5B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D122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709E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19058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9DB4F3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FCAD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5EB8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953D0E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000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FC518E">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40AC33E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0E6C54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EB4EC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B4AB5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49F2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B1354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22B15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8571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D043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939DF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2E3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0755F6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11DC6A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投标价格</w:t>
            </w:r>
          </w:p>
        </w:tc>
        <w:tc>
          <w:tcPr>
            <w:tcW w:w="1197" w:type="dxa"/>
            <w:noWrap w:val="0"/>
            <w:vAlign w:val="center"/>
          </w:tcPr>
          <w:p w14:paraId="26009E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39596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8BE77F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4248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ED81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33FC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8F31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D43C6C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DAF36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0D1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2CFA7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41E4971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23105C6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6B068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20908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B33C6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2F60A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19499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8B5A0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9E5F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7AE608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00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8AEF9E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3F4DDE7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w:t>
            </w:r>
          </w:p>
        </w:tc>
        <w:tc>
          <w:tcPr>
            <w:tcW w:w="1197" w:type="dxa"/>
            <w:noWrap w:val="0"/>
            <w:vAlign w:val="center"/>
          </w:tcPr>
          <w:p w14:paraId="7564A3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FE1F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A59E7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AF853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0135C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03F5AE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433F0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4C32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995E4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ACF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2A5682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0A98C41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6033D8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24EB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30955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81F539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26E3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B91D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0454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3E1C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9F4C2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68E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06145A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056796F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58460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58D89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3E729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39828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B396A3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3209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90C0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1A95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3D9459EF">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r>
        <w:rPr>
          <w:rFonts w:hint="eastAsia" w:eastAsia="楷体_GB2312" w:cs="楷体_GB2312"/>
          <w:color w:val="auto"/>
          <w:highlight w:val="none"/>
          <w:lang w:eastAsia="zh-CN"/>
        </w:rPr>
        <w:t>】</w:t>
      </w:r>
    </w:p>
    <w:p w14:paraId="0689A2D1">
      <w:pPr>
        <w:spacing w:line="360" w:lineRule="exact"/>
        <w:rPr>
          <w:color w:val="auto"/>
          <w:highlight w:val="none"/>
        </w:rPr>
      </w:pPr>
    </w:p>
    <w:p w14:paraId="17AFC739">
      <w:pPr>
        <w:spacing w:line="36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9F35FA4">
      <w:pPr>
        <w:spacing w:line="360" w:lineRule="exact"/>
        <w:rPr>
          <w:rFonts w:cs="宋体"/>
          <w:color w:val="auto"/>
          <w:highlight w:val="none"/>
        </w:rPr>
      </w:pPr>
    </w:p>
    <w:p w14:paraId="544CA616">
      <w:pPr>
        <w:pStyle w:val="4"/>
        <w:spacing w:line="240" w:lineRule="auto"/>
        <w:rPr>
          <w:rFonts w:hint="eastAsia"/>
          <w:color w:val="auto"/>
          <w:sz w:val="28"/>
          <w:szCs w:val="28"/>
          <w:highlight w:val="none"/>
        </w:rPr>
      </w:pPr>
      <w:bookmarkStart w:id="908" w:name="_Toc210160314"/>
      <w:bookmarkStart w:id="909" w:name="_Toc12062"/>
      <w:bookmarkStart w:id="910" w:name="_Toc14605"/>
      <w:bookmarkStart w:id="911" w:name="_Toc18201356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8</w:t>
      </w:r>
      <w:r>
        <w:rPr>
          <w:rFonts w:hint="eastAsia"/>
          <w:color w:val="auto"/>
          <w:sz w:val="28"/>
          <w:szCs w:val="28"/>
          <w:highlight w:val="none"/>
        </w:rPr>
        <w:t>：响应性评审记录表（</w:t>
      </w:r>
      <w:r>
        <w:rPr>
          <w:color w:val="auto"/>
          <w:sz w:val="28"/>
          <w:szCs w:val="28"/>
          <w:highlight w:val="none"/>
        </w:rPr>
        <w:t>技术标）</w:t>
      </w:r>
      <w:bookmarkEnd w:id="908"/>
      <w:bookmarkEnd w:id="909"/>
      <w:bookmarkEnd w:id="910"/>
      <w:bookmarkEnd w:id="911"/>
    </w:p>
    <w:p w14:paraId="1B5D4A28">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技术标）</w:t>
      </w:r>
    </w:p>
    <w:p w14:paraId="150CDEFD">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4965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E2F8375">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7C1929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4CC8ED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6AF7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202AD2A6">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73F6F8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4B108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15CAB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5085AD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B1DD9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CBB3A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248E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59655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F0CF9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6F01E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C6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C0236F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6946F0EE">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r>
              <w:rPr>
                <w:rFonts w:hint="default" w:ascii="Calibri" w:hAnsi="Calibri" w:eastAsia="宋体" w:cs="宋体"/>
                <w:color w:val="auto"/>
                <w:highlight w:val="none"/>
              </w:rPr>
              <w:t>格式</w:t>
            </w:r>
          </w:p>
        </w:tc>
        <w:tc>
          <w:tcPr>
            <w:tcW w:w="1197" w:type="dxa"/>
            <w:noWrap w:val="0"/>
            <w:vAlign w:val="center"/>
          </w:tcPr>
          <w:p w14:paraId="2023BB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E869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6F0643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7D488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D20B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FDCAC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8DC68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C7712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A4916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5CE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74CF5B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5E4C1C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37FBA1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18548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CACF1F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498D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03BE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1E626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A82C33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3D4FF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3ABE0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E69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280D35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0BF311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0AA91A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3DA5A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AF9A2A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2A8B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862F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E8AB22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340DC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1DD0D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F8A7AA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6AC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F5D6F6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5F7702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6C74C89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DAA21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070AF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9A41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61DF23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AAD95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C933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7EB5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BB25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0A4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80328D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29FADD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3CBA5B5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A726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98B507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61F0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35222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28716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8428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1D674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89E11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290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084FDC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1FF3FB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22FAC1C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8BBF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4BC96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E110F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DA1143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8AFB2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C7D68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502E4D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2EE12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B0E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30BA5B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2FD1DD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41D6720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48DFBB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F0A944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9057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3436D1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C26EF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30653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B841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186DF3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952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E57BBA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0520E9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C5F8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2CE9A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03D4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5B3A2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13382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2F29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BB255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FF2CD3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B88EE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3ED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48A104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728BE7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987D09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7DADDD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C1C44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0404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8D68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73F50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D281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F7F51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C1192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DB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061DC9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76E3366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1DFAEB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8415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5017E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A2CD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FC244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88281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6071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01429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A59701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8DE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09F65DE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1E7661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55DF9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06248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E3779B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0742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AC28E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8A0C07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6B2D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C1313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7D3F7BAF">
      <w:pPr>
        <w:spacing w:line="360" w:lineRule="exact"/>
        <w:rPr>
          <w:rFonts w:hint="eastAsia" w:eastAsia="楷体_GB2312" w:cs="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14:paraId="7A0FDAA0">
      <w:pPr>
        <w:pStyle w:val="27"/>
        <w:rPr>
          <w:color w:val="auto"/>
          <w:highlight w:val="none"/>
        </w:rPr>
      </w:pPr>
    </w:p>
    <w:p w14:paraId="64505B68">
      <w:pPr>
        <w:spacing w:line="360" w:lineRule="exact"/>
        <w:rPr>
          <w:color w:val="auto"/>
          <w:highlight w:val="none"/>
        </w:rPr>
      </w:pPr>
    </w:p>
    <w:p w14:paraId="7F6A44E7">
      <w:pPr>
        <w:spacing w:line="360" w:lineRule="exact"/>
        <w:rPr>
          <w:rFonts w:cs="宋体"/>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1D9EADB">
      <w:pPr>
        <w:spacing w:line="360" w:lineRule="exact"/>
        <w:rPr>
          <w:rFonts w:hint="eastAsia"/>
          <w:color w:val="auto"/>
          <w:highlight w:val="none"/>
        </w:rPr>
      </w:pPr>
    </w:p>
    <w:p w14:paraId="71BBD985">
      <w:pPr>
        <w:pStyle w:val="4"/>
        <w:spacing w:line="240" w:lineRule="auto"/>
        <w:rPr>
          <w:rFonts w:hint="eastAsia"/>
          <w:color w:val="auto"/>
          <w:sz w:val="28"/>
          <w:szCs w:val="28"/>
          <w:highlight w:val="none"/>
        </w:rPr>
      </w:pPr>
      <w:bookmarkStart w:id="912" w:name="_Toc29658"/>
      <w:bookmarkStart w:id="913" w:name="_Toc17330"/>
      <w:bookmarkStart w:id="914" w:name="_Toc1032662839"/>
      <w:bookmarkStart w:id="915" w:name="_Toc172316051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9</w:t>
      </w:r>
      <w:r>
        <w:rPr>
          <w:rFonts w:hint="eastAsia"/>
          <w:color w:val="auto"/>
          <w:sz w:val="28"/>
          <w:szCs w:val="28"/>
          <w:highlight w:val="none"/>
        </w:rPr>
        <w:t>：资格审查评审记录表一</w:t>
      </w:r>
      <w:bookmarkEnd w:id="912"/>
      <w:bookmarkEnd w:id="913"/>
      <w:bookmarkEnd w:id="914"/>
      <w:bookmarkEnd w:id="915"/>
      <w:r>
        <w:rPr>
          <w:rFonts w:hint="eastAsia"/>
          <w:color w:val="auto"/>
          <w:sz w:val="28"/>
          <w:szCs w:val="28"/>
          <w:highlight w:val="none"/>
        </w:rPr>
        <w:t xml:space="preserve"> </w:t>
      </w:r>
    </w:p>
    <w:tbl>
      <w:tblPr>
        <w:tblStyle w:val="40"/>
        <w:tblpPr w:leftFromText="180" w:rightFromText="180" w:horzAnchor="margin" w:tblpY="495"/>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865"/>
      </w:tblGrid>
      <w:tr w14:paraId="6C8DA195">
        <w:tblPrEx>
          <w:tblCellMar>
            <w:top w:w="15" w:type="dxa"/>
            <w:left w:w="15" w:type="dxa"/>
            <w:bottom w:w="15" w:type="dxa"/>
            <w:right w:w="15" w:type="dxa"/>
          </w:tblCellMar>
        </w:tblPrEx>
        <w:trPr>
          <w:trHeight w:val="316" w:hRule="atLeast"/>
        </w:trPr>
        <w:tc>
          <w:tcPr>
            <w:tcW w:w="1080" w:type="dxa"/>
            <w:gridSpan w:val="2"/>
            <w:noWrap w:val="0"/>
            <w:vAlign w:val="top"/>
          </w:tcPr>
          <w:p w14:paraId="68BE5307">
            <w:pPr>
              <w:keepNext w:val="0"/>
              <w:keepLines w:val="0"/>
              <w:widowControl/>
              <w:suppressLineNumbers w:val="0"/>
              <w:spacing w:before="0" w:beforeAutospacing="0" w:after="0" w:afterAutospacing="0"/>
              <w:ind w:left="0" w:right="0"/>
              <w:jc w:val="center"/>
              <w:rPr>
                <w:rFonts w:hint="eastAsia" w:ascii="Calibri" w:hAnsi="Calibri" w:eastAsia="黑体" w:cs="黑体"/>
                <w:color w:val="auto"/>
                <w:sz w:val="28"/>
                <w:szCs w:val="28"/>
                <w:highlight w:val="none"/>
              </w:rPr>
            </w:pPr>
          </w:p>
        </w:tc>
        <w:tc>
          <w:tcPr>
            <w:tcW w:w="13677" w:type="dxa"/>
            <w:gridSpan w:val="12"/>
            <w:noWrap w:val="0"/>
            <w:vAlign w:val="center"/>
          </w:tcPr>
          <w:p w14:paraId="454E091F">
            <w:pPr>
              <w:keepNext w:val="0"/>
              <w:keepLines w:val="0"/>
              <w:widowControl/>
              <w:suppressLineNumbers w:val="0"/>
              <w:spacing w:before="0" w:beforeAutospacing="0" w:after="0" w:afterAutospacing="0"/>
              <w:ind w:left="0" w:right="0"/>
              <w:jc w:val="center"/>
              <w:rPr>
                <w:rFonts w:hint="default" w:ascii="Calibri" w:hAnsi="Calibri" w:eastAsia="黑体" w:cs="黑体"/>
                <w:color w:val="auto"/>
                <w:sz w:val="28"/>
                <w:szCs w:val="28"/>
                <w:highlight w:val="none"/>
              </w:rPr>
            </w:pPr>
          </w:p>
          <w:p w14:paraId="1F78A9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2"/>
                <w:szCs w:val="22"/>
                <w:highlight w:val="none"/>
              </w:rPr>
            </w:pPr>
            <w:r>
              <w:rPr>
                <w:rFonts w:hint="eastAsia" w:ascii="Calibri" w:hAnsi="Calibri" w:eastAsia="黑体" w:cs="黑体"/>
                <w:color w:val="auto"/>
                <w:sz w:val="28"/>
                <w:szCs w:val="28"/>
                <w:highlight w:val="none"/>
              </w:rPr>
              <w:t>资格审查评审记录表一</w:t>
            </w:r>
          </w:p>
        </w:tc>
      </w:tr>
      <w:tr w14:paraId="084E2292">
        <w:tblPrEx>
          <w:tblCellMar>
            <w:top w:w="15" w:type="dxa"/>
            <w:left w:w="15" w:type="dxa"/>
            <w:bottom w:w="15" w:type="dxa"/>
            <w:right w:w="15" w:type="dxa"/>
          </w:tblCellMar>
        </w:tblPrEx>
        <w:trPr>
          <w:trHeight w:val="330" w:hRule="atLeast"/>
        </w:trPr>
        <w:tc>
          <w:tcPr>
            <w:tcW w:w="1080" w:type="dxa"/>
            <w:gridSpan w:val="2"/>
            <w:noWrap w:val="0"/>
            <w:vAlign w:val="top"/>
          </w:tcPr>
          <w:p w14:paraId="56A241AC">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677" w:type="dxa"/>
            <w:gridSpan w:val="12"/>
            <w:noWrap w:val="0"/>
            <w:vAlign w:val="center"/>
          </w:tcPr>
          <w:p w14:paraId="43D6ADA0">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00AADC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154DD4DE">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61CA03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4357C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14:paraId="1EB933B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合格标准：投标人符合第二章“投标人须知”第1.4项规定的，且按规定提交了第二章“投标人须知前附表”3.1.1项资格审查部分（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）项内容的</w:t>
            </w:r>
            <w:r>
              <w:rPr>
                <w:rFonts w:hint="eastAsia" w:ascii="宋体" w:hAnsi="宋体" w:eastAsia="宋体" w:cs="宋体"/>
                <w:color w:val="auto"/>
                <w:kern w:val="0"/>
                <w:sz w:val="24"/>
                <w:highlight w:val="none"/>
                <w:lang w:eastAsia="zh-CN"/>
              </w:rPr>
              <w:t>，且符合要求</w:t>
            </w:r>
            <w:r>
              <w:rPr>
                <w:rFonts w:hint="eastAsia" w:ascii="宋体" w:hAnsi="宋体" w:eastAsia="宋体" w:cs="宋体"/>
                <w:color w:val="auto"/>
                <w:kern w:val="0"/>
                <w:sz w:val="24"/>
                <w:highlight w:val="none"/>
              </w:rPr>
              <w:t>，方可进行资格审查评分。</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3C7F4C6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14:paraId="56E4600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可</w:t>
            </w:r>
            <w:r>
              <w:rPr>
                <w:rFonts w:hint="eastAsia" w:ascii="宋体" w:hAnsi="宋体" w:eastAsia="宋体" w:cs="宋体"/>
                <w:color w:val="auto"/>
                <w:kern w:val="0"/>
                <w:sz w:val="24"/>
                <w:szCs w:val="24"/>
                <w:highlight w:val="none"/>
              </w:rPr>
              <w:t>否进行</w:t>
            </w:r>
            <w:r>
              <w:rPr>
                <w:rFonts w:hint="eastAsia" w:ascii="宋体" w:hAnsi="宋体" w:eastAsia="宋体" w:cs="宋体"/>
                <w:color w:val="auto"/>
                <w:kern w:val="0"/>
                <w:sz w:val="24"/>
                <w:highlight w:val="none"/>
              </w:rPr>
              <w:t>资格审查评分</w:t>
            </w:r>
          </w:p>
        </w:tc>
      </w:tr>
      <w:tr w14:paraId="3EC767BB">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2917CCE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F5CA5C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8C3AC8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3D95DC6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0A0470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C010F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8599D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37803B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109EAF1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3AEF67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8</w:t>
            </w:r>
            <w:r>
              <w:rPr>
                <w:rFonts w:hint="eastAsia" w:ascii="宋体" w:hAnsi="宋体" w:eastAsia="宋体" w:cs="宋体"/>
                <w:color w:val="auto"/>
                <w:kern w:val="0"/>
                <w:highlight w:val="none"/>
              </w:rPr>
              <w:t>)</w:t>
            </w:r>
          </w:p>
        </w:tc>
        <w:tc>
          <w:tcPr>
            <w:tcW w:w="992" w:type="dxa"/>
            <w:tcBorders>
              <w:top w:val="single" w:color="000000" w:sz="4" w:space="0"/>
              <w:left w:val="single" w:color="000000" w:sz="4" w:space="0"/>
              <w:bottom w:val="single" w:color="000000" w:sz="4" w:space="0"/>
            </w:tcBorders>
            <w:noWrap w:val="0"/>
            <w:vAlign w:val="center"/>
          </w:tcPr>
          <w:p w14:paraId="639804A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9</w:t>
            </w:r>
            <w:r>
              <w:rPr>
                <w:rFonts w:hint="eastAsia" w:ascii="宋体" w:hAnsi="宋体" w:eastAsia="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36D906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FD9F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63F449A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A5B3E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14:paraId="3A860FB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7815213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14:paraId="25C1AB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DC9F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EAF8C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C49E9D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3C9741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E8376E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88B7F8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0C1805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35AB4E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1285667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58AB82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2E2FAD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07AC30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97E607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B90E2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942BA8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486D4B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6FD9A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107D29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1A9242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7252FE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D95AD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5AE0AB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5075403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348EFC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45CC75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BF59D5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7595B5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769FDA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EC438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41C232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E17D9D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7CAFD9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0857A1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00B639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52CA19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48F4E5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0885F58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B2B3FD3">
        <w:tblPrEx>
          <w:tblCellMar>
            <w:top w:w="15" w:type="dxa"/>
            <w:left w:w="15" w:type="dxa"/>
            <w:bottom w:w="15" w:type="dxa"/>
            <w:right w:w="15" w:type="dxa"/>
          </w:tblCellMar>
        </w:tblPrEx>
        <w:trPr>
          <w:trHeight w:val="90" w:hRule="atLeast"/>
        </w:trPr>
        <w:tc>
          <w:tcPr>
            <w:tcW w:w="449" w:type="dxa"/>
            <w:tcBorders>
              <w:top w:val="single" w:color="000000" w:sz="4" w:space="0"/>
              <w:left w:val="single" w:color="000000" w:sz="4" w:space="0"/>
              <w:bottom w:val="single" w:color="000000" w:sz="4" w:space="0"/>
            </w:tcBorders>
            <w:noWrap w:val="0"/>
            <w:vAlign w:val="center"/>
          </w:tcPr>
          <w:p w14:paraId="671799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4EB2C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061307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05DE3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CE6192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58A863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ADA467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2436B7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C69886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E2EF0B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1EBC46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4FF2E6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2C3A2CE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44F7275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4F446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5A46428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829E87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6BE15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BF2072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2EA668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E3A85D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1835FD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7BB1E7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CFC612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E36275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28D817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5AB0DC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6229C6C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2D691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06EAE9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EE64C1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7B0791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0F019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DBEE57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6D1E13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8254A4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D93E87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A63C47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5551DB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7E318A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0E12FCF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50174A2">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A2266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28CD9F7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D0A39C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30290D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32B7C8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CC428E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B248D3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603DF55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951840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4E7DE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86C9E8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016744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4EFD253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ACEE145">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FCC57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DE5FA3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6E3527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06147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A2768F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924D5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A936CD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706FEE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B3A977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5758A7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BFF14D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1B82AC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E7D5AE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C5D11AE">
        <w:tblPrEx>
          <w:tblCellMar>
            <w:top w:w="15" w:type="dxa"/>
            <w:left w:w="15" w:type="dxa"/>
            <w:bottom w:w="15" w:type="dxa"/>
            <w:right w:w="15" w:type="dxa"/>
          </w:tblCellMar>
        </w:tblPrEx>
        <w:trPr>
          <w:trHeight w:val="510" w:hRule="atLeast"/>
        </w:trPr>
        <w:tc>
          <w:tcPr>
            <w:tcW w:w="14757" w:type="dxa"/>
            <w:gridSpan w:val="14"/>
            <w:noWrap w:val="0"/>
            <w:vAlign w:val="top"/>
          </w:tcPr>
          <w:p w14:paraId="372E5F0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r>
              <w:rPr>
                <w:rFonts w:hint="eastAsia" w:ascii="宋体" w:hAnsi="宋体" w:eastAsia="宋体" w:cs="宋体"/>
                <w:color w:val="auto"/>
                <w:kern w:val="0"/>
                <w:sz w:val="24"/>
                <w:highlight w:val="none"/>
              </w:rPr>
              <w:t>评标委员会全体成员签名：</w:t>
            </w:r>
            <w:r>
              <w:rPr>
                <w:rFonts w:hint="default" w:ascii="Calibri" w:hAnsi="Calibri" w:eastAsia="宋体" w:cs="Times New Roman"/>
                <w:color w:val="auto"/>
                <w:kern w:val="0"/>
                <w:sz w:val="24"/>
                <w:highlight w:val="none"/>
              </w:rPr>
              <w:t xml:space="preserve"> </w:t>
            </w:r>
          </w:p>
          <w:p w14:paraId="6E0BECF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4D1D61D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68422330">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0F3D3674">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4DCF8A72">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3DF20B94">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209E435E">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0AA7053A">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0"/>
                <w:sz w:val="24"/>
                <w:highlight w:val="none"/>
              </w:rPr>
            </w:pPr>
          </w:p>
          <w:p w14:paraId="5ED40705">
            <w:pPr>
              <w:pStyle w:val="4"/>
              <w:suppressLineNumbers w:val="0"/>
              <w:spacing w:before="0" w:beforeAutospacing="0" w:after="0" w:afterAutospacing="0" w:line="240" w:lineRule="auto"/>
              <w:ind w:left="0" w:right="0"/>
              <w:rPr>
                <w:rFonts w:hint="default" w:ascii="Calibri" w:hAnsi="Calibri" w:cs="Times New Roman"/>
                <w:color w:val="auto"/>
                <w:sz w:val="28"/>
                <w:szCs w:val="28"/>
                <w:highlight w:val="none"/>
              </w:rPr>
            </w:pPr>
            <w:bookmarkStart w:id="916" w:name="_Toc1963"/>
            <w:bookmarkStart w:id="917" w:name="_Toc1411029225"/>
            <w:bookmarkStart w:id="918" w:name="_Toc7683"/>
            <w:bookmarkStart w:id="919" w:name="_Toc987090894"/>
            <w:r>
              <w:rPr>
                <w:rFonts w:hint="eastAsia" w:ascii="Calibri" w:hAnsi="Calibri" w:cs="Times New Roman"/>
                <w:color w:val="auto"/>
                <w:sz w:val="28"/>
                <w:szCs w:val="28"/>
                <w:highlight w:val="none"/>
              </w:rPr>
              <w:t>附表</w:t>
            </w:r>
            <w:r>
              <w:rPr>
                <w:rFonts w:hint="default" w:ascii="Calibri" w:hAnsi="Calibri" w:cs="Times New Roman"/>
                <w:color w:val="auto"/>
                <w:sz w:val="28"/>
                <w:szCs w:val="28"/>
                <w:highlight w:val="none"/>
              </w:rPr>
              <w:t>A</w:t>
            </w:r>
            <w:r>
              <w:rPr>
                <w:rFonts w:hint="eastAsia" w:ascii="Calibri" w:hAnsi="Calibri" w:cs="Times New Roman"/>
                <w:color w:val="auto"/>
                <w:sz w:val="28"/>
                <w:szCs w:val="28"/>
                <w:highlight w:val="none"/>
              </w:rPr>
              <w:t>－</w:t>
            </w:r>
            <w:r>
              <w:rPr>
                <w:rFonts w:hint="eastAsia" w:ascii="Calibri" w:hAnsi="Calibri" w:cs="Times New Roman"/>
                <w:color w:val="auto"/>
                <w:sz w:val="28"/>
                <w:szCs w:val="28"/>
                <w:highlight w:val="none"/>
                <w:lang w:val="en-US" w:eastAsia="zh-CN"/>
              </w:rPr>
              <w:t>10</w:t>
            </w:r>
            <w:r>
              <w:rPr>
                <w:rFonts w:hint="eastAsia" w:ascii="Calibri" w:hAnsi="Calibri" w:cs="Times New Roman"/>
                <w:color w:val="auto"/>
                <w:sz w:val="28"/>
                <w:szCs w:val="28"/>
                <w:highlight w:val="none"/>
              </w:rPr>
              <w:t>：资格审查评审记录表二</w:t>
            </w:r>
            <w:bookmarkEnd w:id="916"/>
            <w:bookmarkEnd w:id="917"/>
            <w:bookmarkEnd w:id="918"/>
            <w:bookmarkEnd w:id="919"/>
          </w:p>
          <w:p w14:paraId="4DA20EA3">
            <w:pPr>
              <w:keepNext w:val="0"/>
              <w:keepLines w:val="0"/>
              <w:suppressLineNumbers w:val="0"/>
              <w:spacing w:before="0" w:beforeAutospacing="0" w:after="0" w:afterAutospacing="0"/>
              <w:ind w:left="0" w:right="0"/>
              <w:rPr>
                <w:rFonts w:hint="eastAsia" w:ascii="Calibri" w:hAnsi="Calibri" w:eastAsia="宋体" w:cs="Times New Roman"/>
                <w:color w:val="auto"/>
                <w:highlight w:val="none"/>
                <w:lang w:val="en-US"/>
              </w:rPr>
            </w:pPr>
          </w:p>
          <w:p w14:paraId="1AFE08C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黑体" w:cs="黑体"/>
                <w:color w:val="auto"/>
                <w:sz w:val="28"/>
                <w:szCs w:val="28"/>
                <w:highlight w:val="none"/>
              </w:rPr>
              <w:t>资格审查评审记录表二（合格制）</w:t>
            </w:r>
          </w:p>
          <w:p w14:paraId="37E72BDA">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3E5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1DA235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415" w:type="dxa"/>
                  <w:noWrap w:val="0"/>
                  <w:vAlign w:val="center"/>
                </w:tcPr>
                <w:p w14:paraId="761AC21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895" w:type="dxa"/>
                  <w:gridSpan w:val="9"/>
                  <w:noWrap w:val="0"/>
                  <w:vAlign w:val="top"/>
                </w:tcPr>
                <w:p w14:paraId="6F2C73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7532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5CF8179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3E19D2A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1210" w:type="dxa"/>
                  <w:noWrap w:val="0"/>
                  <w:vAlign w:val="center"/>
                </w:tcPr>
                <w:p w14:paraId="3D31893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B4C156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E133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9D19EA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4E6E83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0BE3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B8333E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48CA13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B34A11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65F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439FA4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327BE12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1210" w:type="dxa"/>
                  <w:noWrap w:val="0"/>
                  <w:vAlign w:val="center"/>
                </w:tcPr>
                <w:p w14:paraId="6CD4AD5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2ED8A4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1466BE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9A66CB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936A8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45FAD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9A71A6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899332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19C373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9ED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51D9BEA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0F41F7B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1210" w:type="dxa"/>
                  <w:noWrap w:val="0"/>
                  <w:vAlign w:val="center"/>
                </w:tcPr>
                <w:p w14:paraId="3E75B54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952BDB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0EB34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5599A9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24048A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5A30C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9BB4F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839D6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D25652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3A8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526470C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11F2777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1210" w:type="dxa"/>
                  <w:noWrap w:val="0"/>
                  <w:vAlign w:val="center"/>
                </w:tcPr>
                <w:p w14:paraId="6877272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4CA509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09B99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E3F47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986CCD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C0334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57022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9B4F7D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584814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9FF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7F122C8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1105235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1210" w:type="dxa"/>
                  <w:noWrap w:val="0"/>
                  <w:vAlign w:val="center"/>
                </w:tcPr>
                <w:p w14:paraId="79F0E4C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18445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49C4E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6F6BF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15ED3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F5A15B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9A16F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470C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C2473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E06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5FB0062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5F8864A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类似项目业绩（如有）</w:t>
                  </w:r>
                </w:p>
              </w:tc>
              <w:tc>
                <w:tcPr>
                  <w:tcW w:w="1210" w:type="dxa"/>
                  <w:noWrap w:val="0"/>
                  <w:vAlign w:val="center"/>
                </w:tcPr>
                <w:p w14:paraId="75D1414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BD312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05E02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1A8BB0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F698E4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B2653B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0C9BDE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6038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C10543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2FD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6B7DC04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4A49673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1210" w:type="dxa"/>
                  <w:noWrap w:val="0"/>
                  <w:vAlign w:val="center"/>
                </w:tcPr>
                <w:p w14:paraId="5A597E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E42FE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AF345B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C0203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2CCBD4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7F9AA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E173A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6959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C6ED1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BB2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4997F5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7BB59AB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1210" w:type="dxa"/>
                  <w:noWrap w:val="0"/>
                  <w:vAlign w:val="center"/>
                </w:tcPr>
                <w:p w14:paraId="7056B7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43793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8869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9C155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E590B3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39A38C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80AD04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544E9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13C9D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2E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2224D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71A2458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210" w:type="dxa"/>
                  <w:noWrap w:val="0"/>
                  <w:vAlign w:val="center"/>
                </w:tcPr>
                <w:p w14:paraId="714B6B2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EE6BC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7FD1A8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E8DB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1053A0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FE5214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BAADEF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BE5AF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C95A39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832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93A56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2415" w:type="dxa"/>
                  <w:noWrap w:val="0"/>
                  <w:vAlign w:val="center"/>
                </w:tcPr>
                <w:p w14:paraId="3DFC3E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210" w:type="dxa"/>
                  <w:noWrap w:val="0"/>
                  <w:vAlign w:val="center"/>
                </w:tcPr>
                <w:p w14:paraId="2541960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75301C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55A18D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6DA36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083F1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0AADA5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A61621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65FAF6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46AEB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2419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FBE820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2415" w:type="dxa"/>
                  <w:noWrap w:val="0"/>
                  <w:vAlign w:val="center"/>
                </w:tcPr>
                <w:p w14:paraId="4932146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1210" w:type="dxa"/>
                  <w:noWrap w:val="0"/>
                  <w:vAlign w:val="center"/>
                </w:tcPr>
                <w:p w14:paraId="42E30F1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A2689D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D6F9D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AEB79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825B51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C912E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50401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E7B866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40451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A9E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A187B0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2415" w:type="dxa"/>
                  <w:noWrap w:val="0"/>
                  <w:vAlign w:val="center"/>
                </w:tcPr>
                <w:p w14:paraId="5C47D97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p>
              </w:tc>
              <w:tc>
                <w:tcPr>
                  <w:tcW w:w="1210" w:type="dxa"/>
                  <w:noWrap w:val="0"/>
                  <w:vAlign w:val="center"/>
                </w:tcPr>
                <w:p w14:paraId="7218BD5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1CD7F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8610A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916006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3AC9D4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A978D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C70CA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E3FABD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B586F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680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4BAB403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2415" w:type="dxa"/>
                  <w:noWrap w:val="0"/>
                  <w:vAlign w:val="center"/>
                </w:tcPr>
                <w:p w14:paraId="4975AB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210" w:type="dxa"/>
                  <w:noWrap w:val="0"/>
                  <w:vAlign w:val="center"/>
                </w:tcPr>
                <w:p w14:paraId="632EECC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ED12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975EB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FDDCAD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D2F004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FD79B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686E4D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6418AF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8D7448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39A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3A1F1A2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210" w:type="dxa"/>
                  <w:noWrap w:val="0"/>
                  <w:vAlign w:val="center"/>
                </w:tcPr>
                <w:p w14:paraId="312DA97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5972E1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0CDFEE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306C9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98EDBD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490A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48356B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DD6AFC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5CCFC1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234D5D89">
            <w:pPr>
              <w:keepNext w:val="0"/>
              <w:keepLines w:val="0"/>
              <w:suppressLineNumbers w:val="0"/>
              <w:spacing w:before="0" w:beforeAutospacing="0" w:after="0" w:afterAutospacing="0" w:line="440" w:lineRule="exact"/>
              <w:ind w:left="0" w:right="0"/>
              <w:rPr>
                <w:rFonts w:hint="default" w:ascii="Calibri" w:hAnsi="Calibri" w:eastAsia="宋体" w:cs="Times New Roman"/>
                <w:color w:val="auto"/>
                <w:highlight w:val="none"/>
              </w:rPr>
            </w:pPr>
            <w:r>
              <w:rPr>
                <w:rFonts w:hint="eastAsia" w:ascii="Calibri" w:hAnsi="Calibri" w:eastAsia="楷体_GB2312" w:cs="楷体_GB2312"/>
                <w:color w:val="auto"/>
                <w:highlight w:val="none"/>
              </w:rPr>
              <w:t>【备注：根据评分办法的资格审查标准调整本表】</w:t>
            </w:r>
          </w:p>
          <w:p w14:paraId="508EF83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Calibri" w:hAnsi="Calibri" w:eastAsia="宋体" w:cs="宋体"/>
                <w:color w:val="auto"/>
                <w:highlight w:val="none"/>
              </w:rPr>
              <w:t>评标委员会全体成员签名：</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日期：</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r>
              <w:rPr>
                <w:rFonts w:hint="default" w:ascii="Calibri" w:hAnsi="Calibri" w:eastAsia="宋体" w:cs="Times New Roman"/>
                <w:color w:val="auto"/>
                <w:kern w:val="0"/>
                <w:sz w:val="24"/>
                <w:highlight w:val="none"/>
              </w:rPr>
              <w:t xml:space="preserve">                                                                                                                                                                  </w:t>
            </w:r>
          </w:p>
        </w:tc>
      </w:tr>
      <w:tr w14:paraId="5E679F06">
        <w:tblPrEx>
          <w:tblCellMar>
            <w:top w:w="15" w:type="dxa"/>
            <w:left w:w="15" w:type="dxa"/>
            <w:bottom w:w="15" w:type="dxa"/>
            <w:right w:w="15" w:type="dxa"/>
          </w:tblCellMar>
        </w:tblPrEx>
        <w:trPr>
          <w:trHeight w:val="285" w:hRule="atLeast"/>
        </w:trPr>
        <w:tc>
          <w:tcPr>
            <w:tcW w:w="449" w:type="dxa"/>
            <w:noWrap w:val="0"/>
            <w:vAlign w:val="bottom"/>
          </w:tcPr>
          <w:p w14:paraId="2E6CF90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highlight w:val="none"/>
              </w:rPr>
            </w:pPr>
          </w:p>
        </w:tc>
        <w:tc>
          <w:tcPr>
            <w:tcW w:w="4575" w:type="dxa"/>
            <w:gridSpan w:val="2"/>
            <w:noWrap w:val="0"/>
            <w:vAlign w:val="bottom"/>
          </w:tcPr>
          <w:p w14:paraId="2278896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780" w:type="dxa"/>
            <w:noWrap w:val="0"/>
            <w:vAlign w:val="bottom"/>
          </w:tcPr>
          <w:p w14:paraId="0F7293B4">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30" w:type="dxa"/>
            <w:noWrap w:val="0"/>
            <w:vAlign w:val="bottom"/>
          </w:tcPr>
          <w:p w14:paraId="1F234C9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10" w:type="dxa"/>
            <w:noWrap w:val="0"/>
            <w:vAlign w:val="bottom"/>
          </w:tcPr>
          <w:p w14:paraId="3CBEFA6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20" w:type="dxa"/>
            <w:noWrap w:val="0"/>
            <w:vAlign w:val="bottom"/>
          </w:tcPr>
          <w:p w14:paraId="62CA714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0" w:type="dxa"/>
            <w:noWrap w:val="0"/>
            <w:vAlign w:val="bottom"/>
          </w:tcPr>
          <w:p w14:paraId="5D57C545">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0525140E">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3432528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top"/>
          </w:tcPr>
          <w:p w14:paraId="3D97BC4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0C46A530">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2A8E251C">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65" w:type="dxa"/>
            <w:noWrap w:val="0"/>
            <w:vAlign w:val="bottom"/>
          </w:tcPr>
          <w:p w14:paraId="507700D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r>
    </w:tbl>
    <w:p w14:paraId="578D5306">
      <w:pPr>
        <w:pStyle w:val="4"/>
        <w:spacing w:line="240" w:lineRule="auto"/>
        <w:rPr>
          <w:color w:val="auto"/>
          <w:sz w:val="28"/>
          <w:szCs w:val="28"/>
          <w:highlight w:val="none"/>
        </w:rPr>
      </w:pPr>
      <w:bookmarkStart w:id="920" w:name="_Toc78449762"/>
      <w:bookmarkStart w:id="921" w:name="_Toc262430124"/>
      <w:bookmarkStart w:id="922" w:name="_Toc12567"/>
      <w:bookmarkStart w:id="923" w:name="_Toc18052500"/>
      <w:bookmarkStart w:id="924" w:name="_Toc1229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10</w:t>
      </w:r>
      <w:r>
        <w:rPr>
          <w:rFonts w:hint="eastAsia"/>
          <w:color w:val="auto"/>
          <w:sz w:val="28"/>
          <w:szCs w:val="28"/>
          <w:highlight w:val="none"/>
        </w:rPr>
        <w:t>：资格审查评审记录表</w:t>
      </w:r>
      <w:bookmarkEnd w:id="920"/>
      <w:r>
        <w:rPr>
          <w:rFonts w:hint="eastAsia"/>
          <w:color w:val="auto"/>
          <w:sz w:val="28"/>
          <w:szCs w:val="28"/>
          <w:highlight w:val="none"/>
        </w:rPr>
        <w:t>二</w:t>
      </w:r>
      <w:bookmarkEnd w:id="921"/>
      <w:bookmarkEnd w:id="922"/>
      <w:bookmarkEnd w:id="923"/>
      <w:bookmarkEnd w:id="924"/>
    </w:p>
    <w:p w14:paraId="65F8D316">
      <w:pPr>
        <w:spacing w:line="440" w:lineRule="exact"/>
        <w:jc w:val="center"/>
        <w:rPr>
          <w:color w:val="auto"/>
          <w:highlight w:val="none"/>
        </w:rPr>
      </w:pPr>
      <w:r>
        <w:rPr>
          <w:rFonts w:hint="eastAsia" w:eastAsia="黑体" w:cs="黑体"/>
          <w:color w:val="auto"/>
          <w:sz w:val="28"/>
          <w:szCs w:val="28"/>
          <w:highlight w:val="none"/>
        </w:rPr>
        <w:t>资格审查评审记录表二（有限数量制）</w:t>
      </w:r>
    </w:p>
    <w:p w14:paraId="0A6D7B29">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14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005"/>
        <w:gridCol w:w="993"/>
        <w:gridCol w:w="992"/>
        <w:gridCol w:w="1134"/>
        <w:gridCol w:w="1134"/>
        <w:gridCol w:w="1134"/>
        <w:gridCol w:w="1134"/>
        <w:gridCol w:w="1134"/>
        <w:gridCol w:w="850"/>
        <w:gridCol w:w="851"/>
      </w:tblGrid>
      <w:tr w14:paraId="65A1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8" w:type="dxa"/>
            <w:noWrap w:val="0"/>
            <w:vAlign w:val="center"/>
          </w:tcPr>
          <w:p w14:paraId="7B45BB14">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60" w:type="dxa"/>
            <w:noWrap w:val="0"/>
            <w:vAlign w:val="center"/>
          </w:tcPr>
          <w:p w14:paraId="24DE10AE">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510" w:type="dxa"/>
            <w:gridSpan w:val="9"/>
            <w:noWrap w:val="0"/>
            <w:vAlign w:val="center"/>
          </w:tcPr>
          <w:p w14:paraId="0433F751">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c>
          <w:tcPr>
            <w:tcW w:w="851" w:type="dxa"/>
            <w:noWrap w:val="0"/>
            <w:vAlign w:val="top"/>
          </w:tcPr>
          <w:p w14:paraId="23BE39A2">
            <w:pPr>
              <w:keepNext w:val="0"/>
              <w:keepLines w:val="0"/>
              <w:suppressLineNumbers w:val="0"/>
              <w:spacing w:before="0" w:beforeAutospacing="0" w:after="0" w:afterAutospacing="0" w:line="440" w:lineRule="atLeas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备注</w:t>
            </w:r>
          </w:p>
        </w:tc>
      </w:tr>
      <w:tr w14:paraId="10CE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38" w:type="dxa"/>
            <w:noWrap w:val="0"/>
            <w:vAlign w:val="center"/>
          </w:tcPr>
          <w:p w14:paraId="5FCC8E0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1</w:t>
            </w:r>
          </w:p>
        </w:tc>
        <w:tc>
          <w:tcPr>
            <w:tcW w:w="3360" w:type="dxa"/>
            <w:noWrap w:val="0"/>
            <w:vAlign w:val="top"/>
          </w:tcPr>
          <w:p w14:paraId="689D1A58">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（一）企业基本情况</w:t>
            </w:r>
          </w:p>
          <w:p w14:paraId="0033878B">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60EBF1A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3A7FE51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38B72D7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305EE2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E60376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F7AC5A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3E6C81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E77536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32B5B4D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0AB03D3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020D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43DE030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2</w:t>
            </w:r>
          </w:p>
        </w:tc>
        <w:tc>
          <w:tcPr>
            <w:tcW w:w="3360" w:type="dxa"/>
            <w:noWrap w:val="0"/>
            <w:vAlign w:val="top"/>
          </w:tcPr>
          <w:p w14:paraId="5C80C985">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（二）企业信誉实力分</w:t>
            </w:r>
          </w:p>
          <w:p w14:paraId="7F13F768">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5D44D1C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517EABA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1EDE6A7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E41CE8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FDF9FD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DCED7E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515A8F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85FE5D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26058D2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2AB2E5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49D5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765883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3</w:t>
            </w:r>
          </w:p>
        </w:tc>
        <w:tc>
          <w:tcPr>
            <w:tcW w:w="3360" w:type="dxa"/>
            <w:noWrap w:val="0"/>
            <w:vAlign w:val="top"/>
          </w:tcPr>
          <w:p w14:paraId="0AAAB139">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（三）项目经理情况</w:t>
            </w:r>
          </w:p>
          <w:p w14:paraId="576490E0">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0EF5D40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47B6431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43BDB97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60AB08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93F5C0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F294DE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1E30AC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63E388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6A38A3C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32B8BB8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2168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30AF72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4</w:t>
            </w:r>
          </w:p>
        </w:tc>
        <w:tc>
          <w:tcPr>
            <w:tcW w:w="3360" w:type="dxa"/>
            <w:noWrap w:val="0"/>
            <w:vAlign w:val="top"/>
          </w:tcPr>
          <w:p w14:paraId="0AAE5E32">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（四）技术负责人情况</w:t>
            </w:r>
          </w:p>
          <w:p w14:paraId="243FEC89">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5EEFEE3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1C478AD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50C098E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F2F7BB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69EAB0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3E14ED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4FD766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6FB116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2B28BA4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556F637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71B9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B615B7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5</w:t>
            </w:r>
          </w:p>
        </w:tc>
        <w:tc>
          <w:tcPr>
            <w:tcW w:w="3360" w:type="dxa"/>
            <w:noWrap w:val="0"/>
            <w:vAlign w:val="top"/>
          </w:tcPr>
          <w:p w14:paraId="50C7C5C2">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（五）拟投入本工程管理人员情况（满分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023770F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67C269B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1A9F8DD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08DA4D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D7E834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4544E6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2B29EC6">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25F234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236C1F2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459847C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1D5A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693A4E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6</w:t>
            </w:r>
          </w:p>
        </w:tc>
        <w:tc>
          <w:tcPr>
            <w:tcW w:w="3360" w:type="dxa"/>
            <w:noWrap w:val="0"/>
            <w:vAlign w:val="top"/>
          </w:tcPr>
          <w:p w14:paraId="1662A94A">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（六）拟投入施工机械设备情况</w:t>
            </w:r>
          </w:p>
          <w:p w14:paraId="2AC9BAE9">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0DF3453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321109C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0EED53E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DDDD55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57687A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CE0139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2BC798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9EB5D1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49DCCB3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48C731E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2867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38" w:type="dxa"/>
            <w:noWrap w:val="0"/>
            <w:vAlign w:val="center"/>
          </w:tcPr>
          <w:p w14:paraId="0517FAF1">
            <w:pPr>
              <w:keepNext w:val="0"/>
              <w:keepLines w:val="0"/>
              <w:suppressLineNumbers w:val="0"/>
              <w:spacing w:before="0" w:beforeAutospacing="0" w:after="0" w:afterAutospacing="0" w:line="380" w:lineRule="atLeast"/>
              <w:ind w:left="0" w:right="0"/>
              <w:jc w:val="center"/>
              <w:rPr>
                <w:rFonts w:hint="eastAsia" w:ascii="Calibri" w:hAnsi="Calibri" w:eastAsia="宋体" w:cs="Times New Roman"/>
                <w:color w:val="auto"/>
                <w:highlight w:val="none"/>
                <w:u w:val="single"/>
                <w:lang w:eastAsia="zh-CN"/>
              </w:rPr>
            </w:pPr>
            <w:r>
              <w:rPr>
                <w:rFonts w:hint="eastAsia" w:ascii="Calibri" w:hAnsi="Calibri" w:cs="Times New Roman"/>
                <w:color w:val="auto"/>
                <w:highlight w:val="none"/>
                <w:u w:val="single"/>
                <w:lang w:val="en-US" w:eastAsia="zh-CN"/>
              </w:rPr>
              <w:t>7</w:t>
            </w:r>
          </w:p>
        </w:tc>
        <w:tc>
          <w:tcPr>
            <w:tcW w:w="3360" w:type="dxa"/>
            <w:noWrap w:val="0"/>
            <w:vAlign w:val="top"/>
          </w:tcPr>
          <w:p w14:paraId="1E4BDAD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rPr>
              <w:t>……</w:t>
            </w:r>
          </w:p>
        </w:tc>
        <w:tc>
          <w:tcPr>
            <w:tcW w:w="1005" w:type="dxa"/>
            <w:noWrap w:val="0"/>
            <w:vAlign w:val="center"/>
          </w:tcPr>
          <w:p w14:paraId="1AEA742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29D466E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7FAA24C1">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E989F0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2FA89C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DD46E3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7B4588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66AB7D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7558D5B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0C6FD7D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bl>
    <w:p w14:paraId="720EB3DC">
      <w:pPr>
        <w:spacing w:line="380" w:lineRule="atLeast"/>
        <w:rPr>
          <w:color w:val="auto"/>
          <w:highlight w:val="none"/>
        </w:rPr>
      </w:pPr>
      <w:r>
        <w:rPr>
          <w:rFonts w:hint="eastAsia" w:eastAsia="楷体_GB2312" w:cs="楷体_GB2312"/>
          <w:color w:val="auto"/>
          <w:highlight w:val="none"/>
        </w:rPr>
        <w:t>【备注：根据评分办法的资格审查标准调整本表】</w:t>
      </w:r>
    </w:p>
    <w:p w14:paraId="6049495F">
      <w:pPr>
        <w:spacing w:line="380" w:lineRule="atLeast"/>
        <w:rPr>
          <w:rFonts w:cs="宋体"/>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987A991">
      <w:pPr>
        <w:pStyle w:val="4"/>
        <w:spacing w:line="240" w:lineRule="auto"/>
        <w:rPr>
          <w:b w:val="0"/>
          <w:bCs w:val="0"/>
          <w:color w:val="auto"/>
          <w:highlight w:val="none"/>
        </w:rPr>
      </w:pPr>
      <w:r>
        <w:rPr>
          <w:color w:val="auto"/>
          <w:highlight w:val="none"/>
        </w:rPr>
        <w:br w:type="page"/>
      </w:r>
      <w:bookmarkStart w:id="925" w:name="_Toc1062921691"/>
      <w:bookmarkStart w:id="926" w:name="_Toc9577"/>
      <w:bookmarkStart w:id="927" w:name="_Toc78449767"/>
      <w:bookmarkStart w:id="928" w:name="_Toc424088362"/>
      <w:bookmarkStart w:id="929" w:name="_Toc1027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1</w:t>
      </w:r>
      <w:r>
        <w:rPr>
          <w:rFonts w:hint="eastAsia"/>
          <w:color w:val="auto"/>
          <w:sz w:val="28"/>
          <w:szCs w:val="28"/>
          <w:highlight w:val="none"/>
        </w:rPr>
        <w:t>：技术标评分记录表</w:t>
      </w:r>
      <w:bookmarkEnd w:id="925"/>
      <w:bookmarkEnd w:id="926"/>
      <w:bookmarkEnd w:id="927"/>
      <w:bookmarkEnd w:id="928"/>
      <w:bookmarkEnd w:id="929"/>
    </w:p>
    <w:p w14:paraId="1B7A3788">
      <w:pPr>
        <w:spacing w:line="440" w:lineRule="exact"/>
        <w:jc w:val="center"/>
        <w:rPr>
          <w:rFonts w:eastAsia="黑体" w:cs="黑体"/>
          <w:color w:val="auto"/>
          <w:sz w:val="28"/>
          <w:szCs w:val="28"/>
          <w:highlight w:val="none"/>
        </w:rPr>
      </w:pPr>
      <w:r>
        <w:rPr>
          <w:rFonts w:hint="eastAsia" w:eastAsia="黑体" w:cs="黑体"/>
          <w:color w:val="auto"/>
          <w:sz w:val="28"/>
          <w:szCs w:val="28"/>
          <w:highlight w:val="none"/>
        </w:rPr>
        <w:t>技术标评分记录表</w:t>
      </w:r>
    </w:p>
    <w:p w14:paraId="11817142">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rFonts w:cs="宋体"/>
          <w:color w:val="auto"/>
          <w:highlight w:val="non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5"/>
        <w:gridCol w:w="851"/>
        <w:gridCol w:w="992"/>
        <w:gridCol w:w="1134"/>
        <w:gridCol w:w="1134"/>
        <w:gridCol w:w="992"/>
        <w:gridCol w:w="992"/>
        <w:gridCol w:w="993"/>
        <w:gridCol w:w="1275"/>
        <w:gridCol w:w="1305"/>
      </w:tblGrid>
      <w:tr w14:paraId="3250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1BA348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75" w:type="dxa"/>
            <w:vMerge w:val="restart"/>
            <w:noWrap w:val="0"/>
            <w:vAlign w:val="center"/>
          </w:tcPr>
          <w:p w14:paraId="1A3FFA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668" w:type="dxa"/>
            <w:gridSpan w:val="9"/>
            <w:noWrap w:val="0"/>
            <w:vAlign w:val="center"/>
          </w:tcPr>
          <w:p w14:paraId="22046F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E55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1617A97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vMerge w:val="continue"/>
            <w:noWrap w:val="0"/>
            <w:vAlign w:val="center"/>
          </w:tcPr>
          <w:p w14:paraId="705E18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1" w:type="dxa"/>
            <w:noWrap w:val="0"/>
            <w:vAlign w:val="center"/>
          </w:tcPr>
          <w:p w14:paraId="1415A9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C2FA6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636510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51732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64792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1FEBE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85E98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719C5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605CCA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378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6774C4A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黑体" w:cs="Times New Roman"/>
                <w:color w:val="auto"/>
                <w:highlight w:val="none"/>
                <w:lang w:eastAsia="zh-CN"/>
              </w:rPr>
              <w:t>1.</w:t>
            </w: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20</w:t>
            </w:r>
            <w:r>
              <w:rPr>
                <w:rFonts w:hint="eastAsia" w:ascii="Calibri" w:hAnsi="Calibri" w:eastAsia="宋体" w:cs="宋体"/>
                <w:color w:val="auto"/>
                <w:highlight w:val="none"/>
              </w:rPr>
              <w:t>）</w:t>
            </w:r>
          </w:p>
        </w:tc>
        <w:tc>
          <w:tcPr>
            <w:tcW w:w="3375" w:type="dxa"/>
            <w:noWrap w:val="0"/>
            <w:vAlign w:val="center"/>
          </w:tcPr>
          <w:p w14:paraId="536357D7">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）项目经理任职资格与业绩、工作经历等</w:t>
            </w:r>
          </w:p>
        </w:tc>
        <w:tc>
          <w:tcPr>
            <w:tcW w:w="851" w:type="dxa"/>
            <w:noWrap w:val="0"/>
            <w:vAlign w:val="center"/>
          </w:tcPr>
          <w:p w14:paraId="00947A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1CD56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5B44D5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6492C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A963F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C158B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09C9401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78121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26E4AD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536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2B97EB1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BC5CD0B">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851" w:type="dxa"/>
            <w:noWrap w:val="0"/>
            <w:vAlign w:val="center"/>
          </w:tcPr>
          <w:p w14:paraId="7A091D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AD8BC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0E183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4C095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0DB9E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2C728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F3920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3C38AC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616ED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BEC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3B7EB5F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80</w:t>
            </w:r>
            <w:r>
              <w:rPr>
                <w:rFonts w:hint="eastAsia" w:ascii="Calibri" w:hAnsi="Calibri" w:eastAsia="宋体" w:cs="宋体"/>
                <w:color w:val="auto"/>
                <w:highlight w:val="none"/>
              </w:rPr>
              <w:t>）</w:t>
            </w:r>
          </w:p>
        </w:tc>
        <w:tc>
          <w:tcPr>
            <w:tcW w:w="3375" w:type="dxa"/>
            <w:noWrap w:val="0"/>
            <w:vAlign w:val="center"/>
          </w:tcPr>
          <w:p w14:paraId="0F7DBCC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1" w:type="dxa"/>
            <w:noWrap w:val="0"/>
            <w:vAlign w:val="center"/>
          </w:tcPr>
          <w:p w14:paraId="11667B0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CE20C9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8A932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0020A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85304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2B89F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9D1EE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1FA40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23AB5B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E42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1EE7868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EF21FC9">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1" w:type="dxa"/>
            <w:noWrap w:val="0"/>
            <w:vAlign w:val="center"/>
          </w:tcPr>
          <w:p w14:paraId="685DE7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E301F4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2079F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6CD92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2A7E9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8E531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308F1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870644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638528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5FC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2C806B6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6BC5E6B">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1" w:type="dxa"/>
            <w:noWrap w:val="0"/>
            <w:vAlign w:val="center"/>
          </w:tcPr>
          <w:p w14:paraId="3B6A73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4F9C0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7D25C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3C859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D5385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4E937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DD2FC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46381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649F2E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338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2948C8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7B990F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1" w:type="dxa"/>
            <w:noWrap w:val="0"/>
            <w:vAlign w:val="center"/>
          </w:tcPr>
          <w:p w14:paraId="41CABA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C2E78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2B077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30731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88D88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0D4DC8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31FAE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B00D9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0FD73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9C6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6DAA633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322B94F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1" w:type="dxa"/>
            <w:noWrap w:val="0"/>
            <w:vAlign w:val="center"/>
          </w:tcPr>
          <w:p w14:paraId="1E279E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AB7BBC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23EEE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9E5E2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048A8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2F56D2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60A49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E6B240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22CC1C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77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79DF4DF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C6369E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1" w:type="dxa"/>
            <w:noWrap w:val="0"/>
            <w:vAlign w:val="center"/>
          </w:tcPr>
          <w:p w14:paraId="717FF9A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A66D8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77547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9C911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0403A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8A9A8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265F5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A001A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984F19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8BD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6BFE3FD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B2AD3E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1" w:type="dxa"/>
            <w:noWrap w:val="0"/>
            <w:vAlign w:val="center"/>
          </w:tcPr>
          <w:p w14:paraId="667398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2F915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5EF8E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AB9AD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18659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6A6E0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8E3E0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2A1FC2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99717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ACF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6C977A5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330A92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1" w:type="dxa"/>
            <w:noWrap w:val="0"/>
            <w:vAlign w:val="center"/>
          </w:tcPr>
          <w:p w14:paraId="5DD63B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6A6FB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1834F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32F398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2BF83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0B23D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16B2F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64294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551C5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69C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B56426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255BE52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1" w:type="dxa"/>
            <w:noWrap w:val="0"/>
            <w:vAlign w:val="center"/>
          </w:tcPr>
          <w:p w14:paraId="038D09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0837B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E69D7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7D7F94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F52265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12B12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ED9BF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1D706D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695B2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6F8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776115A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79A9256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1" w:type="dxa"/>
            <w:noWrap w:val="0"/>
            <w:vAlign w:val="center"/>
          </w:tcPr>
          <w:p w14:paraId="522BDC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E3FBF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80807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44C19D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E91C1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EBABC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BBA0F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BA8F9E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84A37E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A89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1444C21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904374A">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kern w:val="0"/>
                <w:highlight w:val="none"/>
              </w:rPr>
              <w:t>.........</w:t>
            </w:r>
          </w:p>
        </w:tc>
        <w:tc>
          <w:tcPr>
            <w:tcW w:w="851" w:type="dxa"/>
            <w:noWrap w:val="0"/>
            <w:vAlign w:val="center"/>
          </w:tcPr>
          <w:p w14:paraId="21D771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6AC05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36EC2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3E029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34418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28294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12685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52023C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D03CA2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A80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87" w:type="dxa"/>
            <w:gridSpan w:val="2"/>
            <w:noWrap w:val="0"/>
            <w:vAlign w:val="center"/>
          </w:tcPr>
          <w:p w14:paraId="3B0DC6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技术标得分（满分100分）合计</w:t>
            </w:r>
          </w:p>
        </w:tc>
        <w:tc>
          <w:tcPr>
            <w:tcW w:w="851" w:type="dxa"/>
            <w:noWrap w:val="0"/>
            <w:vAlign w:val="center"/>
          </w:tcPr>
          <w:p w14:paraId="3F6296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E23F8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FF869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10B94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8F2F86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83FC6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EC6A8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5E0B1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F3C1C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6B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6A0DF6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851" w:type="dxa"/>
            <w:noWrap w:val="0"/>
            <w:vAlign w:val="center"/>
          </w:tcPr>
          <w:p w14:paraId="0AAE30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01ECB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867C1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A598E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BFF31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ADA49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2D72A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52A78A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D8AA07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0FA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7A077D3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技术标是否合格（技术标加权得分低于</w:t>
            </w:r>
            <w:r>
              <w:rPr>
                <w:rFonts w:hint="eastAsia" w:ascii="Calibri" w:hAnsi="Calibri" w:eastAsia="宋体" w:cs="Times New Roman"/>
                <w:color w:val="auto"/>
                <w:highlight w:val="none"/>
              </w:rPr>
              <w:t>技术标加权满分的60%的，技术标不合格</w:t>
            </w:r>
            <w:r>
              <w:rPr>
                <w:rFonts w:hint="eastAsia" w:ascii="Calibri" w:hAnsi="Calibri" w:eastAsia="宋体" w:cs="宋体"/>
                <w:color w:val="auto"/>
                <w:highlight w:val="none"/>
              </w:rPr>
              <w:t>）</w:t>
            </w:r>
          </w:p>
        </w:tc>
        <w:tc>
          <w:tcPr>
            <w:tcW w:w="851" w:type="dxa"/>
            <w:noWrap w:val="0"/>
            <w:vAlign w:val="center"/>
          </w:tcPr>
          <w:p w14:paraId="4BC3A3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7321E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F729A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0505E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BF8FC2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1F35A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99CE14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9CD4A3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63887D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1F0ED596">
      <w:pPr>
        <w:rPr>
          <w:color w:val="auto"/>
          <w:highlight w:val="none"/>
        </w:rPr>
      </w:pPr>
      <w:r>
        <w:rPr>
          <w:rFonts w:hint="eastAsia" w:eastAsia="楷体_GB2312" w:cs="楷体_GB2312"/>
          <w:color w:val="auto"/>
          <w:highlight w:val="none"/>
        </w:rPr>
        <w:t>【备注：本表可根据评分办法的需要进行调整】</w:t>
      </w:r>
    </w:p>
    <w:p w14:paraId="6E159CC3">
      <w:pPr>
        <w:spacing w:line="440" w:lineRule="exact"/>
        <w:rPr>
          <w:rFonts w:cs="宋体"/>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4486DEEE">
      <w:pPr>
        <w:spacing w:line="440" w:lineRule="exact"/>
        <w:rPr>
          <w:rFonts w:cs="宋体"/>
          <w:color w:val="auto"/>
          <w:highlight w:val="none"/>
        </w:rPr>
      </w:pPr>
    </w:p>
    <w:p w14:paraId="2023899F">
      <w:pPr>
        <w:spacing w:line="440" w:lineRule="exact"/>
        <w:rPr>
          <w:rFonts w:cs="宋体"/>
          <w:color w:val="auto"/>
          <w:highlight w:val="none"/>
        </w:rPr>
      </w:pPr>
    </w:p>
    <w:p w14:paraId="4E6D458E">
      <w:pPr>
        <w:spacing w:line="440" w:lineRule="exact"/>
        <w:rPr>
          <w:rFonts w:cs="宋体"/>
          <w:color w:val="auto"/>
          <w:highlight w:val="none"/>
        </w:rPr>
      </w:pPr>
    </w:p>
    <w:p w14:paraId="5FF3FFA7">
      <w:pPr>
        <w:spacing w:line="440" w:lineRule="exact"/>
        <w:rPr>
          <w:rFonts w:cs="宋体"/>
          <w:color w:val="auto"/>
          <w:highlight w:val="none"/>
        </w:rPr>
      </w:pPr>
    </w:p>
    <w:p w14:paraId="00AE548F">
      <w:pPr>
        <w:spacing w:line="440" w:lineRule="exact"/>
        <w:rPr>
          <w:rFonts w:hint="eastAsia" w:cs="宋体"/>
          <w:color w:val="auto"/>
          <w:highlight w:val="none"/>
        </w:rPr>
      </w:pPr>
    </w:p>
    <w:p w14:paraId="41D3E7E8">
      <w:pPr>
        <w:spacing w:line="440" w:lineRule="exact"/>
        <w:rPr>
          <w:rFonts w:cs="宋体"/>
          <w:color w:val="auto"/>
          <w:highlight w:val="none"/>
        </w:rPr>
      </w:pPr>
    </w:p>
    <w:p w14:paraId="537F5E80">
      <w:pPr>
        <w:rPr>
          <w:rFonts w:hint="eastAsia" w:eastAsia="黑体"/>
          <w:color w:val="auto"/>
          <w:highlight w:val="none"/>
        </w:rPr>
      </w:pPr>
    </w:p>
    <w:p w14:paraId="2E2275D7">
      <w:pPr>
        <w:pStyle w:val="4"/>
        <w:spacing w:line="240" w:lineRule="auto"/>
        <w:rPr>
          <w:color w:val="auto"/>
          <w:highlight w:val="none"/>
        </w:rPr>
      </w:pPr>
      <w:bookmarkStart w:id="930" w:name="_Toc22818"/>
      <w:bookmarkStart w:id="931" w:name="_Toc589771419"/>
      <w:bookmarkStart w:id="932" w:name="_Toc17029"/>
      <w:bookmarkStart w:id="933" w:name="_Toc1703071691"/>
      <w:bookmarkStart w:id="934" w:name="_Toc78449768"/>
      <w:r>
        <w:rPr>
          <w:color w:val="auto"/>
          <w:sz w:val="28"/>
          <w:szCs w:val="28"/>
          <w:highlight w:val="none"/>
        </w:rPr>
        <w:t>附表A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2</w:t>
      </w:r>
      <w:r>
        <w:rPr>
          <w:color w:val="auto"/>
          <w:sz w:val="28"/>
          <w:szCs w:val="28"/>
          <w:highlight w:val="none"/>
        </w:rPr>
        <w:t>：</w:t>
      </w:r>
      <w:r>
        <w:rPr>
          <w:rFonts w:hint="eastAsia"/>
          <w:color w:val="auto"/>
          <w:sz w:val="28"/>
          <w:szCs w:val="28"/>
          <w:highlight w:val="none"/>
        </w:rPr>
        <w:t>投标</w:t>
      </w:r>
      <w:r>
        <w:rPr>
          <w:color w:val="auto"/>
          <w:sz w:val="28"/>
          <w:szCs w:val="28"/>
          <w:highlight w:val="none"/>
        </w:rPr>
        <w:t>人</w:t>
      </w:r>
      <w:r>
        <w:rPr>
          <w:rFonts w:hint="eastAsia"/>
          <w:color w:val="auto"/>
          <w:sz w:val="28"/>
          <w:szCs w:val="28"/>
          <w:highlight w:val="none"/>
        </w:rPr>
        <w:t>施工组织设计评分计算</w:t>
      </w:r>
      <w:r>
        <w:rPr>
          <w:color w:val="auto"/>
          <w:sz w:val="28"/>
          <w:szCs w:val="28"/>
          <w:highlight w:val="none"/>
        </w:rPr>
        <w:t>表</w:t>
      </w:r>
      <w:bookmarkEnd w:id="930"/>
      <w:bookmarkEnd w:id="931"/>
      <w:bookmarkEnd w:id="932"/>
      <w:bookmarkEnd w:id="933"/>
      <w:bookmarkEnd w:id="934"/>
    </w:p>
    <w:p w14:paraId="37AE3F12">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施工组织设计评分计算</w:t>
      </w:r>
      <w:r>
        <w:rPr>
          <w:rFonts w:eastAsia="黑体"/>
          <w:color w:val="auto"/>
          <w:sz w:val="28"/>
          <w:szCs w:val="28"/>
          <w:highlight w:val="none"/>
        </w:rPr>
        <w:t>表</w:t>
      </w:r>
    </w:p>
    <w:p w14:paraId="4D15A052">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p w14:paraId="64C9AE72">
      <w:pPr>
        <w:spacing w:after="72" w:afterLines="30" w:line="440" w:lineRule="exact"/>
        <w:rPr>
          <w:rFonts w:hint="eastAsia"/>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985"/>
        <w:gridCol w:w="850"/>
        <w:gridCol w:w="851"/>
        <w:gridCol w:w="850"/>
        <w:gridCol w:w="993"/>
        <w:gridCol w:w="1022"/>
        <w:gridCol w:w="1843"/>
        <w:gridCol w:w="993"/>
        <w:gridCol w:w="1275"/>
        <w:gridCol w:w="962"/>
      </w:tblGrid>
      <w:tr w14:paraId="6EAE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14" w:type="dxa"/>
            <w:vMerge w:val="restart"/>
            <w:noWrap w:val="0"/>
            <w:vAlign w:val="center"/>
          </w:tcPr>
          <w:p w14:paraId="65B4E6E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default" w:ascii="Calibri" w:hAnsi="Calibri" w:eastAsia="宋体" w:cs="Times New Roman"/>
                <w:color w:val="auto"/>
                <w:highlight w:val="none"/>
              </w:rPr>
              <w:t>序号</w:t>
            </w:r>
          </w:p>
        </w:tc>
        <w:tc>
          <w:tcPr>
            <w:tcW w:w="1985" w:type="dxa"/>
            <w:vMerge w:val="restart"/>
            <w:noWrap w:val="0"/>
            <w:vAlign w:val="center"/>
          </w:tcPr>
          <w:p w14:paraId="34C108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default" w:ascii="Calibri" w:hAnsi="Calibri" w:eastAsia="宋体" w:cs="Times New Roman"/>
                <w:color w:val="auto"/>
                <w:highlight w:val="none"/>
              </w:rPr>
              <w:t>评审因素</w:t>
            </w:r>
          </w:p>
        </w:tc>
        <w:tc>
          <w:tcPr>
            <w:tcW w:w="4566" w:type="dxa"/>
            <w:gridSpan w:val="5"/>
            <w:noWrap w:val="0"/>
            <w:vAlign w:val="center"/>
          </w:tcPr>
          <w:p w14:paraId="0D5290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评委姓名</w:t>
            </w:r>
          </w:p>
        </w:tc>
        <w:tc>
          <w:tcPr>
            <w:tcW w:w="1843" w:type="dxa"/>
            <w:vMerge w:val="restart"/>
            <w:noWrap w:val="0"/>
            <w:vAlign w:val="center"/>
          </w:tcPr>
          <w:p w14:paraId="14FB47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评分基准值</w:t>
            </w:r>
          </w:p>
        </w:tc>
        <w:tc>
          <w:tcPr>
            <w:tcW w:w="993" w:type="dxa"/>
            <w:vMerge w:val="restart"/>
            <w:noWrap w:val="0"/>
            <w:vAlign w:val="center"/>
          </w:tcPr>
          <w:p w14:paraId="258DC8C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r>
              <w:rPr>
                <w:rFonts w:hint="eastAsia" w:ascii="Calibri" w:hAnsi="Calibri" w:eastAsia="宋体" w:cs="宋体"/>
                <w:color w:val="auto"/>
                <w:highlight w:val="none"/>
                <w:lang w:bidi="ar"/>
              </w:rPr>
              <w:t>各评委</w:t>
            </w: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评分合计</w:t>
            </w:r>
          </w:p>
        </w:tc>
        <w:tc>
          <w:tcPr>
            <w:tcW w:w="1275" w:type="dxa"/>
            <w:vMerge w:val="restart"/>
            <w:noWrap w:val="0"/>
            <w:vAlign w:val="top"/>
          </w:tcPr>
          <w:p w14:paraId="1DC0AB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Style w:val="47"/>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评分人数</w:t>
            </w:r>
          </w:p>
        </w:tc>
        <w:tc>
          <w:tcPr>
            <w:tcW w:w="962" w:type="dxa"/>
            <w:vMerge w:val="restart"/>
            <w:noWrap w:val="0"/>
            <w:vAlign w:val="top"/>
          </w:tcPr>
          <w:p w14:paraId="566290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Times New Roman"/>
                <w:color w:val="auto"/>
                <w:highlight w:val="none"/>
              </w:rPr>
              <w:t>该单</w:t>
            </w:r>
            <w:r>
              <w:rPr>
                <w:rFonts w:hint="default" w:ascii="Calibri" w:hAnsi="Calibri" w:eastAsia="楷体_GB2312" w:cs="Times New Roman"/>
                <w:color w:val="auto"/>
                <w:highlight w:val="none"/>
              </w:rPr>
              <w:t>项</w:t>
            </w:r>
            <w:r>
              <w:rPr>
                <w:rFonts w:hint="eastAsia" w:ascii="Calibri" w:hAnsi="Calibri" w:eastAsia="楷体_GB2312" w:cs="Times New Roman"/>
                <w:color w:val="auto"/>
                <w:highlight w:val="none"/>
              </w:rPr>
              <w:t>最终得分</w:t>
            </w:r>
          </w:p>
        </w:tc>
      </w:tr>
      <w:tr w14:paraId="0F0B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14" w:type="dxa"/>
            <w:vMerge w:val="continue"/>
            <w:noWrap w:val="0"/>
            <w:vAlign w:val="center"/>
          </w:tcPr>
          <w:p w14:paraId="0E25C74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03BD11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0" w:type="dxa"/>
            <w:noWrap w:val="0"/>
            <w:vAlign w:val="center"/>
          </w:tcPr>
          <w:p w14:paraId="3DF3D61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lang w:eastAsia="zh-CN"/>
              </w:rPr>
            </w:pPr>
            <w:r>
              <w:rPr>
                <w:rFonts w:hint="eastAsia" w:ascii="Calibri" w:hAnsi="Calibri" w:cs="Times New Roman"/>
                <w:color w:val="auto"/>
                <w:highlight w:val="none"/>
                <w:lang w:eastAsia="zh-CN"/>
              </w:rPr>
              <w:t>1.</w:t>
            </w:r>
          </w:p>
        </w:tc>
        <w:tc>
          <w:tcPr>
            <w:tcW w:w="851" w:type="dxa"/>
            <w:noWrap w:val="0"/>
            <w:vAlign w:val="center"/>
          </w:tcPr>
          <w:p w14:paraId="6D8B9C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p>
        </w:tc>
        <w:tc>
          <w:tcPr>
            <w:tcW w:w="850" w:type="dxa"/>
            <w:noWrap w:val="0"/>
            <w:vAlign w:val="center"/>
          </w:tcPr>
          <w:p w14:paraId="1557E2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3</w:t>
            </w:r>
          </w:p>
        </w:tc>
        <w:tc>
          <w:tcPr>
            <w:tcW w:w="993" w:type="dxa"/>
            <w:noWrap w:val="0"/>
            <w:vAlign w:val="center"/>
          </w:tcPr>
          <w:p w14:paraId="353B34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4</w:t>
            </w:r>
          </w:p>
        </w:tc>
        <w:tc>
          <w:tcPr>
            <w:tcW w:w="1022" w:type="dxa"/>
            <w:noWrap w:val="0"/>
            <w:vAlign w:val="center"/>
          </w:tcPr>
          <w:p w14:paraId="6891DB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1843" w:type="dxa"/>
            <w:vMerge w:val="continue"/>
            <w:noWrap w:val="0"/>
            <w:vAlign w:val="center"/>
          </w:tcPr>
          <w:p w14:paraId="6E626DC9">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0C58BB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1454F9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C1648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4A0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14" w:type="dxa"/>
            <w:vMerge w:val="restart"/>
            <w:noWrap w:val="0"/>
            <w:vAlign w:val="center"/>
          </w:tcPr>
          <w:p w14:paraId="314FBA2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p>
        </w:tc>
        <w:tc>
          <w:tcPr>
            <w:tcW w:w="1985" w:type="dxa"/>
            <w:vMerge w:val="restart"/>
            <w:noWrap w:val="0"/>
            <w:vAlign w:val="center"/>
          </w:tcPr>
          <w:p w14:paraId="1E1C433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0" w:type="dxa"/>
            <w:noWrap w:val="0"/>
            <w:vAlign w:val="center"/>
          </w:tcPr>
          <w:p w14:paraId="7275CFB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4678A3A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C60CE2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4612FA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1A7A4C2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71B2E7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9E1D5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20642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EDD28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D69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14" w:type="dxa"/>
            <w:vMerge w:val="continue"/>
            <w:noWrap w:val="0"/>
            <w:vAlign w:val="center"/>
          </w:tcPr>
          <w:p w14:paraId="710E5DD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985" w:type="dxa"/>
            <w:vMerge w:val="continue"/>
            <w:noWrap w:val="0"/>
            <w:vAlign w:val="center"/>
          </w:tcPr>
          <w:p w14:paraId="2A84068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0190DBC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773354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38DF7F5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FACB23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0834C11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290083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572367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9819F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597D3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A31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17713AA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6FD38F3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0" w:type="dxa"/>
            <w:noWrap w:val="0"/>
            <w:vAlign w:val="center"/>
          </w:tcPr>
          <w:p w14:paraId="064FC5E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7B5C078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FE072E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266D124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49CED32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1D0587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04C42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D5356A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8C9688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5F0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014E9C1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154B544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6DE2959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701D7C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F2A4C3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602C4E1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73DF1E6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5936CA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CCB21E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6FF2C9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7FB9F86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4B6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61E1394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575F55A3">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0" w:type="dxa"/>
            <w:noWrap w:val="0"/>
            <w:vAlign w:val="center"/>
          </w:tcPr>
          <w:p w14:paraId="5D7F120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785B832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AEECD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725EE59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6C37E9F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07D8C5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7C3889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587C8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ECD7C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81D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30B41AA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5970D92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5C1307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3171B1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AB7F71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753831F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19ABA97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52AFEE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E8485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741ED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59BFF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74A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27C63F7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7ACE521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0" w:type="dxa"/>
            <w:noWrap w:val="0"/>
            <w:vAlign w:val="center"/>
          </w:tcPr>
          <w:p w14:paraId="33D0338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775E33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44024FE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3433468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2152E5D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76AF87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1057E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11799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DDAD0F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D29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23278E3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3B39075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4810462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41586D9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48E3DE5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C290BA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07CC3B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420F45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71DD9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795F83E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6E6187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1CF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2100E25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1C5BB63C">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0" w:type="dxa"/>
            <w:noWrap w:val="0"/>
            <w:vAlign w:val="center"/>
          </w:tcPr>
          <w:p w14:paraId="0219C9E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0F284E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1DFF197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6D05B53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77E6421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1D5BFF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62095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698625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726F0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025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435BDA8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7BA0CB8D">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5A0ACC4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5769F60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15F540C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454FA53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458979C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0D014B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84288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6CB81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5E1DB6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5D4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4" w:type="dxa"/>
            <w:vMerge w:val="continue"/>
            <w:noWrap w:val="0"/>
            <w:vAlign w:val="center"/>
          </w:tcPr>
          <w:p w14:paraId="5D349BC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6066CC5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0" w:type="dxa"/>
            <w:noWrap w:val="0"/>
            <w:vAlign w:val="center"/>
          </w:tcPr>
          <w:p w14:paraId="1E6BAF2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3D1FC4D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0848B25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69A1814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766CEA8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5E73F5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76BB2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064033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34A41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180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14" w:type="dxa"/>
            <w:vMerge w:val="continue"/>
            <w:noWrap w:val="0"/>
            <w:vAlign w:val="center"/>
          </w:tcPr>
          <w:p w14:paraId="2903022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659D4593">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2667E68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6E6F430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F0C66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1FE3D40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1463A1E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70C622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0B629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1083D9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3A0AF83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CC5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311DAEB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53E2AB64">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0" w:type="dxa"/>
            <w:noWrap w:val="0"/>
            <w:vAlign w:val="center"/>
          </w:tcPr>
          <w:p w14:paraId="12E4750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CD4024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3D7A03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32BB5C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3D634D0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00E309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878C1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4EE668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B0DB1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335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06DD55A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791D553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416E6AE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272BFB5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72E4150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3535B40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6C6B61F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366315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87D35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00CDBF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428CA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25E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50EB6C91">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7788F3C3">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0" w:type="dxa"/>
            <w:noWrap w:val="0"/>
            <w:vAlign w:val="center"/>
          </w:tcPr>
          <w:p w14:paraId="2CD564F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2EE8AF0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260745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4FF4A32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142F759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5BB064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D62869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93C33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6A264B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C1C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6B483AE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6E664669">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850" w:type="dxa"/>
            <w:noWrap w:val="0"/>
            <w:vAlign w:val="center"/>
          </w:tcPr>
          <w:p w14:paraId="16B6E1A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1D664E4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67ADF41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57BFAD0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7C02741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23556D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257041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8626F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2BA952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E58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5970E259">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restart"/>
            <w:noWrap w:val="0"/>
            <w:vAlign w:val="center"/>
          </w:tcPr>
          <w:p w14:paraId="23C87CBB">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0" w:type="dxa"/>
            <w:noWrap w:val="0"/>
            <w:vAlign w:val="center"/>
          </w:tcPr>
          <w:p w14:paraId="18D0EE0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1" w:type="dxa"/>
            <w:noWrap w:val="0"/>
            <w:vAlign w:val="center"/>
          </w:tcPr>
          <w:p w14:paraId="6038A29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850" w:type="dxa"/>
            <w:noWrap w:val="0"/>
            <w:vAlign w:val="center"/>
          </w:tcPr>
          <w:p w14:paraId="7659783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993" w:type="dxa"/>
            <w:noWrap w:val="0"/>
            <w:vAlign w:val="center"/>
          </w:tcPr>
          <w:p w14:paraId="0A4E202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22" w:type="dxa"/>
            <w:noWrap w:val="0"/>
            <w:vAlign w:val="center"/>
          </w:tcPr>
          <w:p w14:paraId="5EF1BF0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843" w:type="dxa"/>
            <w:vMerge w:val="restart"/>
            <w:noWrap w:val="0"/>
            <w:vAlign w:val="center"/>
          </w:tcPr>
          <w:p w14:paraId="6488C3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68A14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6FA1B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1987892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E75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6F19699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vMerge w:val="continue"/>
            <w:noWrap w:val="0"/>
            <w:vAlign w:val="center"/>
          </w:tcPr>
          <w:p w14:paraId="10CEB8DE">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850" w:type="dxa"/>
            <w:noWrap w:val="0"/>
            <w:vAlign w:val="center"/>
          </w:tcPr>
          <w:p w14:paraId="7E64D30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1" w:type="dxa"/>
            <w:noWrap w:val="0"/>
            <w:vAlign w:val="center"/>
          </w:tcPr>
          <w:p w14:paraId="4E7F460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850" w:type="dxa"/>
            <w:noWrap w:val="0"/>
            <w:vAlign w:val="center"/>
          </w:tcPr>
          <w:p w14:paraId="5575310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993" w:type="dxa"/>
            <w:noWrap w:val="0"/>
            <w:vAlign w:val="center"/>
          </w:tcPr>
          <w:p w14:paraId="0D7FDAF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22" w:type="dxa"/>
            <w:noWrap w:val="0"/>
            <w:vAlign w:val="center"/>
          </w:tcPr>
          <w:p w14:paraId="0DCA568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843" w:type="dxa"/>
            <w:vMerge w:val="continue"/>
            <w:noWrap w:val="0"/>
            <w:vAlign w:val="center"/>
          </w:tcPr>
          <w:p w14:paraId="6F9DDB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03AB00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C48E2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3BEA3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C0C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14" w:type="dxa"/>
            <w:vMerge w:val="continue"/>
            <w:noWrap w:val="0"/>
            <w:vAlign w:val="center"/>
          </w:tcPr>
          <w:p w14:paraId="450F535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noWrap w:val="0"/>
            <w:vAlign w:val="center"/>
          </w:tcPr>
          <w:p w14:paraId="0B9CEBF8">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0" w:type="dxa"/>
            <w:noWrap w:val="0"/>
            <w:vAlign w:val="center"/>
          </w:tcPr>
          <w:p w14:paraId="585629B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851" w:type="dxa"/>
            <w:noWrap w:val="0"/>
            <w:vAlign w:val="center"/>
          </w:tcPr>
          <w:p w14:paraId="4799775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850" w:type="dxa"/>
            <w:noWrap w:val="0"/>
            <w:vAlign w:val="center"/>
          </w:tcPr>
          <w:p w14:paraId="4011DBE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993" w:type="dxa"/>
            <w:noWrap w:val="0"/>
            <w:vAlign w:val="center"/>
          </w:tcPr>
          <w:p w14:paraId="5B3EEF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022" w:type="dxa"/>
            <w:noWrap w:val="0"/>
            <w:vAlign w:val="center"/>
          </w:tcPr>
          <w:p w14:paraId="06C38E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843" w:type="dxa"/>
            <w:noWrap w:val="0"/>
            <w:vAlign w:val="center"/>
          </w:tcPr>
          <w:p w14:paraId="4DA641B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03700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1E0557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068AF6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ADF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14" w:type="dxa"/>
            <w:vMerge w:val="continue"/>
            <w:noWrap w:val="0"/>
            <w:vAlign w:val="center"/>
          </w:tcPr>
          <w:p w14:paraId="303F511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85" w:type="dxa"/>
            <w:noWrap w:val="0"/>
            <w:vAlign w:val="center"/>
          </w:tcPr>
          <w:p w14:paraId="62B97F8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default" w:ascii="Calibri" w:hAnsi="Calibri" w:eastAsia="宋体" w:cs="Times New Roman"/>
                <w:color w:val="auto"/>
                <w:kern w:val="0"/>
                <w:highlight w:val="none"/>
              </w:rPr>
              <w:t>.........</w:t>
            </w:r>
          </w:p>
        </w:tc>
        <w:tc>
          <w:tcPr>
            <w:tcW w:w="850" w:type="dxa"/>
            <w:noWrap w:val="0"/>
            <w:vAlign w:val="center"/>
          </w:tcPr>
          <w:p w14:paraId="658875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1" w:type="dxa"/>
            <w:noWrap w:val="0"/>
            <w:vAlign w:val="center"/>
          </w:tcPr>
          <w:p w14:paraId="630E13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850" w:type="dxa"/>
            <w:noWrap w:val="0"/>
            <w:vAlign w:val="center"/>
          </w:tcPr>
          <w:p w14:paraId="2BEA37B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EF681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022" w:type="dxa"/>
            <w:noWrap w:val="0"/>
            <w:vAlign w:val="center"/>
          </w:tcPr>
          <w:p w14:paraId="1AA5CB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843" w:type="dxa"/>
            <w:noWrap w:val="0"/>
            <w:vAlign w:val="center"/>
          </w:tcPr>
          <w:p w14:paraId="56E81C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3333D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481BB0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0DE8F37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6ED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499" w:type="dxa"/>
            <w:gridSpan w:val="2"/>
            <w:noWrap w:val="0"/>
            <w:vAlign w:val="center"/>
          </w:tcPr>
          <w:p w14:paraId="184361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投标人技术建议书</w:t>
            </w:r>
          </w:p>
          <w:p w14:paraId="530152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总评分</w:t>
            </w:r>
            <w:r>
              <w:rPr>
                <w:rFonts w:hint="default" w:ascii="Calibri" w:hAnsi="Calibri" w:eastAsia="宋体" w:cs="Times New Roman"/>
                <w:color w:val="auto"/>
                <w:highlight w:val="none"/>
              </w:rPr>
              <w:t>结果</w:t>
            </w:r>
          </w:p>
        </w:tc>
        <w:tc>
          <w:tcPr>
            <w:tcW w:w="4566" w:type="dxa"/>
            <w:gridSpan w:val="5"/>
            <w:noWrap w:val="0"/>
            <w:vAlign w:val="center"/>
          </w:tcPr>
          <w:p w14:paraId="79B384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843" w:type="dxa"/>
            <w:noWrap w:val="0"/>
            <w:vAlign w:val="center"/>
          </w:tcPr>
          <w:p w14:paraId="1255D5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是否通过评审</w:t>
            </w:r>
          </w:p>
        </w:tc>
        <w:tc>
          <w:tcPr>
            <w:tcW w:w="3230" w:type="dxa"/>
            <w:gridSpan w:val="3"/>
            <w:noWrap w:val="0"/>
            <w:vAlign w:val="center"/>
          </w:tcPr>
          <w:p w14:paraId="0AA420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30E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499" w:type="dxa"/>
            <w:gridSpan w:val="2"/>
            <w:noWrap w:val="0"/>
            <w:vAlign w:val="center"/>
          </w:tcPr>
          <w:p w14:paraId="48141F4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lang w:bidi="ar"/>
              </w:rPr>
            </w:pPr>
            <w:r>
              <w:rPr>
                <w:rFonts w:hint="eastAsia" w:ascii="Calibri" w:hAnsi="Calibri" w:eastAsia="宋体" w:cs="宋体"/>
                <w:color w:val="auto"/>
                <w:sz w:val="18"/>
                <w:szCs w:val="18"/>
                <w:highlight w:val="none"/>
              </w:rPr>
              <w:t>投标人技术标加权平均得分</w:t>
            </w:r>
          </w:p>
        </w:tc>
        <w:tc>
          <w:tcPr>
            <w:tcW w:w="4566" w:type="dxa"/>
            <w:gridSpan w:val="5"/>
            <w:noWrap w:val="0"/>
            <w:vAlign w:val="center"/>
          </w:tcPr>
          <w:p w14:paraId="3397CF9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843" w:type="dxa"/>
            <w:noWrap w:val="0"/>
            <w:vAlign w:val="center"/>
          </w:tcPr>
          <w:p w14:paraId="6A850A80">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3230" w:type="dxa"/>
            <w:gridSpan w:val="3"/>
            <w:noWrap w:val="0"/>
            <w:vAlign w:val="center"/>
          </w:tcPr>
          <w:p w14:paraId="51765F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329F8149">
      <w:pPr>
        <w:rPr>
          <w:rFonts w:hint="eastAsia" w:eastAsia="楷体_GB2312"/>
          <w:color w:val="auto"/>
          <w:highlight w:val="none"/>
        </w:rPr>
      </w:pPr>
    </w:p>
    <w:p w14:paraId="3832C709">
      <w:pPr>
        <w:spacing w:after="240" w:afterLines="100"/>
        <w:rPr>
          <w:color w:val="auto"/>
          <w:highlight w:val="none"/>
        </w:rPr>
      </w:pPr>
      <w:r>
        <w:rPr>
          <w:rFonts w:hint="eastAsia" w:eastAsia="楷体_GB2312"/>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highlight w:val="none"/>
          <w:lang w:eastAsia="zh-CN"/>
        </w:rPr>
        <w:t>】</w:t>
      </w:r>
    </w:p>
    <w:p w14:paraId="712AE1EF">
      <w:pPr>
        <w:rPr>
          <w:rFonts w:eastAsia="楷体_GB2312"/>
          <w:color w:val="auto"/>
          <w:highlight w:val="none"/>
        </w:rPr>
      </w:pPr>
    </w:p>
    <w:p w14:paraId="4C575B10">
      <w:pPr>
        <w:spacing w:line="440" w:lineRule="exact"/>
        <w:rPr>
          <w:color w:val="auto"/>
          <w:highlight w:val="none"/>
        </w:rPr>
      </w:pPr>
    </w:p>
    <w:p w14:paraId="77180E33">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5E9D4806">
      <w:pPr>
        <w:spacing w:line="440" w:lineRule="exact"/>
        <w:rPr>
          <w:color w:val="auto"/>
          <w:highlight w:val="none"/>
        </w:rPr>
      </w:pPr>
    </w:p>
    <w:p w14:paraId="20F0C8D7">
      <w:pPr>
        <w:spacing w:line="440" w:lineRule="exact"/>
        <w:rPr>
          <w:rFonts w:hint="eastAsia"/>
          <w:color w:val="auto"/>
          <w:highlight w:val="none"/>
        </w:rPr>
      </w:pPr>
    </w:p>
    <w:p w14:paraId="1A987026">
      <w:pPr>
        <w:spacing w:after="240" w:afterLines="100"/>
        <w:rPr>
          <w:color w:val="auto"/>
          <w:highlight w:val="none"/>
        </w:rPr>
        <w:sectPr>
          <w:pgSz w:w="16840" w:h="11907" w:orient="landscape"/>
          <w:pgMar w:top="1440" w:right="1440" w:bottom="1440" w:left="1797" w:header="851" w:footer="851" w:gutter="0"/>
          <w:cols w:space="720" w:num="1"/>
          <w:docGrid w:linePitch="312" w:charSpace="0"/>
        </w:sectPr>
      </w:pPr>
    </w:p>
    <w:p w14:paraId="4D61D7EB">
      <w:pPr>
        <w:pStyle w:val="4"/>
        <w:spacing w:line="240" w:lineRule="auto"/>
        <w:rPr>
          <w:color w:val="auto"/>
          <w:sz w:val="28"/>
          <w:szCs w:val="28"/>
          <w:highlight w:val="none"/>
        </w:rPr>
      </w:pPr>
      <w:bookmarkStart w:id="935" w:name="_Toc902006463"/>
      <w:bookmarkStart w:id="936" w:name="_Toc886"/>
      <w:bookmarkStart w:id="937" w:name="_Toc9370"/>
      <w:bookmarkStart w:id="938" w:name="_Toc1745702597"/>
      <w:bookmarkStart w:id="939" w:name="_Toc78449769"/>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3</w:t>
      </w:r>
      <w:r>
        <w:rPr>
          <w:rFonts w:hint="eastAsia"/>
          <w:color w:val="auto"/>
          <w:sz w:val="28"/>
          <w:szCs w:val="28"/>
          <w:highlight w:val="none"/>
        </w:rPr>
        <w:t>：报价</w:t>
      </w:r>
      <w:r>
        <w:rPr>
          <w:color w:val="auto"/>
          <w:sz w:val="28"/>
          <w:szCs w:val="28"/>
          <w:highlight w:val="none"/>
        </w:rPr>
        <w:t>分</w:t>
      </w:r>
      <w:r>
        <w:rPr>
          <w:rFonts w:hint="eastAsia"/>
          <w:color w:val="auto"/>
          <w:sz w:val="28"/>
          <w:szCs w:val="28"/>
          <w:highlight w:val="none"/>
        </w:rPr>
        <w:t>评分记录表</w:t>
      </w:r>
      <w:bookmarkEnd w:id="935"/>
      <w:bookmarkEnd w:id="936"/>
      <w:bookmarkEnd w:id="937"/>
      <w:bookmarkEnd w:id="938"/>
      <w:bookmarkEnd w:id="939"/>
    </w:p>
    <w:p w14:paraId="5F9D8F09">
      <w:pPr>
        <w:jc w:val="center"/>
        <w:rPr>
          <w:color w:val="auto"/>
          <w:highlight w:val="none"/>
        </w:rPr>
      </w:pPr>
      <w:r>
        <w:rPr>
          <w:rFonts w:hint="eastAsia" w:eastAsia="黑体" w:cs="黑体"/>
          <w:color w:val="auto"/>
          <w:sz w:val="28"/>
          <w:szCs w:val="28"/>
          <w:highlight w:val="none"/>
        </w:rPr>
        <w:t>报价分评分记录表</w:t>
      </w:r>
    </w:p>
    <w:p w14:paraId="023CEE5D">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8"/>
        <w:gridCol w:w="919"/>
        <w:gridCol w:w="1116"/>
        <w:gridCol w:w="1272"/>
        <w:gridCol w:w="1278"/>
        <w:gridCol w:w="1290"/>
        <w:gridCol w:w="1584"/>
        <w:gridCol w:w="1524"/>
      </w:tblGrid>
      <w:tr w14:paraId="4DE0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208" w:type="dxa"/>
            <w:vMerge w:val="restart"/>
            <w:noWrap w:val="0"/>
            <w:vAlign w:val="center"/>
          </w:tcPr>
          <w:p w14:paraId="50BC17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w:t>
            </w:r>
          </w:p>
        </w:tc>
        <w:tc>
          <w:tcPr>
            <w:tcW w:w="8983" w:type="dxa"/>
            <w:gridSpan w:val="7"/>
            <w:noWrap w:val="0"/>
            <w:vAlign w:val="center"/>
          </w:tcPr>
          <w:p w14:paraId="757593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3BCA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208" w:type="dxa"/>
            <w:vMerge w:val="continue"/>
            <w:noWrap w:val="0"/>
            <w:vAlign w:val="center"/>
          </w:tcPr>
          <w:p w14:paraId="09D94D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19" w:type="dxa"/>
            <w:noWrap w:val="0"/>
            <w:vAlign w:val="center"/>
          </w:tcPr>
          <w:p w14:paraId="414E69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AC52F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8F00C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EBA80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EDD7B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246F5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5999D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AB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429E8CB9">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w:t>
            </w:r>
            <w:r>
              <w:rPr>
                <w:rFonts w:hint="eastAsia" w:ascii="Calibri" w:hAnsi="Calibri" w:eastAsia="宋体" w:cs="宋体"/>
                <w:color w:val="auto"/>
                <w:highlight w:val="none"/>
                <w:lang w:eastAsia="zh-CN"/>
              </w:rPr>
              <w:t>（万元）</w:t>
            </w:r>
          </w:p>
        </w:tc>
        <w:tc>
          <w:tcPr>
            <w:tcW w:w="919" w:type="dxa"/>
            <w:noWrap w:val="0"/>
            <w:vAlign w:val="center"/>
          </w:tcPr>
          <w:p w14:paraId="0C4830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CC048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53C1E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B40EC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DF005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AD6F1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E2A38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DC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AE3B022">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价是否有效</w:t>
            </w:r>
          </w:p>
        </w:tc>
        <w:tc>
          <w:tcPr>
            <w:tcW w:w="919" w:type="dxa"/>
            <w:noWrap w:val="0"/>
            <w:vAlign w:val="center"/>
          </w:tcPr>
          <w:p w14:paraId="066B25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026D4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61BB8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98976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D132A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48BF7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16C9D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81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4D020CAC">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已标价工程量清单评审是否合格</w:t>
            </w:r>
          </w:p>
        </w:tc>
        <w:tc>
          <w:tcPr>
            <w:tcW w:w="919" w:type="dxa"/>
            <w:noWrap w:val="0"/>
            <w:vAlign w:val="center"/>
          </w:tcPr>
          <w:p w14:paraId="16135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E01CB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80B0E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6E065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EE204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C5B84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D9CAE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8BE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2F4FC86E">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Times New Roman" w:hAnsi="Times New Roman" w:eastAsia="宋体" w:cs="宋体"/>
                <w:color w:val="auto"/>
                <w:highlight w:val="none"/>
                <w:shd w:val="clear" w:color="auto" w:fill="auto"/>
                <w:lang w:eastAsia="zh-CN"/>
              </w:rPr>
              <w:t>是否</w:t>
            </w:r>
            <w:r>
              <w:rPr>
                <w:rFonts w:hint="eastAsia" w:ascii="Times New Roman" w:hAnsi="Times New Roman" w:eastAsia="宋体" w:cs="宋体"/>
                <w:color w:val="auto"/>
                <w:highlight w:val="none"/>
                <w:shd w:val="clear" w:color="auto" w:fill="auto"/>
              </w:rPr>
              <w:t>参与评标基准价计算</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w:t>
            </w:r>
            <w:r>
              <w:rPr>
                <w:rFonts w:hint="eastAsia" w:ascii="Times New Roman" w:hAnsi="Times New Roman" w:eastAsia="宋体" w:cs="宋体"/>
                <w:color w:val="auto"/>
                <w:highlight w:val="none"/>
                <w:shd w:val="clear" w:color="auto" w:fill="auto"/>
                <w:lang w:val="en-US" w:eastAsia="zh-CN"/>
              </w:rPr>
              <w:t>80</w:t>
            </w:r>
            <w:r>
              <w:rPr>
                <w:rFonts w:hint="eastAsia" w:ascii="Times New Roman" w:hAnsi="Times New Roman" w:eastAsia="宋体" w:cs="宋体"/>
                <w:color w:val="auto"/>
                <w:highlight w:val="none"/>
                <w:shd w:val="clear" w:color="auto" w:fill="auto"/>
              </w:rPr>
              <w:t>%的有效报价</w:t>
            </w:r>
            <w:r>
              <w:rPr>
                <w:rFonts w:hint="eastAsia" w:ascii="Times New Roman" w:hAnsi="Times New Roman" w:eastAsia="宋体" w:cs="宋体"/>
                <w:color w:val="auto"/>
                <w:highlight w:val="none"/>
                <w:shd w:val="clear" w:color="auto" w:fill="auto"/>
                <w:lang w:eastAsia="zh-CN"/>
              </w:rPr>
              <w:t>）</w:t>
            </w:r>
          </w:p>
        </w:tc>
        <w:tc>
          <w:tcPr>
            <w:tcW w:w="919" w:type="dxa"/>
            <w:noWrap w:val="0"/>
            <w:vAlign w:val="center"/>
          </w:tcPr>
          <w:p w14:paraId="2677EA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1393D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66EC1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12E5D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3F1CC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82834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74FA9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B5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20E7043">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default" w:ascii="Times New Roman" w:hAnsi="Times New Roman" w:eastAsia="宋体" w:cs="宋体"/>
                <w:color w:val="auto"/>
                <w:highlight w:val="none"/>
                <w:shd w:val="clear" w:color="auto" w:fill="auto"/>
              </w:rPr>
              <w:t>评标基准价P</w:t>
            </w:r>
          </w:p>
        </w:tc>
        <w:tc>
          <w:tcPr>
            <w:tcW w:w="919" w:type="dxa"/>
            <w:noWrap w:val="0"/>
            <w:vAlign w:val="center"/>
          </w:tcPr>
          <w:p w14:paraId="2EDBEE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65D80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0A6D5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B5FAA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87916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07402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E7E93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0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33C6E1BD">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cs="宋体"/>
                <w:color w:val="auto"/>
                <w:highlight w:val="none"/>
                <w:shd w:val="clear" w:color="auto" w:fill="auto"/>
                <w:lang w:val="en-US" w:eastAsia="zh-CN"/>
              </w:rPr>
              <w:t>1.</w:t>
            </w:r>
            <w:r>
              <w:rPr>
                <w:rFonts w:hint="default" w:ascii="Calibri" w:hAnsi="Calibri" w:eastAsia="宋体" w:cs="宋体"/>
                <w:color w:val="auto"/>
                <w:highlight w:val="none"/>
                <w:shd w:val="clear" w:color="auto" w:fill="auto"/>
              </w:rPr>
              <w:t>总报价得分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1=85分-1.1-1.2）</w:t>
            </w:r>
          </w:p>
        </w:tc>
        <w:tc>
          <w:tcPr>
            <w:tcW w:w="919" w:type="dxa"/>
            <w:noWrap w:val="0"/>
            <w:vAlign w:val="center"/>
          </w:tcPr>
          <w:p w14:paraId="21AE76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7E1AA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62DA5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20B1D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B6568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71C9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1DED8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E8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D8F53AB">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1.1</w:t>
            </w:r>
            <w:r>
              <w:rPr>
                <w:rFonts w:hint="eastAsia" w:ascii="Calibri" w:hAnsi="Calibri" w:eastAsia="宋体" w:cs="宋体"/>
                <w:color w:val="auto"/>
                <w:highlight w:val="none"/>
                <w:shd w:val="clear" w:color="auto" w:fill="auto"/>
                <w:lang w:eastAsia="zh-CN"/>
              </w:rPr>
              <w:t>总报价</w:t>
            </w:r>
            <w:r>
              <w:rPr>
                <w:rFonts w:hint="eastAsia" w:ascii="Times New Roman" w:hAnsi="Times New Roman" w:eastAsia="宋体" w:cs="宋体"/>
                <w:color w:val="auto"/>
                <w:highlight w:val="none"/>
                <w:shd w:val="clear" w:color="auto" w:fill="auto"/>
                <w:lang w:eastAsia="zh-CN"/>
              </w:rPr>
              <w:t>扣分</w:t>
            </w:r>
          </w:p>
        </w:tc>
        <w:tc>
          <w:tcPr>
            <w:tcW w:w="919" w:type="dxa"/>
            <w:noWrap w:val="0"/>
            <w:vAlign w:val="center"/>
          </w:tcPr>
          <w:p w14:paraId="1A0049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7B7E1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5D70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AA30C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FE562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39559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674A2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18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086D21F">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1.2</w:t>
            </w:r>
            <w:r>
              <w:rPr>
                <w:rFonts w:hint="eastAsia" w:ascii="Calibri" w:hAnsi="Calibri" w:eastAsia="宋体" w:cs="宋体"/>
                <w:color w:val="auto"/>
                <w:highlight w:val="none"/>
                <w:shd w:val="clear" w:color="auto" w:fill="auto"/>
              </w:rPr>
              <w:t>算术错误</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3EED40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DD1A1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F6987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18659F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2A1D6C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EDA60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FDF0F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68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B030092">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val="en-US" w:eastAsia="zh-CN"/>
              </w:rPr>
            </w:pPr>
            <w:r>
              <w:rPr>
                <w:rFonts w:hint="eastAsia" w:ascii="Calibri" w:hAnsi="Calibri" w:cs="宋体"/>
                <w:color w:val="auto"/>
                <w:highlight w:val="none"/>
                <w:shd w:val="clear" w:color="auto" w:fill="auto"/>
                <w:lang w:val="en-US" w:eastAsia="zh-CN"/>
              </w:rPr>
              <w:t>2.</w:t>
            </w: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lang w:val="en-US" w:eastAsia="zh-CN"/>
              </w:rPr>
              <w:t>1</w:t>
            </w:r>
            <w:r>
              <w:rPr>
                <w:rFonts w:hint="eastAsia" w:ascii="Calibri" w:hAnsi="Calibri" w:eastAsia="宋体" w:cs="宋体"/>
                <w:color w:val="auto"/>
                <w:highlight w:val="none"/>
                <w:shd w:val="clear" w:color="auto" w:fill="auto"/>
              </w:rPr>
              <w:t>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2=15分-2.1-2.2-2.3）</w:t>
            </w:r>
          </w:p>
        </w:tc>
        <w:tc>
          <w:tcPr>
            <w:tcW w:w="919" w:type="dxa"/>
            <w:noWrap w:val="0"/>
            <w:vAlign w:val="center"/>
          </w:tcPr>
          <w:p w14:paraId="4393BE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4BF5B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CF1FC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F544E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A9965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E5F77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86AFA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7BC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6BB5790D">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lang w:val="en-US" w:eastAsia="zh-CN"/>
              </w:rPr>
              <w:t>2.1</w:t>
            </w:r>
            <w:r>
              <w:rPr>
                <w:rFonts w:hint="eastAsia" w:ascii="Calibri" w:hAnsi="Calibri" w:eastAsia="宋体" w:cs="宋体"/>
                <w:color w:val="auto"/>
                <w:highlight w:val="none"/>
                <w:shd w:val="clear" w:color="auto" w:fill="auto"/>
              </w:rPr>
              <w:t>工程量清单中主要项目</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44B01F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AEA13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E2039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10350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46059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67BE7E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F5768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E5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521643C8">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val="en-US" w:eastAsia="zh-CN"/>
              </w:rPr>
              <w:t>2.2</w:t>
            </w:r>
            <w:r>
              <w:rPr>
                <w:rFonts w:hint="eastAsia" w:ascii="Calibri" w:hAnsi="Calibri" w:eastAsia="宋体" w:cs="宋体"/>
                <w:color w:val="auto"/>
                <w:highlight w:val="none"/>
                <w:shd w:val="clear" w:color="auto" w:fill="auto"/>
              </w:rPr>
              <w:t>投标项目单价超过公布控制单价</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74D434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221AD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C5A84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A2E41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B4CA2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2FDAE6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4CEA9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95D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369CDDC7">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lang w:val="en-US" w:eastAsia="zh-CN"/>
              </w:rPr>
              <w:t>2.3</w:t>
            </w:r>
            <w:r>
              <w:rPr>
                <w:rFonts w:hint="eastAsia" w:ascii="Calibri" w:hAnsi="Calibri" w:eastAsia="宋体" w:cs="宋体"/>
                <w:color w:val="auto"/>
                <w:highlight w:val="none"/>
                <w:shd w:val="clear" w:color="auto" w:fill="auto"/>
              </w:rPr>
              <w:t>已标价的《工程量清单报价表》中引用的单价与单价分析表不符</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197F73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4BBC90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00949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29350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554DB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D4898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5B674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4CC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11435E92">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eastAsia="zh-CN"/>
              </w:rPr>
              <w:t>3.</w:t>
            </w:r>
            <w:r>
              <w:rPr>
                <w:rFonts w:hint="eastAsia" w:ascii="Calibri" w:hAnsi="Calibri" w:eastAsia="宋体" w:cs="宋体"/>
                <w:b w:val="0"/>
                <w:bCs w:val="0"/>
                <w:color w:val="auto"/>
                <w:highlight w:val="none"/>
                <w:shd w:val="clear" w:color="auto" w:fill="auto"/>
              </w:rPr>
              <w:t>价格得分</w:t>
            </w:r>
            <w:r>
              <w:rPr>
                <w:rFonts w:hint="eastAsia" w:ascii="Calibri" w:hAnsi="Calibri" w:eastAsia="宋体" w:cs="宋体"/>
                <w:color w:val="auto"/>
                <w:highlight w:val="none"/>
              </w:rPr>
              <w:t>（满分100分）</w:t>
            </w:r>
            <w:r>
              <w:rPr>
                <w:rFonts w:hint="eastAsia" w:ascii="Calibri" w:hAnsi="Calibri" w:eastAsia="宋体" w:cs="宋体"/>
                <w:color w:val="auto"/>
                <w:highlight w:val="none"/>
                <w:lang w:val="en-US" w:eastAsia="zh-CN"/>
              </w:rPr>
              <w:t>=1+2</w:t>
            </w:r>
          </w:p>
        </w:tc>
        <w:tc>
          <w:tcPr>
            <w:tcW w:w="919" w:type="dxa"/>
            <w:noWrap w:val="0"/>
            <w:vAlign w:val="center"/>
          </w:tcPr>
          <w:p w14:paraId="14464F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82104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9212F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49D22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3FB13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6D3802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7C836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04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3998D1E5">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 w:eastAsia="zh-CN"/>
              </w:rPr>
            </w:pPr>
            <w:r>
              <w:rPr>
                <w:rFonts w:hint="eastAsia" w:ascii="Calibri" w:hAnsi="Calibri" w:cs="Times New Roman"/>
                <w:color w:val="auto"/>
                <w:highlight w:val="none"/>
                <w:lang w:eastAsia="zh-CN"/>
              </w:rPr>
              <w:t>4.</w:t>
            </w:r>
            <w:r>
              <w:rPr>
                <w:rFonts w:hint="eastAsia" w:ascii="Calibri" w:hAnsi="Calibri" w:eastAsia="宋体" w:cs="Times New Roman"/>
                <w:color w:val="auto"/>
                <w:highlight w:val="none"/>
              </w:rPr>
              <w:t>报价分加权得分</w:t>
            </w:r>
            <w:r>
              <w:rPr>
                <w:rFonts w:hint="eastAsia" w:ascii="Calibri" w:hAnsi="Calibri" w:eastAsia="宋体" w:cs="Times New Roman"/>
                <w:color w:val="auto"/>
                <w:highlight w:val="none"/>
                <w:lang w:val="en-US" w:eastAsia="zh-CN"/>
              </w:rPr>
              <w:t>=3</w:t>
            </w:r>
            <w:r>
              <w:rPr>
                <w:rFonts w:hint="default" w:ascii="Calibri" w:hAnsi="Calibri" w:eastAsia="宋体" w:cs="Times New Roman"/>
                <w:color w:val="auto"/>
                <w:highlight w:val="none"/>
                <w:lang w:val="en" w:eastAsia="zh-CN"/>
              </w:rPr>
              <w:t>x</w:t>
            </w:r>
            <w:r>
              <w:rPr>
                <w:rFonts w:hint="eastAsia" w:ascii="Calibri" w:hAnsi="Calibri" w:eastAsia="宋体" w:cs="Times New Roman"/>
                <w:color w:val="auto"/>
                <w:highlight w:val="none"/>
                <w:lang w:val="en" w:eastAsia="zh-CN"/>
              </w:rPr>
              <w:t>权重</w:t>
            </w:r>
          </w:p>
        </w:tc>
        <w:tc>
          <w:tcPr>
            <w:tcW w:w="919" w:type="dxa"/>
            <w:noWrap w:val="0"/>
            <w:vAlign w:val="center"/>
          </w:tcPr>
          <w:p w14:paraId="1DEB4A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15054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7EFEC5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26F57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60F21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CFAA0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ABEA4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28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13150B72">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5.</w:t>
            </w:r>
            <w:r>
              <w:rPr>
                <w:rFonts w:hint="eastAsia" w:ascii="Calibri" w:hAnsi="Calibri" w:eastAsia="宋体" w:cs="Times New Roman"/>
                <w:color w:val="auto"/>
                <w:highlight w:val="none"/>
              </w:rPr>
              <w:t>小微企业或残疾人或监狱企业加分（如有）</w:t>
            </w:r>
          </w:p>
        </w:tc>
        <w:tc>
          <w:tcPr>
            <w:tcW w:w="919" w:type="dxa"/>
            <w:noWrap w:val="0"/>
            <w:vAlign w:val="center"/>
          </w:tcPr>
          <w:p w14:paraId="7C0434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03A52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466B6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E87FA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8E9A6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2B2B1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AB739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F9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770760B2">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6.</w:t>
            </w:r>
            <w:r>
              <w:rPr>
                <w:rFonts w:hint="eastAsia" w:ascii="Calibri" w:hAnsi="Calibri" w:eastAsia="宋体" w:cs="Times New Roman"/>
                <w:color w:val="auto"/>
                <w:highlight w:val="none"/>
              </w:rPr>
              <w:t>报价最后得分=4+5</w:t>
            </w:r>
          </w:p>
        </w:tc>
        <w:tc>
          <w:tcPr>
            <w:tcW w:w="919" w:type="dxa"/>
            <w:noWrap w:val="0"/>
            <w:vAlign w:val="center"/>
          </w:tcPr>
          <w:p w14:paraId="496EE4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25AC4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0BDF1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3F8A3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86AAA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083D8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6C9C56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A2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5A4F8E69">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（如有）</w:t>
            </w:r>
          </w:p>
        </w:tc>
        <w:tc>
          <w:tcPr>
            <w:tcW w:w="4585" w:type="dxa"/>
            <w:gridSpan w:val="4"/>
            <w:noWrap w:val="0"/>
            <w:vAlign w:val="center"/>
          </w:tcPr>
          <w:p w14:paraId="658AD0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398" w:type="dxa"/>
            <w:gridSpan w:val="3"/>
            <w:noWrap w:val="0"/>
            <w:vAlign w:val="center"/>
          </w:tcPr>
          <w:p w14:paraId="75FC1F0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r>
      <w:tr w14:paraId="6DB7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91" w:type="dxa"/>
            <w:gridSpan w:val="8"/>
            <w:noWrap w:val="0"/>
            <w:vAlign w:val="center"/>
          </w:tcPr>
          <w:p w14:paraId="5EAED7FC">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2091A9A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 xml:space="preserve">报价分加权得分 = </w:t>
            </w:r>
            <w:r>
              <w:rPr>
                <w:rFonts w:hint="eastAsia" w:ascii="Calibri" w:hAnsi="Calibri" w:eastAsia="宋体" w:cs="宋体"/>
                <w:b w:val="0"/>
                <w:bCs w:val="0"/>
                <w:color w:val="auto"/>
                <w:highlight w:val="none"/>
                <w:shd w:val="clear" w:color="auto" w:fill="auto"/>
              </w:rPr>
              <w:t>价格</w:t>
            </w:r>
            <w:r>
              <w:rPr>
                <w:rFonts w:hint="eastAsia" w:ascii="Calibri" w:hAnsi="Calibri" w:eastAsia="宋体" w:cs="宋体"/>
                <w:color w:val="auto"/>
                <w:highlight w:val="none"/>
              </w:rPr>
              <w:t>得分×</w:t>
            </w:r>
            <w:r>
              <w:rPr>
                <w:rFonts w:hint="eastAsia" w:ascii="宋体" w:hAnsi="宋体" w:eastAsia="宋体" w:cs="宋体"/>
                <w:color w:val="auto"/>
                <w:highlight w:val="none"/>
              </w:rPr>
              <w:t>报价分分值权重        报价</w:t>
            </w:r>
            <w:r>
              <w:rPr>
                <w:rFonts w:hint="eastAsia" w:ascii="Calibri" w:hAnsi="Calibri" w:eastAsia="宋体" w:cs="Times New Roman"/>
                <w:color w:val="auto"/>
                <w:highlight w:val="none"/>
              </w:rPr>
              <w:t>最后</w:t>
            </w:r>
            <w:r>
              <w:rPr>
                <w:rFonts w:hint="eastAsia" w:ascii="宋体" w:hAnsi="宋体" w:eastAsia="宋体" w:cs="宋体"/>
                <w:color w:val="auto"/>
                <w:highlight w:val="none"/>
              </w:rPr>
              <w:t>得分=</w:t>
            </w:r>
            <w:r>
              <w:rPr>
                <w:rFonts w:hint="eastAsia" w:ascii="Calibri" w:hAnsi="Calibri" w:eastAsia="宋体" w:cs="宋体"/>
                <w:color w:val="auto"/>
                <w:highlight w:val="none"/>
              </w:rPr>
              <w:t>报价分加权得分+小微企业或残疾人或监狱企业加分（如有）</w:t>
            </w:r>
          </w:p>
        </w:tc>
      </w:tr>
    </w:tbl>
    <w:p w14:paraId="26D60B53">
      <w:pPr>
        <w:rPr>
          <w:color w:val="auto"/>
          <w:highlight w:val="none"/>
        </w:rPr>
      </w:pPr>
      <w:r>
        <w:rPr>
          <w:rFonts w:hint="eastAsia" w:eastAsia="楷体_GB2312" w:cs="楷体_GB2312"/>
          <w:color w:val="auto"/>
          <w:highlight w:val="none"/>
        </w:rPr>
        <w:t>【备注：本表可根据评分办法的需要进行调整。投标报价单位：人民币元</w:t>
      </w:r>
      <w:r>
        <w:rPr>
          <w:rFonts w:hint="eastAsia" w:eastAsia="楷体_GB2312" w:cs="楷体_GB2312"/>
          <w:color w:val="auto"/>
          <w:highlight w:val="none"/>
          <w:lang w:eastAsia="zh-CN"/>
        </w:rPr>
        <w:t>】</w:t>
      </w:r>
    </w:p>
    <w:p w14:paraId="0CE71286">
      <w:pPr>
        <w:spacing w:line="360" w:lineRule="auto"/>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p>
    <w:p w14:paraId="0914F1FB">
      <w:pPr>
        <w:spacing w:line="360" w:lineRule="auto"/>
        <w:rPr>
          <w:color w:val="auto"/>
          <w:highlight w:val="none"/>
        </w:rPr>
      </w:pPr>
    </w:p>
    <w:p w14:paraId="468C38CF">
      <w:pPr>
        <w:pStyle w:val="4"/>
        <w:spacing w:line="240" w:lineRule="auto"/>
        <w:rPr>
          <w:rFonts w:hint="eastAsia" w:cs="宋体"/>
          <w:b w:val="0"/>
          <w:bCs w:val="0"/>
          <w:color w:val="auto"/>
          <w:highlight w:val="none"/>
        </w:rPr>
      </w:pPr>
      <w:r>
        <w:rPr>
          <w:color w:val="auto"/>
          <w:highlight w:val="none"/>
        </w:rPr>
        <w:br w:type="page"/>
      </w:r>
      <w:bookmarkStart w:id="940" w:name="_Toc78449770"/>
      <w:bookmarkStart w:id="941" w:name="_Toc1029795877"/>
      <w:bookmarkStart w:id="942" w:name="_Toc1833"/>
      <w:bookmarkStart w:id="943" w:name="_Toc1012718793"/>
      <w:bookmarkStart w:id="944" w:name="_Toc1076"/>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4</w:t>
      </w:r>
      <w:r>
        <w:rPr>
          <w:rFonts w:hint="eastAsia"/>
          <w:color w:val="auto"/>
          <w:sz w:val="28"/>
          <w:szCs w:val="28"/>
          <w:highlight w:val="none"/>
        </w:rPr>
        <w:t>：企业信誉实力评分记录表</w:t>
      </w:r>
      <w:bookmarkEnd w:id="940"/>
      <w:bookmarkEnd w:id="941"/>
      <w:bookmarkEnd w:id="942"/>
      <w:bookmarkEnd w:id="943"/>
      <w:bookmarkEnd w:id="944"/>
    </w:p>
    <w:p w14:paraId="573D8E14">
      <w:pPr>
        <w:spacing w:line="440" w:lineRule="exact"/>
        <w:rPr>
          <w:rFonts w:hint="eastAsia" w:cs="宋体"/>
          <w:b/>
          <w:bCs/>
          <w:color w:val="auto"/>
          <w:highlight w:val="none"/>
        </w:rPr>
      </w:pPr>
    </w:p>
    <w:p w14:paraId="11F45CD6">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0127E94D">
      <w:pPr>
        <w:spacing w:after="72" w:afterLines="30" w:line="440" w:lineRule="exact"/>
        <w:rPr>
          <w:rFonts w:hint="eastAsia" w:cs="宋体"/>
          <w:color w:val="auto"/>
          <w:highlight w:val="none"/>
        </w:rPr>
      </w:pPr>
    </w:p>
    <w:p w14:paraId="2B1D267C">
      <w:pPr>
        <w:spacing w:after="72" w:afterLines="30" w:line="440" w:lineRule="exact"/>
        <w:rPr>
          <w:rFonts w:hint="eastAsia" w:cs="宋体"/>
          <w:color w:val="auto"/>
          <w:highlight w:val="none"/>
        </w:rPr>
      </w:pPr>
    </w:p>
    <w:p w14:paraId="222991A2">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304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6B325C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7074A8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66D21D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24DA02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7A55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096F5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0C7F9A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394F65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44C7C7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1DFDB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A29EF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6BD65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FC755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78E1A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F13BE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24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86EBAC5">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02EFC2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682A71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F8AAE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D8DCC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1D8A9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83B34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4C915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E590B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EB6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9B0B3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276417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78C113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3DAF3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F5226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0376B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B1A0F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9117A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8F11A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7F0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5E4F3C04">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诚信综合评价分（百分制）×企业信誉实力分分值权重（20%）</w:t>
            </w:r>
          </w:p>
        </w:tc>
      </w:tr>
    </w:tbl>
    <w:p w14:paraId="3C9A2F45">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26595D44">
      <w:pPr>
        <w:spacing w:line="440" w:lineRule="exact"/>
        <w:rPr>
          <w:color w:val="auto"/>
          <w:highlight w:val="none"/>
        </w:rPr>
      </w:pPr>
    </w:p>
    <w:p w14:paraId="4DD6A0FE">
      <w:pPr>
        <w:spacing w:line="440" w:lineRule="exact"/>
        <w:rPr>
          <w:color w:val="auto"/>
          <w:highlight w:val="none"/>
        </w:rPr>
      </w:pPr>
    </w:p>
    <w:p w14:paraId="51B8C1C6">
      <w:pPr>
        <w:pStyle w:val="4"/>
        <w:spacing w:line="240" w:lineRule="auto"/>
        <w:rPr>
          <w:color w:val="auto"/>
          <w:highlight w:val="none"/>
        </w:rPr>
      </w:pPr>
      <w:r>
        <w:rPr>
          <w:color w:val="auto"/>
          <w:highlight w:val="none"/>
        </w:rPr>
        <w:br w:type="page"/>
      </w:r>
      <w:bookmarkStart w:id="945" w:name="_Toc1537713619"/>
      <w:bookmarkStart w:id="946" w:name="_Toc32146"/>
      <w:bookmarkStart w:id="947" w:name="_Toc1133"/>
      <w:bookmarkStart w:id="948" w:name="_Toc78449771"/>
      <w:bookmarkStart w:id="949" w:name="_Toc906496380"/>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4</w:t>
      </w:r>
      <w:r>
        <w:rPr>
          <w:rFonts w:hint="eastAsia"/>
          <w:color w:val="auto"/>
          <w:sz w:val="28"/>
          <w:szCs w:val="28"/>
          <w:highlight w:val="none"/>
        </w:rPr>
        <w:t>：企业信誉实力评分记录表</w:t>
      </w:r>
      <w:bookmarkEnd w:id="945"/>
      <w:bookmarkEnd w:id="946"/>
      <w:bookmarkEnd w:id="947"/>
      <w:bookmarkEnd w:id="948"/>
      <w:bookmarkEnd w:id="949"/>
    </w:p>
    <w:p w14:paraId="111349BC">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6989C3FA">
      <w:pPr>
        <w:jc w:val="center"/>
        <w:rPr>
          <w:rFonts w:hint="eastAsia" w:eastAsia="黑体" w:cs="黑体"/>
          <w:color w:val="auto"/>
          <w:sz w:val="28"/>
          <w:szCs w:val="28"/>
          <w:highlight w:val="none"/>
        </w:rPr>
      </w:pPr>
    </w:p>
    <w:p w14:paraId="6CF80D9F">
      <w:pPr>
        <w:jc w:val="center"/>
        <w:rPr>
          <w:rFonts w:hint="eastAsia" w:eastAsia="黑体" w:cs="黑体"/>
          <w:color w:val="auto"/>
          <w:sz w:val="28"/>
          <w:szCs w:val="28"/>
          <w:highlight w:val="none"/>
        </w:rPr>
      </w:pPr>
    </w:p>
    <w:p w14:paraId="1BF588D7">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4D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113BF4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506A57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3FF92A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5520CF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2E87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28E1DE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6213A9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1B0643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73B437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30E72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43A4B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7D682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07027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D9AA0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72C51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E16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5014A01">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0" w:type="dxa"/>
            <w:noWrap w:val="0"/>
            <w:vAlign w:val="center"/>
          </w:tcPr>
          <w:p w14:paraId="2E680F5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7DDF2D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C0033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FDF01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5E685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A083B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BD909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8C46B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0B0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17E5802E">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0" w:type="dxa"/>
            <w:noWrap w:val="0"/>
            <w:vAlign w:val="center"/>
          </w:tcPr>
          <w:p w14:paraId="2B4DA1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21FA1D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2A93B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0750D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97162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CDD21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F794D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34FBD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B87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1B74CC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7B1FCC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6F70F5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E6343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08DE3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4C93B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DB39D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33158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1DF9A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57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203AB6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1亿元以上取50%-100%，1亿元以下取40%-100%）×企业信誉实力分分值权重（20%）+根据实时公布的设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1亿元以上取50%-0%，1亿元以下取60%-0%）×企业信誉实力分分值权重（20%）</w:t>
            </w:r>
          </w:p>
        </w:tc>
      </w:tr>
    </w:tbl>
    <w:p w14:paraId="2977D633">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35F58E4">
      <w:pPr>
        <w:spacing w:line="440" w:lineRule="exact"/>
        <w:rPr>
          <w:color w:val="auto"/>
          <w:highlight w:val="none"/>
        </w:rPr>
      </w:pPr>
    </w:p>
    <w:p w14:paraId="4A91FFF9">
      <w:pPr>
        <w:pStyle w:val="4"/>
        <w:spacing w:line="240" w:lineRule="auto"/>
        <w:rPr>
          <w:color w:val="auto"/>
          <w:sz w:val="24"/>
          <w:szCs w:val="24"/>
          <w:highlight w:val="none"/>
        </w:rPr>
      </w:pPr>
      <w:r>
        <w:rPr>
          <w:color w:val="auto"/>
          <w:highlight w:val="none"/>
        </w:rPr>
        <w:br w:type="page"/>
      </w:r>
      <w:bookmarkStart w:id="950" w:name="_Toc8120"/>
      <w:bookmarkStart w:id="951" w:name="_Toc1848225375"/>
      <w:bookmarkStart w:id="952" w:name="_Toc1491831473"/>
      <w:bookmarkStart w:id="953" w:name="_Toc28263"/>
      <w:bookmarkStart w:id="954" w:name="_Toc78449772"/>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：评标结果汇总表</w:t>
      </w:r>
      <w:bookmarkEnd w:id="950"/>
      <w:bookmarkEnd w:id="951"/>
      <w:bookmarkEnd w:id="952"/>
      <w:bookmarkEnd w:id="953"/>
      <w:bookmarkEnd w:id="954"/>
    </w:p>
    <w:p w14:paraId="24386E10">
      <w:pPr>
        <w:jc w:val="center"/>
        <w:rPr>
          <w:color w:val="auto"/>
          <w:sz w:val="28"/>
          <w:szCs w:val="28"/>
          <w:highlight w:val="none"/>
        </w:rPr>
      </w:pPr>
      <w:r>
        <w:rPr>
          <w:rFonts w:hint="eastAsia" w:eastAsia="黑体" w:cs="黑体"/>
          <w:color w:val="auto"/>
          <w:sz w:val="28"/>
          <w:szCs w:val="28"/>
          <w:highlight w:val="none"/>
        </w:rPr>
        <w:t>评标结果汇总表</w:t>
      </w:r>
    </w:p>
    <w:p w14:paraId="0B1E6A3A">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u w:val="single"/>
        </w:rPr>
        <w:t xml:space="preserve">      </w:t>
      </w:r>
      <w:r>
        <w:rPr>
          <w:rFonts w:hint="eastAsia" w:cs="宋体"/>
          <w:color w:val="auto"/>
          <w:highlight w:val="none"/>
        </w:rPr>
        <w:t>年</w:t>
      </w:r>
      <w:r>
        <w:rPr>
          <w:color w:val="auto"/>
          <w:highlight w:val="none"/>
        </w:rPr>
        <w:t xml:space="preserve"> </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0"/>
        <w:gridCol w:w="863"/>
        <w:gridCol w:w="956"/>
        <w:gridCol w:w="938"/>
        <w:gridCol w:w="750"/>
        <w:gridCol w:w="806"/>
        <w:gridCol w:w="1594"/>
        <w:gridCol w:w="1031"/>
        <w:gridCol w:w="1575"/>
        <w:gridCol w:w="1481"/>
        <w:gridCol w:w="681"/>
      </w:tblGrid>
      <w:tr w14:paraId="2F40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restart"/>
            <w:noWrap w:val="0"/>
            <w:vAlign w:val="center"/>
          </w:tcPr>
          <w:p w14:paraId="7A3033CE">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序号</w:t>
            </w:r>
          </w:p>
        </w:tc>
        <w:tc>
          <w:tcPr>
            <w:tcW w:w="2220" w:type="dxa"/>
            <w:vMerge w:val="restart"/>
            <w:noWrap w:val="0"/>
            <w:vAlign w:val="center"/>
          </w:tcPr>
          <w:p w14:paraId="4743392D">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投标人名称</w:t>
            </w:r>
          </w:p>
        </w:tc>
        <w:tc>
          <w:tcPr>
            <w:tcW w:w="863" w:type="dxa"/>
            <w:vMerge w:val="restart"/>
            <w:noWrap w:val="0"/>
            <w:vAlign w:val="center"/>
          </w:tcPr>
          <w:p w14:paraId="347539A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投标</w:t>
            </w:r>
          </w:p>
          <w:p w14:paraId="430FBBB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总价（元）</w:t>
            </w:r>
          </w:p>
        </w:tc>
        <w:tc>
          <w:tcPr>
            <w:tcW w:w="2644" w:type="dxa"/>
            <w:gridSpan w:val="3"/>
            <w:vMerge w:val="restart"/>
            <w:noWrap w:val="0"/>
            <w:vAlign w:val="center"/>
          </w:tcPr>
          <w:p w14:paraId="6CEBFF11">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初步评审</w:t>
            </w:r>
          </w:p>
        </w:tc>
        <w:tc>
          <w:tcPr>
            <w:tcW w:w="5006" w:type="dxa"/>
            <w:gridSpan w:val="4"/>
            <w:noWrap w:val="0"/>
            <w:vAlign w:val="center"/>
          </w:tcPr>
          <w:p w14:paraId="3BAA46B9">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详细评审</w:t>
            </w:r>
          </w:p>
        </w:tc>
        <w:tc>
          <w:tcPr>
            <w:tcW w:w="1481" w:type="dxa"/>
            <w:vMerge w:val="restart"/>
            <w:noWrap w:val="0"/>
            <w:vAlign w:val="center"/>
          </w:tcPr>
          <w:p w14:paraId="6E6850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shd w:val="clear" w:color="auto" w:fill="auto"/>
              </w:rPr>
              <w:t>投标人汇</w:t>
            </w:r>
            <w:r>
              <w:rPr>
                <w:rFonts w:hint="eastAsia" w:ascii="Calibri" w:hAnsi="Calibri" w:eastAsia="宋体" w:cs="宋体"/>
                <w:color w:val="auto"/>
                <w:highlight w:val="none"/>
              </w:rPr>
              <w:t>总得分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 xml:space="preserve"> 技术标加权得分 </w:t>
            </w:r>
            <w:r>
              <w:rPr>
                <w:rFonts w:hint="default" w:ascii="Calibri" w:hAnsi="Calibri" w:eastAsia="宋体" w:cs="Times New Roman"/>
                <w:color w:val="auto"/>
                <w:highlight w:val="none"/>
                <w:shd w:val="clear" w:color="auto" w:fill="auto"/>
              </w:rPr>
              <w:t>+</w:t>
            </w:r>
            <w:r>
              <w:rPr>
                <w:rFonts w:hint="eastAsia" w:ascii="Calibri" w:hAnsi="Calibri" w:eastAsia="宋体" w:cs="Times New Roman"/>
                <w:color w:val="auto"/>
                <w:highlight w:val="none"/>
                <w:shd w:val="clear" w:color="auto" w:fill="auto"/>
              </w:rPr>
              <w:t xml:space="preserve"> </w:t>
            </w:r>
            <w:r>
              <w:rPr>
                <w:rFonts w:hint="eastAsia" w:ascii="Calibri" w:hAnsi="Calibri" w:eastAsia="宋体" w:cs="宋体"/>
                <w:color w:val="auto"/>
                <w:highlight w:val="none"/>
                <w:shd w:val="clear" w:color="auto" w:fill="auto"/>
              </w:rPr>
              <w:t>商务标得分</w:t>
            </w:r>
          </w:p>
        </w:tc>
        <w:tc>
          <w:tcPr>
            <w:tcW w:w="681" w:type="dxa"/>
            <w:vMerge w:val="restart"/>
            <w:noWrap w:val="0"/>
            <w:vAlign w:val="center"/>
          </w:tcPr>
          <w:p w14:paraId="0AD05FA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排序（由低至高）</w:t>
            </w:r>
          </w:p>
        </w:tc>
      </w:tr>
      <w:tr w14:paraId="5ED9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continue"/>
            <w:noWrap w:val="0"/>
            <w:vAlign w:val="center"/>
          </w:tcPr>
          <w:p w14:paraId="0773F88A">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p>
        </w:tc>
        <w:tc>
          <w:tcPr>
            <w:tcW w:w="2220" w:type="dxa"/>
            <w:vMerge w:val="continue"/>
            <w:noWrap w:val="0"/>
            <w:vAlign w:val="center"/>
          </w:tcPr>
          <w:p w14:paraId="1511ACAE">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p>
        </w:tc>
        <w:tc>
          <w:tcPr>
            <w:tcW w:w="863" w:type="dxa"/>
            <w:vMerge w:val="continue"/>
            <w:noWrap w:val="0"/>
            <w:vAlign w:val="center"/>
          </w:tcPr>
          <w:p w14:paraId="5AF6F656">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p>
        </w:tc>
        <w:tc>
          <w:tcPr>
            <w:tcW w:w="2644" w:type="dxa"/>
            <w:gridSpan w:val="3"/>
            <w:vMerge w:val="continue"/>
            <w:noWrap w:val="0"/>
            <w:vAlign w:val="center"/>
          </w:tcPr>
          <w:p w14:paraId="32366854">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p>
        </w:tc>
        <w:tc>
          <w:tcPr>
            <w:tcW w:w="806" w:type="dxa"/>
            <w:vMerge w:val="restart"/>
            <w:noWrap w:val="0"/>
            <w:vAlign w:val="center"/>
          </w:tcPr>
          <w:p w14:paraId="35A7C01C">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r>
              <w:rPr>
                <w:rFonts w:hint="eastAsia" w:ascii="Calibri" w:hAnsi="Calibri" w:eastAsia="宋体" w:cs="宋体"/>
                <w:color w:val="auto"/>
                <w:sz w:val="18"/>
                <w:szCs w:val="18"/>
                <w:highlight w:val="none"/>
              </w:rPr>
              <w:t>技术标加权平均得分</w:t>
            </w:r>
          </w:p>
          <w:p w14:paraId="3FB5E7DC">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r>
              <w:rPr>
                <w:rFonts w:hint="eastAsia" w:ascii="Calibri" w:hAnsi="Calibri" w:eastAsia="宋体" w:cs="宋体"/>
                <w:color w:val="auto"/>
                <w:sz w:val="18"/>
                <w:szCs w:val="18"/>
                <w:highlight w:val="none"/>
              </w:rPr>
              <w:t>（满分</w:t>
            </w:r>
            <w:r>
              <w:rPr>
                <w:rFonts w:hint="eastAsia" w:ascii="Calibri" w:hAnsi="Calibri" w:eastAsia="宋体" w:cs="宋体"/>
                <w:color w:val="auto"/>
                <w:sz w:val="18"/>
                <w:szCs w:val="18"/>
                <w:highlight w:val="none"/>
                <w:u w:val="single"/>
              </w:rPr>
              <w:t xml:space="preserve">   </w:t>
            </w:r>
            <w:r>
              <w:rPr>
                <w:rFonts w:hint="eastAsia" w:ascii="Calibri" w:hAnsi="Calibri" w:eastAsia="宋体" w:cs="宋体"/>
                <w:color w:val="auto"/>
                <w:sz w:val="18"/>
                <w:szCs w:val="18"/>
                <w:highlight w:val="none"/>
              </w:rPr>
              <w:t>分）</w:t>
            </w:r>
          </w:p>
        </w:tc>
        <w:tc>
          <w:tcPr>
            <w:tcW w:w="4200" w:type="dxa"/>
            <w:gridSpan w:val="3"/>
            <w:noWrap w:val="0"/>
            <w:vAlign w:val="center"/>
          </w:tcPr>
          <w:p w14:paraId="3B7DA07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sz w:val="18"/>
                <w:szCs w:val="18"/>
                <w:highlight w:val="none"/>
              </w:rPr>
              <w:t>商务标得分</w:t>
            </w:r>
          </w:p>
        </w:tc>
        <w:tc>
          <w:tcPr>
            <w:tcW w:w="1481" w:type="dxa"/>
            <w:vMerge w:val="continue"/>
            <w:noWrap w:val="0"/>
            <w:vAlign w:val="center"/>
          </w:tcPr>
          <w:p w14:paraId="55E49EF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681" w:type="dxa"/>
            <w:vMerge w:val="continue"/>
            <w:noWrap w:val="0"/>
            <w:vAlign w:val="center"/>
          </w:tcPr>
          <w:p w14:paraId="0B5CF4E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r>
      <w:tr w14:paraId="14E2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20" w:type="dxa"/>
            <w:vMerge w:val="continue"/>
            <w:noWrap w:val="0"/>
            <w:vAlign w:val="center"/>
          </w:tcPr>
          <w:p w14:paraId="3471C43D">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p>
        </w:tc>
        <w:tc>
          <w:tcPr>
            <w:tcW w:w="2220" w:type="dxa"/>
            <w:vMerge w:val="continue"/>
            <w:noWrap w:val="0"/>
            <w:vAlign w:val="center"/>
          </w:tcPr>
          <w:p w14:paraId="5F5D8C6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p>
        </w:tc>
        <w:tc>
          <w:tcPr>
            <w:tcW w:w="863" w:type="dxa"/>
            <w:vMerge w:val="continue"/>
            <w:noWrap w:val="0"/>
            <w:vAlign w:val="center"/>
          </w:tcPr>
          <w:p w14:paraId="2CE9EF87">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p>
        </w:tc>
        <w:tc>
          <w:tcPr>
            <w:tcW w:w="956" w:type="dxa"/>
            <w:noWrap w:val="0"/>
            <w:vAlign w:val="center"/>
          </w:tcPr>
          <w:p w14:paraId="3BA94E13">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形式评审是否合格</w:t>
            </w:r>
          </w:p>
        </w:tc>
        <w:tc>
          <w:tcPr>
            <w:tcW w:w="938" w:type="dxa"/>
            <w:noWrap w:val="0"/>
            <w:vAlign w:val="center"/>
          </w:tcPr>
          <w:p w14:paraId="2E506F08">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响应性评审是否合格</w:t>
            </w:r>
          </w:p>
        </w:tc>
        <w:tc>
          <w:tcPr>
            <w:tcW w:w="750" w:type="dxa"/>
            <w:noWrap w:val="0"/>
            <w:vAlign w:val="center"/>
          </w:tcPr>
          <w:p w14:paraId="3548B85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资格审查是否合格</w:t>
            </w:r>
          </w:p>
        </w:tc>
        <w:tc>
          <w:tcPr>
            <w:tcW w:w="806" w:type="dxa"/>
            <w:vMerge w:val="continue"/>
            <w:noWrap w:val="0"/>
            <w:vAlign w:val="center"/>
          </w:tcPr>
          <w:p w14:paraId="503A4DB2">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p>
        </w:tc>
        <w:tc>
          <w:tcPr>
            <w:tcW w:w="1594" w:type="dxa"/>
            <w:noWrap w:val="0"/>
            <w:vAlign w:val="center"/>
          </w:tcPr>
          <w:p w14:paraId="4A82AFBD">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r>
              <w:rPr>
                <w:rFonts w:hint="eastAsia" w:ascii="Calibri" w:hAnsi="Calibri" w:eastAsia="宋体" w:cs="宋体"/>
                <w:color w:val="auto"/>
                <w:sz w:val="18"/>
                <w:szCs w:val="18"/>
                <w:highlight w:val="none"/>
              </w:rPr>
              <w:t>报价分加权得分（小微企业、残疾人、监狱企业为报价最后得分）（满分</w:t>
            </w:r>
            <w:r>
              <w:rPr>
                <w:rFonts w:hint="eastAsia" w:ascii="Calibri" w:hAnsi="Calibri" w:eastAsia="宋体" w:cs="宋体"/>
                <w:color w:val="auto"/>
                <w:sz w:val="18"/>
                <w:szCs w:val="18"/>
                <w:highlight w:val="none"/>
                <w:u w:val="single"/>
              </w:rPr>
              <w:t xml:space="preserve">   </w:t>
            </w:r>
            <w:r>
              <w:rPr>
                <w:rFonts w:hint="eastAsia" w:ascii="Calibri" w:hAnsi="Calibri" w:eastAsia="宋体" w:cs="宋体"/>
                <w:color w:val="auto"/>
                <w:sz w:val="18"/>
                <w:szCs w:val="18"/>
                <w:highlight w:val="none"/>
              </w:rPr>
              <w:t>分）</w:t>
            </w:r>
          </w:p>
          <w:p w14:paraId="4B4C3327">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p>
        </w:tc>
        <w:tc>
          <w:tcPr>
            <w:tcW w:w="1031" w:type="dxa"/>
            <w:noWrap w:val="0"/>
            <w:vAlign w:val="center"/>
          </w:tcPr>
          <w:p w14:paraId="3D01C67F">
            <w:pPr>
              <w:keepNext w:val="0"/>
              <w:keepLines w:val="0"/>
              <w:suppressLineNumbers w:val="0"/>
              <w:spacing w:before="0" w:beforeAutospacing="0" w:after="0" w:afterAutospacing="0"/>
              <w:ind w:left="0" w:right="0"/>
              <w:jc w:val="center"/>
              <w:rPr>
                <w:rFonts w:hint="eastAsia" w:ascii="Calibri" w:hAnsi="Calibri" w:eastAsia="宋体" w:cs="宋体"/>
                <w:color w:val="auto"/>
                <w:sz w:val="18"/>
                <w:szCs w:val="18"/>
                <w:highlight w:val="none"/>
              </w:rPr>
            </w:pPr>
            <w:r>
              <w:rPr>
                <w:rFonts w:hint="eastAsia" w:ascii="Calibri" w:hAnsi="Calibri" w:eastAsia="宋体" w:cs="宋体"/>
                <w:color w:val="auto"/>
                <w:sz w:val="18"/>
                <w:szCs w:val="18"/>
                <w:highlight w:val="none"/>
              </w:rPr>
              <w:t>企业信誉实力加权得分</w:t>
            </w:r>
          </w:p>
          <w:p w14:paraId="79A14D27">
            <w:pPr>
              <w:keepNext w:val="0"/>
              <w:keepLines w:val="0"/>
              <w:suppressLineNumbers w:val="0"/>
              <w:spacing w:before="0" w:beforeAutospacing="0" w:after="0" w:afterAutospacing="0"/>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（满分</w:t>
            </w:r>
            <w:r>
              <w:rPr>
                <w:rFonts w:hint="eastAsia" w:ascii="Calibri" w:hAnsi="Calibri" w:eastAsia="宋体" w:cs="宋体"/>
                <w:color w:val="auto"/>
                <w:sz w:val="18"/>
                <w:szCs w:val="18"/>
                <w:highlight w:val="none"/>
                <w:lang w:val="en-US" w:eastAsia="zh-CN"/>
              </w:rPr>
              <w:t>20</w:t>
            </w:r>
            <w:r>
              <w:rPr>
                <w:rFonts w:hint="eastAsia" w:ascii="Calibri" w:hAnsi="Calibri" w:eastAsia="宋体" w:cs="宋体"/>
                <w:color w:val="auto"/>
                <w:sz w:val="18"/>
                <w:szCs w:val="18"/>
                <w:highlight w:val="none"/>
                <w:u w:val="single"/>
              </w:rPr>
              <w:t xml:space="preserve">    </w:t>
            </w:r>
            <w:r>
              <w:rPr>
                <w:rFonts w:hint="eastAsia" w:ascii="Calibri" w:hAnsi="Calibri" w:eastAsia="宋体" w:cs="宋体"/>
                <w:color w:val="auto"/>
                <w:sz w:val="18"/>
                <w:szCs w:val="18"/>
                <w:highlight w:val="none"/>
              </w:rPr>
              <w:t>分）</w:t>
            </w:r>
          </w:p>
        </w:tc>
        <w:tc>
          <w:tcPr>
            <w:tcW w:w="1575" w:type="dxa"/>
            <w:noWrap w:val="0"/>
            <w:vAlign w:val="center"/>
          </w:tcPr>
          <w:p w14:paraId="580F52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sz w:val="18"/>
                <w:szCs w:val="18"/>
                <w:highlight w:val="none"/>
              </w:rPr>
              <w:t>商务标得分</w:t>
            </w:r>
            <w:r>
              <w:rPr>
                <w:rFonts w:hint="eastAsia" w:ascii="Calibri" w:hAnsi="Calibri" w:eastAsia="宋体" w:cs="宋体"/>
                <w:color w:val="auto"/>
                <w:highlight w:val="none"/>
                <w:shd w:val="clear" w:color="auto" w:fill="auto"/>
              </w:rPr>
              <w:t>= 报价分加权得分+ 企业信誉实力加权得分</w:t>
            </w:r>
          </w:p>
        </w:tc>
        <w:tc>
          <w:tcPr>
            <w:tcW w:w="1481" w:type="dxa"/>
            <w:vMerge w:val="continue"/>
            <w:noWrap w:val="0"/>
            <w:vAlign w:val="center"/>
          </w:tcPr>
          <w:p w14:paraId="5DE61B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vMerge w:val="continue"/>
            <w:noWrap w:val="0"/>
            <w:vAlign w:val="center"/>
          </w:tcPr>
          <w:p w14:paraId="4C5FCB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89A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71326E9A">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220" w:type="dxa"/>
            <w:noWrap w:val="0"/>
            <w:vAlign w:val="center"/>
          </w:tcPr>
          <w:p w14:paraId="1B9BC0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72B0B2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726CCC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514B41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0C51F7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06" w:type="dxa"/>
            <w:noWrap w:val="0"/>
            <w:vAlign w:val="center"/>
          </w:tcPr>
          <w:p w14:paraId="0DD855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94" w:type="dxa"/>
            <w:noWrap w:val="0"/>
            <w:vAlign w:val="center"/>
          </w:tcPr>
          <w:p w14:paraId="46D3E8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31" w:type="dxa"/>
            <w:noWrap w:val="0"/>
            <w:vAlign w:val="center"/>
          </w:tcPr>
          <w:p w14:paraId="505AD2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center"/>
          </w:tcPr>
          <w:p w14:paraId="383736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2297CC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7B98A2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FA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07D6E20F">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220" w:type="dxa"/>
            <w:noWrap w:val="0"/>
            <w:vAlign w:val="center"/>
          </w:tcPr>
          <w:p w14:paraId="4464F2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4D6215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0A9CC0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069A15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46E1F7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06" w:type="dxa"/>
            <w:noWrap w:val="0"/>
            <w:vAlign w:val="center"/>
          </w:tcPr>
          <w:p w14:paraId="415AC2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94" w:type="dxa"/>
            <w:noWrap w:val="0"/>
            <w:vAlign w:val="center"/>
          </w:tcPr>
          <w:p w14:paraId="51666F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31" w:type="dxa"/>
            <w:noWrap w:val="0"/>
            <w:vAlign w:val="center"/>
          </w:tcPr>
          <w:p w14:paraId="0C3C3A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center"/>
          </w:tcPr>
          <w:p w14:paraId="20DC88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564018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17752E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A98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2FAB48C6">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220" w:type="dxa"/>
            <w:noWrap w:val="0"/>
            <w:vAlign w:val="center"/>
          </w:tcPr>
          <w:p w14:paraId="459E35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2A889C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11A466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49ACF1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222462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06" w:type="dxa"/>
            <w:noWrap w:val="0"/>
            <w:vAlign w:val="center"/>
          </w:tcPr>
          <w:p w14:paraId="239861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94" w:type="dxa"/>
            <w:noWrap w:val="0"/>
            <w:vAlign w:val="center"/>
          </w:tcPr>
          <w:p w14:paraId="569F4A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31" w:type="dxa"/>
            <w:noWrap w:val="0"/>
            <w:vAlign w:val="center"/>
          </w:tcPr>
          <w:p w14:paraId="654E84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center"/>
          </w:tcPr>
          <w:p w14:paraId="1E3C78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44FA17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1C626F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7ED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388E0FAC">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220" w:type="dxa"/>
            <w:noWrap w:val="0"/>
            <w:vAlign w:val="center"/>
          </w:tcPr>
          <w:p w14:paraId="21BC32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6BEC0E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23664E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47932D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14E5D8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06" w:type="dxa"/>
            <w:noWrap w:val="0"/>
            <w:vAlign w:val="center"/>
          </w:tcPr>
          <w:p w14:paraId="7FDA69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94" w:type="dxa"/>
            <w:noWrap w:val="0"/>
            <w:vAlign w:val="center"/>
          </w:tcPr>
          <w:p w14:paraId="144BCC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31" w:type="dxa"/>
            <w:noWrap w:val="0"/>
            <w:vAlign w:val="center"/>
          </w:tcPr>
          <w:p w14:paraId="651221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center"/>
          </w:tcPr>
          <w:p w14:paraId="681BFE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68D50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2200FB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8D1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18D948FE">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220" w:type="dxa"/>
            <w:noWrap w:val="0"/>
            <w:vAlign w:val="center"/>
          </w:tcPr>
          <w:p w14:paraId="420868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69E061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0F1625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0FBC15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2859A5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06" w:type="dxa"/>
            <w:noWrap w:val="0"/>
            <w:vAlign w:val="center"/>
          </w:tcPr>
          <w:p w14:paraId="7A4EF2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94" w:type="dxa"/>
            <w:noWrap w:val="0"/>
            <w:vAlign w:val="center"/>
          </w:tcPr>
          <w:p w14:paraId="1F8492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31" w:type="dxa"/>
            <w:noWrap w:val="0"/>
            <w:vAlign w:val="center"/>
          </w:tcPr>
          <w:p w14:paraId="0392BA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75" w:type="dxa"/>
            <w:noWrap w:val="0"/>
            <w:vAlign w:val="center"/>
          </w:tcPr>
          <w:p w14:paraId="301024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7D608B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287130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49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restart"/>
            <w:noWrap w:val="0"/>
            <w:vAlign w:val="center"/>
          </w:tcPr>
          <w:p w14:paraId="0ECF314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最终推荐的中标候选人及其排序</w:t>
            </w:r>
          </w:p>
        </w:tc>
        <w:tc>
          <w:tcPr>
            <w:tcW w:w="10675" w:type="dxa"/>
            <w:gridSpan w:val="10"/>
            <w:noWrap w:val="0"/>
            <w:vAlign w:val="center"/>
          </w:tcPr>
          <w:p w14:paraId="2D4C0F39">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第一名：</w:t>
            </w:r>
          </w:p>
        </w:tc>
      </w:tr>
      <w:tr w14:paraId="7838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continue"/>
            <w:noWrap w:val="0"/>
            <w:vAlign w:val="center"/>
          </w:tcPr>
          <w:p w14:paraId="0B19BC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45B9984A">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第二名：</w:t>
            </w:r>
          </w:p>
        </w:tc>
      </w:tr>
      <w:tr w14:paraId="6866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940" w:type="dxa"/>
            <w:gridSpan w:val="2"/>
            <w:vMerge w:val="continue"/>
            <w:noWrap w:val="0"/>
            <w:vAlign w:val="center"/>
          </w:tcPr>
          <w:p w14:paraId="2526CF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1AE34E5F">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第三名：</w:t>
            </w:r>
          </w:p>
        </w:tc>
      </w:tr>
    </w:tbl>
    <w:p w14:paraId="08426066">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55D0BD40">
      <w:pPr>
        <w:rPr>
          <w:rFonts w:eastAsia="黑体"/>
          <w:color w:val="auto"/>
          <w:sz w:val="28"/>
          <w:szCs w:val="28"/>
          <w:highlight w:val="none"/>
        </w:rPr>
      </w:pPr>
      <w:r>
        <w:rPr>
          <w:rFonts w:hint="eastAsia" w:cs="宋体"/>
          <w:color w:val="auto"/>
          <w:highlight w:val="none"/>
        </w:rPr>
        <w:t>评标委员会全体成员签名：</w:t>
      </w:r>
      <w:r>
        <w:rPr>
          <w:color w:val="auto"/>
          <w:highlight w:val="none"/>
        </w:rPr>
        <w:t xml:space="preserve">  </w:t>
      </w:r>
    </w:p>
    <w:p w14:paraId="44D9573E">
      <w:pPr>
        <w:spacing w:line="440" w:lineRule="exact"/>
        <w:rPr>
          <w:color w:val="auto"/>
          <w:highlight w:val="none"/>
        </w:rPr>
      </w:pPr>
    </w:p>
    <w:p w14:paraId="30A584F3">
      <w:pPr>
        <w:spacing w:line="480" w:lineRule="auto"/>
        <w:rPr>
          <w:color w:val="auto"/>
          <w:highlight w:val="none"/>
        </w:rPr>
        <w:sectPr>
          <w:pgSz w:w="16840" w:h="11907" w:orient="landscape"/>
          <w:pgMar w:top="1440" w:right="1440" w:bottom="1440" w:left="1797" w:header="851" w:footer="851" w:gutter="0"/>
          <w:cols w:space="720" w:num="1"/>
          <w:docGrid w:linePitch="312" w:charSpace="0"/>
        </w:sectPr>
      </w:pPr>
    </w:p>
    <w:p w14:paraId="02130541">
      <w:pPr>
        <w:pStyle w:val="4"/>
        <w:spacing w:line="240" w:lineRule="auto"/>
        <w:rPr>
          <w:color w:val="auto"/>
          <w:sz w:val="28"/>
          <w:szCs w:val="28"/>
          <w:highlight w:val="none"/>
        </w:rPr>
      </w:pPr>
      <w:bookmarkStart w:id="955" w:name="_Toc20478"/>
      <w:bookmarkStart w:id="956" w:name="_Toc21703"/>
      <w:bookmarkStart w:id="957" w:name="_Toc78449773"/>
      <w:bookmarkStart w:id="958" w:name="_Toc1779494478"/>
      <w:bookmarkStart w:id="959" w:name="_Toc10048112"/>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：中标候选人公示</w:t>
      </w:r>
      <w:bookmarkEnd w:id="955"/>
      <w:bookmarkEnd w:id="956"/>
      <w:bookmarkEnd w:id="957"/>
      <w:bookmarkEnd w:id="958"/>
      <w:bookmarkEnd w:id="959"/>
    </w:p>
    <w:p w14:paraId="328E1D5B">
      <w:pPr>
        <w:jc w:val="center"/>
        <w:rPr>
          <w:color w:val="auto"/>
          <w:sz w:val="28"/>
          <w:szCs w:val="28"/>
          <w:highlight w:val="none"/>
        </w:rPr>
      </w:pPr>
      <w:r>
        <w:rPr>
          <w:rFonts w:hint="eastAsia" w:eastAsia="黑体" w:cs="黑体"/>
          <w:color w:val="auto"/>
          <w:sz w:val="28"/>
          <w:szCs w:val="28"/>
          <w:highlight w:val="none"/>
        </w:rPr>
        <w:t>中标候选人公示</w:t>
      </w:r>
    </w:p>
    <w:tbl>
      <w:tblPr>
        <w:tblStyle w:val="40"/>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2359"/>
        <w:gridCol w:w="221"/>
        <w:gridCol w:w="714"/>
        <w:gridCol w:w="766"/>
        <w:gridCol w:w="674"/>
        <w:gridCol w:w="3006"/>
      </w:tblGrid>
      <w:tr w14:paraId="17E0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E276420">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3294" w:type="dxa"/>
            <w:gridSpan w:val="3"/>
            <w:noWrap w:val="0"/>
            <w:tcMar>
              <w:top w:w="0" w:type="dxa"/>
              <w:left w:w="75" w:type="dxa"/>
              <w:bottom w:w="0" w:type="dxa"/>
              <w:right w:w="0" w:type="dxa"/>
            </w:tcMar>
            <w:vAlign w:val="center"/>
          </w:tcPr>
          <w:p w14:paraId="5DFE508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c>
          <w:tcPr>
            <w:tcW w:w="1440" w:type="dxa"/>
            <w:gridSpan w:val="2"/>
            <w:noWrap w:val="0"/>
            <w:vAlign w:val="center"/>
          </w:tcPr>
          <w:p w14:paraId="6D9FF803">
            <w:pPr>
              <w:keepNext w:val="0"/>
              <w:keepLines w:val="0"/>
              <w:widowControl/>
              <w:suppressLineNumbers w:val="0"/>
              <w:spacing w:before="0" w:beforeAutospacing="0" w:after="0" w:afterAutospacing="0" w:line="360" w:lineRule="exact"/>
              <w:ind w:left="0" w:right="0"/>
              <w:jc w:val="center"/>
              <w:rPr>
                <w:rFonts w:hint="eastAsia" w:ascii="Calibri" w:hAnsi="Calibri"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4085EB1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18BA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2009" w:type="dxa"/>
            <w:gridSpan w:val="2"/>
            <w:noWrap w:val="0"/>
            <w:vAlign w:val="center"/>
          </w:tcPr>
          <w:p w14:paraId="76D94216">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招标人</w:t>
            </w:r>
          </w:p>
        </w:tc>
        <w:tc>
          <w:tcPr>
            <w:tcW w:w="7740" w:type="dxa"/>
            <w:gridSpan w:val="6"/>
            <w:noWrap w:val="0"/>
            <w:tcMar>
              <w:top w:w="0" w:type="dxa"/>
              <w:left w:w="75" w:type="dxa"/>
              <w:bottom w:w="0" w:type="dxa"/>
              <w:right w:w="0" w:type="dxa"/>
            </w:tcMar>
            <w:vAlign w:val="center"/>
          </w:tcPr>
          <w:p w14:paraId="4DF4313E">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5ED2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808D92C">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建设</w:t>
            </w:r>
            <w:r>
              <w:rPr>
                <w:rFonts w:hint="default" w:ascii="Calibri" w:hAnsi="宋体" w:eastAsia="宋体" w:cs="宋体"/>
                <w:color w:val="auto"/>
                <w:kern w:val="0"/>
                <w:highlight w:val="none"/>
              </w:rPr>
              <w:t>单位</w:t>
            </w:r>
          </w:p>
        </w:tc>
        <w:tc>
          <w:tcPr>
            <w:tcW w:w="7740" w:type="dxa"/>
            <w:gridSpan w:val="6"/>
            <w:noWrap w:val="0"/>
            <w:tcMar>
              <w:top w:w="0" w:type="dxa"/>
              <w:left w:w="75" w:type="dxa"/>
              <w:bottom w:w="0" w:type="dxa"/>
              <w:right w:w="0" w:type="dxa"/>
            </w:tcMar>
            <w:vAlign w:val="center"/>
          </w:tcPr>
          <w:p w14:paraId="096245A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2D1A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1CC286B">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代建单位（</w:t>
            </w:r>
            <w:r>
              <w:rPr>
                <w:rFonts w:hint="default" w:ascii="Calibri" w:hAnsi="宋体" w:eastAsia="宋体" w:cs="宋体"/>
                <w:color w:val="auto"/>
                <w:kern w:val="0"/>
                <w:highlight w:val="none"/>
              </w:rPr>
              <w:t>如有）</w:t>
            </w:r>
          </w:p>
        </w:tc>
        <w:tc>
          <w:tcPr>
            <w:tcW w:w="7740" w:type="dxa"/>
            <w:gridSpan w:val="6"/>
            <w:noWrap w:val="0"/>
            <w:tcMar>
              <w:top w:w="0" w:type="dxa"/>
              <w:left w:w="75" w:type="dxa"/>
              <w:bottom w:w="0" w:type="dxa"/>
              <w:right w:w="0" w:type="dxa"/>
            </w:tcMar>
            <w:vAlign w:val="center"/>
          </w:tcPr>
          <w:p w14:paraId="321E1220">
            <w:pPr>
              <w:keepNext w:val="0"/>
              <w:keepLines w:val="0"/>
              <w:widowControl/>
              <w:suppressLineNumbers w:val="0"/>
              <w:spacing w:before="0" w:beforeAutospacing="0" w:after="0" w:afterAutospacing="0" w:line="360" w:lineRule="exact"/>
              <w:ind w:left="0" w:right="0"/>
              <w:rPr>
                <w:rFonts w:hint="default" w:ascii="Calibri" w:hAnsi="Calibri" w:eastAsia="宋体" w:cs="Times New Roman"/>
                <w:color w:val="auto"/>
                <w:kern w:val="0"/>
                <w:highlight w:val="none"/>
              </w:rPr>
            </w:pPr>
          </w:p>
        </w:tc>
      </w:tr>
      <w:tr w14:paraId="223C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4CD01D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3"/>
            <w:noWrap w:val="0"/>
            <w:tcMar>
              <w:top w:w="0" w:type="dxa"/>
              <w:left w:w="75" w:type="dxa"/>
              <w:bottom w:w="0" w:type="dxa"/>
              <w:right w:w="0" w:type="dxa"/>
            </w:tcMar>
            <w:vAlign w:val="center"/>
          </w:tcPr>
          <w:p w14:paraId="50D398F5">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2"/>
            <w:noWrap w:val="0"/>
            <w:vAlign w:val="center"/>
          </w:tcPr>
          <w:p w14:paraId="7FCCA9A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noWrap w:val="0"/>
            <w:tcMar>
              <w:top w:w="0" w:type="dxa"/>
              <w:left w:w="75" w:type="dxa"/>
              <w:bottom w:w="0" w:type="dxa"/>
              <w:right w:w="0" w:type="dxa"/>
            </w:tcMar>
            <w:vAlign w:val="center"/>
          </w:tcPr>
          <w:p w14:paraId="6E057B4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7FDB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009" w:type="dxa"/>
            <w:gridSpan w:val="2"/>
            <w:noWrap w:val="0"/>
            <w:vAlign w:val="center"/>
          </w:tcPr>
          <w:p w14:paraId="2021D7C6">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招标代理机构</w:t>
            </w:r>
          </w:p>
        </w:tc>
        <w:tc>
          <w:tcPr>
            <w:tcW w:w="7740" w:type="dxa"/>
            <w:gridSpan w:val="6"/>
            <w:noWrap w:val="0"/>
            <w:tcMar>
              <w:top w:w="0" w:type="dxa"/>
              <w:left w:w="75" w:type="dxa"/>
              <w:bottom w:w="0" w:type="dxa"/>
              <w:right w:w="0" w:type="dxa"/>
            </w:tcMar>
            <w:vAlign w:val="center"/>
          </w:tcPr>
          <w:p w14:paraId="6720B6E3">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25C6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59E519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结构类型及规模</w:t>
            </w:r>
          </w:p>
        </w:tc>
        <w:tc>
          <w:tcPr>
            <w:tcW w:w="7740" w:type="dxa"/>
            <w:gridSpan w:val="6"/>
            <w:noWrap w:val="0"/>
            <w:tcMar>
              <w:top w:w="0" w:type="dxa"/>
              <w:left w:w="75" w:type="dxa"/>
              <w:bottom w:w="0" w:type="dxa"/>
              <w:right w:w="0" w:type="dxa"/>
            </w:tcMar>
            <w:vAlign w:val="center"/>
          </w:tcPr>
          <w:p w14:paraId="64A7493E">
            <w:pPr>
              <w:keepNext w:val="0"/>
              <w:keepLines w:val="0"/>
              <w:widowControl/>
              <w:suppressLineNumbers w:val="0"/>
              <w:spacing w:before="0" w:beforeAutospacing="0" w:after="0" w:afterAutospacing="0" w:line="360" w:lineRule="exact"/>
              <w:ind w:left="0" w:right="185" w:rightChars="88"/>
              <w:jc w:val="left"/>
              <w:rPr>
                <w:rFonts w:hint="default" w:ascii="Calibri" w:hAnsi="Calibri" w:eastAsia="宋体" w:cs="Times New Roman"/>
                <w:color w:val="auto"/>
                <w:kern w:val="0"/>
                <w:highlight w:val="none"/>
              </w:rPr>
            </w:pP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p>
        </w:tc>
      </w:tr>
      <w:tr w14:paraId="46A7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33F099A">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开标时间</w:t>
            </w:r>
          </w:p>
        </w:tc>
        <w:tc>
          <w:tcPr>
            <w:tcW w:w="3294" w:type="dxa"/>
            <w:gridSpan w:val="3"/>
            <w:noWrap w:val="0"/>
            <w:tcMar>
              <w:top w:w="0" w:type="dxa"/>
              <w:left w:w="75" w:type="dxa"/>
              <w:bottom w:w="0" w:type="dxa"/>
              <w:right w:w="0" w:type="dxa"/>
            </w:tcMar>
            <w:vAlign w:val="center"/>
          </w:tcPr>
          <w:p w14:paraId="53023503">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宋体" w:eastAsia="宋体" w:cs="Times New Roman"/>
                <w:color w:val="auto"/>
                <w:kern w:val="0"/>
                <w:highlight w:val="none"/>
              </w:rPr>
            </w:pPr>
          </w:p>
        </w:tc>
        <w:tc>
          <w:tcPr>
            <w:tcW w:w="1440" w:type="dxa"/>
            <w:gridSpan w:val="2"/>
            <w:noWrap w:val="0"/>
            <w:vAlign w:val="center"/>
          </w:tcPr>
          <w:p w14:paraId="2A6CD31F">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开标地点</w:t>
            </w:r>
          </w:p>
        </w:tc>
        <w:tc>
          <w:tcPr>
            <w:tcW w:w="3006" w:type="dxa"/>
            <w:noWrap w:val="0"/>
            <w:tcMar>
              <w:top w:w="0" w:type="dxa"/>
              <w:left w:w="75" w:type="dxa"/>
              <w:bottom w:w="0" w:type="dxa"/>
              <w:right w:w="0" w:type="dxa"/>
            </w:tcMar>
            <w:vAlign w:val="center"/>
          </w:tcPr>
          <w:p w14:paraId="7D68AB11">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p>
        </w:tc>
      </w:tr>
      <w:tr w14:paraId="7893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6C2903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公示开始时间</w:t>
            </w:r>
          </w:p>
        </w:tc>
        <w:tc>
          <w:tcPr>
            <w:tcW w:w="3294" w:type="dxa"/>
            <w:gridSpan w:val="3"/>
            <w:noWrap w:val="0"/>
            <w:tcMar>
              <w:top w:w="0" w:type="dxa"/>
              <w:left w:w="75" w:type="dxa"/>
              <w:bottom w:w="0" w:type="dxa"/>
              <w:right w:w="0" w:type="dxa"/>
            </w:tcMar>
            <w:vAlign w:val="center"/>
          </w:tcPr>
          <w:p w14:paraId="43832693">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c>
          <w:tcPr>
            <w:tcW w:w="1440" w:type="dxa"/>
            <w:gridSpan w:val="2"/>
            <w:noWrap w:val="0"/>
            <w:vAlign w:val="center"/>
          </w:tcPr>
          <w:p w14:paraId="7E2AE73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公示截止时间</w:t>
            </w:r>
          </w:p>
        </w:tc>
        <w:tc>
          <w:tcPr>
            <w:tcW w:w="3006" w:type="dxa"/>
            <w:noWrap w:val="0"/>
            <w:tcMar>
              <w:top w:w="0" w:type="dxa"/>
              <w:left w:w="75" w:type="dxa"/>
              <w:bottom w:w="0" w:type="dxa"/>
              <w:right w:w="0" w:type="dxa"/>
            </w:tcMar>
            <w:vAlign w:val="center"/>
          </w:tcPr>
          <w:p w14:paraId="3DE87F4C">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r>
      <w:tr w14:paraId="0CBA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009" w:type="dxa"/>
            <w:gridSpan w:val="2"/>
            <w:vMerge w:val="restart"/>
            <w:noWrap w:val="0"/>
            <w:vAlign w:val="center"/>
          </w:tcPr>
          <w:p w14:paraId="4E69C4C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预中标人</w:t>
            </w:r>
          </w:p>
        </w:tc>
        <w:tc>
          <w:tcPr>
            <w:tcW w:w="2580" w:type="dxa"/>
            <w:gridSpan w:val="2"/>
            <w:vMerge w:val="restart"/>
            <w:noWrap w:val="0"/>
            <w:tcMar>
              <w:top w:w="0" w:type="dxa"/>
              <w:left w:w="75" w:type="dxa"/>
              <w:bottom w:w="0" w:type="dxa"/>
              <w:right w:w="0" w:type="dxa"/>
            </w:tcMar>
            <w:vAlign w:val="center"/>
          </w:tcPr>
          <w:p w14:paraId="18595741">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480" w:type="dxa"/>
            <w:gridSpan w:val="2"/>
            <w:vMerge w:val="restart"/>
            <w:noWrap w:val="0"/>
            <w:vAlign w:val="center"/>
          </w:tcPr>
          <w:p w14:paraId="0C4D59C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80" w:type="dxa"/>
            <w:gridSpan w:val="2"/>
            <w:noWrap w:val="0"/>
            <w:vAlign w:val="center"/>
          </w:tcPr>
          <w:p w14:paraId="4FC8B38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0880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009" w:type="dxa"/>
            <w:gridSpan w:val="2"/>
            <w:vMerge w:val="continue"/>
            <w:noWrap w:val="0"/>
            <w:vAlign w:val="center"/>
          </w:tcPr>
          <w:p w14:paraId="6386C243">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580" w:type="dxa"/>
            <w:gridSpan w:val="2"/>
            <w:vMerge w:val="continue"/>
            <w:noWrap w:val="0"/>
            <w:tcMar>
              <w:top w:w="0" w:type="dxa"/>
              <w:left w:w="75" w:type="dxa"/>
              <w:bottom w:w="0" w:type="dxa"/>
              <w:right w:w="0" w:type="dxa"/>
            </w:tcMar>
            <w:vAlign w:val="center"/>
          </w:tcPr>
          <w:p w14:paraId="0AEB7FCD">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80" w:type="dxa"/>
            <w:gridSpan w:val="2"/>
            <w:vMerge w:val="continue"/>
            <w:noWrap w:val="0"/>
            <w:vAlign w:val="center"/>
          </w:tcPr>
          <w:p w14:paraId="25C9C3B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3680" w:type="dxa"/>
            <w:gridSpan w:val="2"/>
            <w:noWrap w:val="0"/>
            <w:vAlign w:val="center"/>
          </w:tcPr>
          <w:p w14:paraId="4C1B76B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637D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08E29A5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中标候选人情况</w:t>
            </w:r>
          </w:p>
        </w:tc>
        <w:tc>
          <w:tcPr>
            <w:tcW w:w="1206" w:type="dxa"/>
            <w:vMerge w:val="restart"/>
            <w:noWrap w:val="0"/>
            <w:vAlign w:val="center"/>
          </w:tcPr>
          <w:p w14:paraId="56D3B9A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第一中标</w:t>
            </w:r>
          </w:p>
          <w:p w14:paraId="7AF35DA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7DA81C4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5E68B92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DAB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FB5261D">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1206" w:type="dxa"/>
            <w:vMerge w:val="continue"/>
            <w:noWrap w:val="0"/>
            <w:vAlign w:val="center"/>
          </w:tcPr>
          <w:p w14:paraId="5AD220B9">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11F721B3">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478C28B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4121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057231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F563BB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D69FF5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5FA57F1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6C8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641806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775EAA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21ADF07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3E1E857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19ECC9D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4D8A895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6973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4BB659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D9DCE7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D443BB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69283579">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w:t>
            </w:r>
          </w:p>
        </w:tc>
      </w:tr>
      <w:tr w14:paraId="4B90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9ABC30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7079D5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0B43FEDC">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339BA192">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003D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2E3620B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28D2E5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3DA1D230">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026BC7EE">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p>
        </w:tc>
      </w:tr>
      <w:tr w14:paraId="1607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B6BE62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4B12403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第二中标</w:t>
            </w:r>
          </w:p>
          <w:p w14:paraId="42216D4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0D54AF1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67E58F6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22D1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297B82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8595B40">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73500264">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759ED2B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03C6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F87765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51FC93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D250A2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2580FC9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414B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6A7DE6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5BFDCE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0A50C1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622F47E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3E843E50">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531AAC4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6627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84A051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56EF84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71D26D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6DB595C4">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4AF5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78C3FF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800A78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23151CEA">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58BA7E12">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）【全部拟投入专职安全生产管理人员】</w:t>
            </w:r>
          </w:p>
        </w:tc>
      </w:tr>
      <w:tr w14:paraId="7078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D05E0F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20BA6F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41D17F99">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672D12AA">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43E6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F3FDB4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7A1BD06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第三中标</w:t>
            </w:r>
          </w:p>
          <w:p w14:paraId="23515D1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1A1256E0">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672EA22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7A32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2CA137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2E3B821">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04A102BF">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5492A78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0029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DFD90B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A67A5C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698968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587E8C5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3AF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5827CE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09620D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33D91CC">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5D4494B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025AAFA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4592BF7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0594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93204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C85CF8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55ED77E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0BAF1373">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367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497674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3349137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495F287E">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0372260A">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1EF7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9E0062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60C560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5F282F6">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6159141B">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06C5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330F51A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被否决投标或不合格的投标人名称、否决原因及依据</w:t>
            </w:r>
          </w:p>
        </w:tc>
        <w:tc>
          <w:tcPr>
            <w:tcW w:w="7740" w:type="dxa"/>
            <w:gridSpan w:val="6"/>
            <w:noWrap w:val="0"/>
            <w:tcMar>
              <w:top w:w="0" w:type="dxa"/>
              <w:left w:w="75" w:type="dxa"/>
              <w:bottom w:w="0" w:type="dxa"/>
              <w:right w:w="0" w:type="dxa"/>
            </w:tcMar>
            <w:vAlign w:val="center"/>
          </w:tcPr>
          <w:p w14:paraId="52B89704">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276C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5FB1ECA7">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其他公示内容（如有）</w:t>
            </w:r>
          </w:p>
        </w:tc>
        <w:tc>
          <w:tcPr>
            <w:tcW w:w="7740" w:type="dxa"/>
            <w:gridSpan w:val="6"/>
            <w:noWrap w:val="0"/>
            <w:tcMar>
              <w:top w:w="0" w:type="dxa"/>
              <w:left w:w="75" w:type="dxa"/>
              <w:bottom w:w="0" w:type="dxa"/>
              <w:right w:w="0" w:type="dxa"/>
            </w:tcMar>
            <w:vAlign w:val="center"/>
          </w:tcPr>
          <w:p w14:paraId="1E522B4B">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320B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046916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公示媒介</w:t>
            </w:r>
          </w:p>
        </w:tc>
        <w:tc>
          <w:tcPr>
            <w:tcW w:w="7740" w:type="dxa"/>
            <w:gridSpan w:val="6"/>
            <w:noWrap w:val="0"/>
            <w:tcMar>
              <w:top w:w="0" w:type="dxa"/>
              <w:left w:w="75" w:type="dxa"/>
              <w:bottom w:w="0" w:type="dxa"/>
              <w:right w:w="0" w:type="dxa"/>
            </w:tcMar>
            <w:vAlign w:val="center"/>
          </w:tcPr>
          <w:p w14:paraId="79EAE288">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p>
        </w:tc>
      </w:tr>
      <w:tr w14:paraId="4A8D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A0A872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异议和投诉</w:t>
            </w:r>
          </w:p>
        </w:tc>
        <w:tc>
          <w:tcPr>
            <w:tcW w:w="7740" w:type="dxa"/>
            <w:gridSpan w:val="6"/>
            <w:noWrap w:val="0"/>
            <w:tcMar>
              <w:top w:w="0" w:type="dxa"/>
              <w:left w:w="75" w:type="dxa"/>
              <w:bottom w:w="0" w:type="dxa"/>
              <w:right w:w="0" w:type="dxa"/>
            </w:tcMar>
            <w:vAlign w:val="center"/>
          </w:tcPr>
          <w:p w14:paraId="2883F5CC">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r>
              <w:rPr>
                <w:rFonts w:hint="eastAsia" w:ascii="Calibri" w:hAnsi="宋体" w:eastAsia="宋体" w:cs="宋体"/>
                <w:color w:val="auto"/>
                <w:kern w:val="0"/>
                <w:highlight w:val="none"/>
              </w:rPr>
              <w:t>投标人或者其他利害关系人对评标结果有异议的，应当在中标候选人公示期间提出，</w:t>
            </w:r>
            <w:r>
              <w:rPr>
                <w:rFonts w:hint="eastAsia" w:ascii="Calibri" w:hAnsi="Calibri" w:eastAsia="宋体" w:cs="宋体"/>
                <w:color w:val="auto"/>
                <w:highlight w:val="none"/>
              </w:rPr>
              <w:t>招标人应当自收到异议之日起</w:t>
            </w:r>
            <w:r>
              <w:rPr>
                <w:rFonts w:hint="default" w:ascii="Calibri" w:hAnsi="Calibri" w:eastAsia="宋体" w:cs="Times New Roman"/>
                <w:color w:val="auto"/>
                <w:highlight w:val="none"/>
              </w:rPr>
              <w:t>3</w:t>
            </w:r>
            <w:r>
              <w:rPr>
                <w:rFonts w:hint="eastAsia" w:ascii="Calibri" w:hAnsi="Calibri" w:eastAsia="宋体" w:cs="宋体"/>
                <w:color w:val="auto"/>
                <w:highlight w:val="none"/>
              </w:rPr>
              <w:t>日内作出答复；若招标人拒不答复或认为招标人答复内容不符合</w:t>
            </w:r>
            <w:r>
              <w:rPr>
                <w:rFonts w:hint="eastAsia" w:ascii="Calibri" w:hAnsi="Calibri" w:cs="宋体"/>
                <w:color w:val="auto"/>
                <w:highlight w:val="none"/>
                <w:lang w:eastAsia="zh-CN"/>
              </w:rPr>
              <w:t>法律法规</w:t>
            </w:r>
            <w:r>
              <w:rPr>
                <w:rFonts w:hint="eastAsia" w:ascii="Calibri" w:hAnsi="Calibri" w:eastAsia="宋体" w:cs="宋体"/>
                <w:color w:val="auto"/>
                <w:highlight w:val="none"/>
              </w:rPr>
              <w:t>和规章规定或认为权益受到侵害的，请在自知道或应当知道</w:t>
            </w:r>
            <w:r>
              <w:rPr>
                <w:rFonts w:hint="eastAsia" w:ascii="Calibri" w:hAnsi="宋体" w:eastAsia="宋体" w:cs="宋体"/>
                <w:color w:val="auto"/>
                <w:kern w:val="0"/>
                <w:highlight w:val="none"/>
              </w:rPr>
              <w:t>之日起</w:t>
            </w:r>
            <w:r>
              <w:rPr>
                <w:rFonts w:hint="default" w:ascii="Calibri" w:hAnsi="宋体" w:eastAsia="宋体" w:cs="Times New Roman"/>
                <w:color w:val="auto"/>
                <w:kern w:val="0"/>
                <w:highlight w:val="none"/>
              </w:rPr>
              <w:t>10</w:t>
            </w:r>
            <w:r>
              <w:rPr>
                <w:rFonts w:hint="eastAsia" w:ascii="Calibri" w:hAnsi="宋体" w:eastAsia="宋体" w:cs="宋体"/>
                <w:color w:val="auto"/>
                <w:kern w:val="0"/>
                <w:highlight w:val="none"/>
              </w:rPr>
              <w:t>日内通过全国公共资源交易平台（广西壮族自治区）或提交纸质书面材料向投诉受理部门提出书面投诉书，逾期不予受理。若招标人对项目评标结果有异议的，可在</w:t>
            </w:r>
            <w:r>
              <w:rPr>
                <w:rFonts w:hint="eastAsia" w:ascii="Calibri" w:hAnsi="Calibri" w:eastAsia="宋体" w:cs="宋体"/>
                <w:color w:val="auto"/>
                <w:highlight w:val="none"/>
              </w:rPr>
              <w:t>公示开始日起</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日内通过全国公共资源交易平台（广西壮族自治区）或提交纸质书面材料直接向投诉受理部门提交书面投诉书。</w:t>
            </w:r>
          </w:p>
        </w:tc>
      </w:tr>
      <w:tr w14:paraId="5C77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3531BFB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投诉受理部门</w:t>
            </w:r>
          </w:p>
        </w:tc>
        <w:tc>
          <w:tcPr>
            <w:tcW w:w="3294" w:type="dxa"/>
            <w:gridSpan w:val="3"/>
            <w:noWrap w:val="0"/>
            <w:tcMar>
              <w:top w:w="30" w:type="dxa"/>
              <w:left w:w="30" w:type="dxa"/>
              <w:bottom w:w="30" w:type="dxa"/>
              <w:right w:w="30" w:type="dxa"/>
            </w:tcMar>
            <w:vAlign w:val="center"/>
          </w:tcPr>
          <w:p w14:paraId="64B26FA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c>
          <w:tcPr>
            <w:tcW w:w="1440" w:type="dxa"/>
            <w:gridSpan w:val="2"/>
            <w:noWrap w:val="0"/>
            <w:vAlign w:val="center"/>
          </w:tcPr>
          <w:p w14:paraId="4FE0C11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投诉受理电话</w:t>
            </w:r>
          </w:p>
        </w:tc>
        <w:tc>
          <w:tcPr>
            <w:tcW w:w="3006" w:type="dxa"/>
            <w:noWrap w:val="0"/>
            <w:vAlign w:val="center"/>
          </w:tcPr>
          <w:p w14:paraId="36CD218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r>
    </w:tbl>
    <w:p w14:paraId="48174E22">
      <w:pPr>
        <w:spacing w:before="120" w:beforeLines="50"/>
        <w:rPr>
          <w:rFonts w:hint="eastAsia" w:hAnsi="宋体" w:cs="宋体"/>
          <w:color w:val="auto"/>
          <w:highlight w:val="none"/>
        </w:rPr>
      </w:pPr>
      <w:r>
        <w:rPr>
          <w:rFonts w:hint="eastAsia" w:hAnsi="宋体" w:cs="宋体"/>
          <w:color w:val="auto"/>
          <w:highlight w:val="none"/>
        </w:rPr>
        <w:t>一式</w:t>
      </w:r>
      <w:r>
        <w:rPr>
          <w:rFonts w:hAnsi="宋体"/>
          <w:color w:val="auto"/>
          <w:highlight w:val="none"/>
        </w:rPr>
        <w:t>5</w:t>
      </w:r>
      <w:r>
        <w:rPr>
          <w:rFonts w:hint="eastAsia" w:hAnsi="宋体" w:cs="宋体"/>
          <w:color w:val="auto"/>
          <w:highlight w:val="none"/>
        </w:rPr>
        <w:t>份。其中：招标人</w:t>
      </w:r>
      <w:r>
        <w:rPr>
          <w:rFonts w:hAnsi="宋体"/>
          <w:color w:val="auto"/>
          <w:highlight w:val="none"/>
        </w:rPr>
        <w:t>2</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626F2B45">
      <w:pPr>
        <w:pStyle w:val="27"/>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single"/>
          <w:lang w:val="en-US" w:eastAsia="zh-CN"/>
        </w:rPr>
        <w:t xml:space="preserve">                                   </w:t>
      </w:r>
      <w:r>
        <w:rPr>
          <w:rFonts w:hint="eastAsia"/>
          <w:color w:val="auto"/>
          <w:sz w:val="21"/>
          <w:szCs w:val="21"/>
          <w:highlight w:val="none"/>
          <w:u w:val="single"/>
          <w:lang w:val="en-US" w:eastAsia="zh-CN"/>
        </w:rPr>
        <w:t xml:space="preserve"> 法定代表人或其授权项目负责人：（签名）</w:t>
      </w:r>
    </w:p>
    <w:p w14:paraId="4775363C">
      <w:pPr>
        <w:pStyle w:val="27"/>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19A04565">
      <w:pPr>
        <w:pStyle w:val="27"/>
        <w:pBdr>
          <w:top w:val="none" w:color="auto" w:sz="0" w:space="0"/>
          <w:left w:val="none" w:color="auto" w:sz="0" w:space="0"/>
          <w:bottom w:val="none" w:color="auto" w:sz="0" w:space="1"/>
          <w:right w:val="none" w:color="auto" w:sz="0" w:space="0"/>
          <w:between w:val="none" w:color="auto" w:sz="0" w:space="0"/>
        </w:pBdr>
        <w:rPr>
          <w:rFonts w:hint="eastAsia"/>
          <w:color w:val="auto"/>
          <w:highlight w:val="none"/>
        </w:rPr>
      </w:pPr>
    </w:p>
    <w:p w14:paraId="0E7876EC">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69D45D2B">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2F6C527C">
      <w:pPr>
        <w:spacing w:before="120" w:beforeLines="50"/>
        <w:ind w:firstLine="420" w:firstLineChars="200"/>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5FB51207">
      <w:pPr>
        <w:pStyle w:val="4"/>
        <w:spacing w:line="240" w:lineRule="auto"/>
        <w:rPr>
          <w:color w:val="auto"/>
          <w:sz w:val="28"/>
          <w:szCs w:val="28"/>
          <w:highlight w:val="none"/>
        </w:rPr>
      </w:pPr>
      <w:bookmarkStart w:id="960" w:name="_Toc678992507"/>
      <w:bookmarkStart w:id="961" w:name="_Toc78449774"/>
      <w:bookmarkStart w:id="962" w:name="_Toc8034160"/>
      <w:bookmarkStart w:id="963" w:name="_Toc18021"/>
      <w:bookmarkStart w:id="964" w:name="_Toc18426"/>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7</w:t>
      </w:r>
      <w:r>
        <w:rPr>
          <w:rFonts w:hint="eastAsia"/>
          <w:color w:val="auto"/>
          <w:sz w:val="28"/>
          <w:szCs w:val="28"/>
          <w:highlight w:val="none"/>
        </w:rPr>
        <w:t>：中标通知书</w:t>
      </w:r>
      <w:bookmarkEnd w:id="960"/>
      <w:bookmarkEnd w:id="961"/>
      <w:bookmarkEnd w:id="962"/>
      <w:bookmarkEnd w:id="963"/>
      <w:bookmarkEnd w:id="964"/>
    </w:p>
    <w:p w14:paraId="3D7C31B3">
      <w:pPr>
        <w:jc w:val="center"/>
        <w:rPr>
          <w:b/>
          <w:bCs/>
          <w:color w:val="auto"/>
          <w:sz w:val="28"/>
          <w:szCs w:val="28"/>
          <w:highlight w:val="none"/>
        </w:rPr>
      </w:pPr>
      <w:r>
        <w:rPr>
          <w:rFonts w:hint="eastAsia" w:eastAsia="黑体" w:cs="黑体"/>
          <w:color w:val="auto"/>
          <w:sz w:val="28"/>
          <w:szCs w:val="28"/>
          <w:highlight w:val="none"/>
        </w:rPr>
        <w:t>中标通知书</w:t>
      </w:r>
    </w:p>
    <w:p w14:paraId="66C0D1EE">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rPr>
        <w:t xml:space="preserve">   </w:t>
      </w:r>
      <w:r>
        <w:rPr>
          <w:color w:val="auto"/>
          <w:highlight w:val="none"/>
        </w:rPr>
        <w:t xml:space="preserve">                                           </w:t>
      </w:r>
      <w:r>
        <w:rPr>
          <w:rFonts w:hint="eastAsia" w:hAnsi="宋体" w:cs="宋体"/>
          <w:color w:val="auto"/>
          <w:highlight w:val="none"/>
        </w:rPr>
        <w:t>中标通知书编号（如有）：</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1156"/>
        <w:gridCol w:w="1337"/>
        <w:gridCol w:w="52"/>
        <w:gridCol w:w="1251"/>
        <w:gridCol w:w="583"/>
        <w:gridCol w:w="1431"/>
        <w:gridCol w:w="626"/>
        <w:gridCol w:w="353"/>
        <w:gridCol w:w="1134"/>
        <w:gridCol w:w="1153"/>
      </w:tblGrid>
      <w:tr w14:paraId="534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BA3D6F3">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招</w:t>
            </w:r>
            <w:r>
              <w:rPr>
                <w:rFonts w:hint="default" w:ascii="Calibri" w:hAnsi="宋体" w:eastAsia="宋体" w:cs="宋体"/>
                <w:color w:val="auto"/>
                <w:highlight w:val="none"/>
              </w:rPr>
              <w:t>标人</w:t>
            </w:r>
          </w:p>
        </w:tc>
        <w:tc>
          <w:tcPr>
            <w:tcW w:w="7920" w:type="dxa"/>
            <w:gridSpan w:val="9"/>
            <w:noWrap w:val="0"/>
            <w:vAlign w:val="center"/>
          </w:tcPr>
          <w:p w14:paraId="4A7ACF9F">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2777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EED12E3">
            <w:pPr>
              <w:keepNext w:val="0"/>
              <w:keepLines w:val="0"/>
              <w:suppressLineNumbers w:val="0"/>
              <w:spacing w:before="0" w:beforeAutospacing="0" w:after="0" w:afterAutospacing="0" w:line="360" w:lineRule="exact"/>
              <w:ind w:left="0" w:right="0"/>
              <w:jc w:val="center"/>
              <w:rPr>
                <w:rFonts w:hint="eastAsia" w:ascii="Calibri" w:hAnsi="宋体" w:eastAsia="宋体" w:cs="宋体"/>
                <w:color w:val="auto"/>
                <w:highlight w:val="none"/>
              </w:rPr>
            </w:pPr>
            <w:r>
              <w:rPr>
                <w:rFonts w:hint="eastAsia" w:ascii="Calibri" w:hAnsi="宋体" w:eastAsia="宋体" w:cs="宋体"/>
                <w:color w:val="auto"/>
                <w:highlight w:val="none"/>
              </w:rPr>
              <w:t>建设单位</w:t>
            </w:r>
          </w:p>
        </w:tc>
        <w:tc>
          <w:tcPr>
            <w:tcW w:w="7920" w:type="dxa"/>
            <w:gridSpan w:val="9"/>
            <w:noWrap w:val="0"/>
            <w:vAlign w:val="center"/>
          </w:tcPr>
          <w:p w14:paraId="5B3AB8C0">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064C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B741C6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代建单位（如有）</w:t>
            </w:r>
          </w:p>
        </w:tc>
        <w:tc>
          <w:tcPr>
            <w:tcW w:w="7920" w:type="dxa"/>
            <w:gridSpan w:val="9"/>
            <w:noWrap w:val="0"/>
            <w:vAlign w:val="center"/>
          </w:tcPr>
          <w:p w14:paraId="345A371B">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1CE8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restart"/>
            <w:noWrap w:val="0"/>
            <w:vAlign w:val="center"/>
          </w:tcPr>
          <w:p w14:paraId="13EA3BA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中标单位</w:t>
            </w:r>
          </w:p>
        </w:tc>
        <w:tc>
          <w:tcPr>
            <w:tcW w:w="2640" w:type="dxa"/>
            <w:gridSpan w:val="3"/>
            <w:vMerge w:val="restart"/>
            <w:noWrap w:val="0"/>
            <w:vAlign w:val="center"/>
          </w:tcPr>
          <w:p w14:paraId="6C012392">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（非联合体）</w:t>
            </w:r>
          </w:p>
        </w:tc>
        <w:tc>
          <w:tcPr>
            <w:tcW w:w="2640" w:type="dxa"/>
            <w:gridSpan w:val="3"/>
            <w:vMerge w:val="restart"/>
            <w:noWrap w:val="0"/>
            <w:vAlign w:val="center"/>
          </w:tcPr>
          <w:p w14:paraId="0B178B9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联合体</w:t>
            </w:r>
          </w:p>
        </w:tc>
        <w:tc>
          <w:tcPr>
            <w:tcW w:w="2640" w:type="dxa"/>
            <w:gridSpan w:val="3"/>
            <w:noWrap w:val="0"/>
            <w:vAlign w:val="center"/>
          </w:tcPr>
          <w:p w14:paraId="4D28CD7A">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牵头人：</w:t>
            </w:r>
          </w:p>
        </w:tc>
      </w:tr>
      <w:tr w14:paraId="32BD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continue"/>
            <w:noWrap w:val="0"/>
            <w:vAlign w:val="center"/>
          </w:tcPr>
          <w:p w14:paraId="514B4CE3">
            <w:pPr>
              <w:keepNext w:val="0"/>
              <w:keepLines w:val="0"/>
              <w:suppressLineNumbers w:val="0"/>
              <w:spacing w:before="0" w:beforeAutospacing="0" w:after="0" w:afterAutospacing="0" w:line="360" w:lineRule="exact"/>
              <w:ind w:left="0" w:right="0"/>
              <w:jc w:val="center"/>
              <w:rPr>
                <w:rFonts w:hint="eastAsia" w:ascii="Calibri" w:hAnsi="宋体" w:eastAsia="宋体" w:cs="宋体"/>
                <w:color w:val="auto"/>
                <w:highlight w:val="none"/>
              </w:rPr>
            </w:pPr>
          </w:p>
        </w:tc>
        <w:tc>
          <w:tcPr>
            <w:tcW w:w="2640" w:type="dxa"/>
            <w:gridSpan w:val="3"/>
            <w:vMerge w:val="continue"/>
            <w:noWrap w:val="0"/>
            <w:vAlign w:val="center"/>
          </w:tcPr>
          <w:p w14:paraId="232BB7F0">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c>
          <w:tcPr>
            <w:tcW w:w="2640" w:type="dxa"/>
            <w:gridSpan w:val="3"/>
            <w:vMerge w:val="continue"/>
            <w:noWrap w:val="0"/>
            <w:vAlign w:val="center"/>
          </w:tcPr>
          <w:p w14:paraId="1AA1904C">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c>
          <w:tcPr>
            <w:tcW w:w="2640" w:type="dxa"/>
            <w:gridSpan w:val="3"/>
            <w:noWrap w:val="0"/>
            <w:vAlign w:val="center"/>
          </w:tcPr>
          <w:p w14:paraId="26A9CD7B">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成员单位：</w:t>
            </w:r>
          </w:p>
        </w:tc>
      </w:tr>
      <w:tr w14:paraId="3700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34D15C8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设计单位</w:t>
            </w:r>
          </w:p>
        </w:tc>
        <w:tc>
          <w:tcPr>
            <w:tcW w:w="7920" w:type="dxa"/>
            <w:gridSpan w:val="9"/>
            <w:noWrap w:val="0"/>
            <w:vAlign w:val="center"/>
          </w:tcPr>
          <w:p w14:paraId="1DF2C31B">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6EA0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18448D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招标代理机构</w:t>
            </w:r>
          </w:p>
        </w:tc>
        <w:tc>
          <w:tcPr>
            <w:tcW w:w="7920" w:type="dxa"/>
            <w:gridSpan w:val="9"/>
            <w:noWrap w:val="0"/>
            <w:vAlign w:val="center"/>
          </w:tcPr>
          <w:p w14:paraId="584D9AD6">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6637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BFD875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highlight w:val="none"/>
              </w:rPr>
              <w:t>项目名称</w:t>
            </w:r>
          </w:p>
        </w:tc>
        <w:tc>
          <w:tcPr>
            <w:tcW w:w="7920" w:type="dxa"/>
            <w:gridSpan w:val="9"/>
            <w:noWrap w:val="0"/>
            <w:vAlign w:val="center"/>
          </w:tcPr>
          <w:p w14:paraId="5B9C260E">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677C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FD6C73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工程地址</w:t>
            </w:r>
          </w:p>
        </w:tc>
        <w:tc>
          <w:tcPr>
            <w:tcW w:w="7920" w:type="dxa"/>
            <w:gridSpan w:val="9"/>
            <w:noWrap w:val="0"/>
            <w:vAlign w:val="center"/>
          </w:tcPr>
          <w:p w14:paraId="34D8D20D">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3C3C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5F68873">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中标范围</w:t>
            </w:r>
          </w:p>
        </w:tc>
        <w:tc>
          <w:tcPr>
            <w:tcW w:w="7920" w:type="dxa"/>
            <w:gridSpan w:val="9"/>
            <w:noWrap w:val="0"/>
            <w:vAlign w:val="center"/>
          </w:tcPr>
          <w:p w14:paraId="61CF89A1">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3392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163F8D5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结构类型</w:t>
            </w:r>
          </w:p>
        </w:tc>
        <w:tc>
          <w:tcPr>
            <w:tcW w:w="3223" w:type="dxa"/>
            <w:gridSpan w:val="4"/>
            <w:noWrap w:val="0"/>
            <w:vAlign w:val="center"/>
          </w:tcPr>
          <w:p w14:paraId="4AC109C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r>
              <w:rPr>
                <w:rFonts w:hint="eastAsia" w:ascii="Calibri" w:hAnsi="Calibri" w:eastAsia="宋体" w:cs="宋体"/>
                <w:color w:val="auto"/>
                <w:kern w:val="0"/>
                <w:highlight w:val="none"/>
              </w:rPr>
              <w:t>（</w:t>
            </w: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r>
              <w:rPr>
                <w:rFonts w:hint="eastAsia" w:ascii="Calibri" w:hAnsi="Calibri" w:eastAsia="宋体" w:cs="宋体"/>
                <w:color w:val="auto"/>
                <w:kern w:val="0"/>
                <w:highlight w:val="none"/>
              </w:rPr>
              <w:t>）</w:t>
            </w:r>
          </w:p>
        </w:tc>
        <w:tc>
          <w:tcPr>
            <w:tcW w:w="2410" w:type="dxa"/>
            <w:gridSpan w:val="3"/>
            <w:noWrap w:val="0"/>
            <w:vAlign w:val="center"/>
          </w:tcPr>
          <w:p w14:paraId="4E54F25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工程规模</w:t>
            </w:r>
          </w:p>
        </w:tc>
        <w:tc>
          <w:tcPr>
            <w:tcW w:w="2287" w:type="dxa"/>
            <w:gridSpan w:val="2"/>
            <w:noWrap w:val="0"/>
            <w:vAlign w:val="center"/>
          </w:tcPr>
          <w:p w14:paraId="005A25CF">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2213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6D332160">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承包方式</w:t>
            </w:r>
          </w:p>
        </w:tc>
        <w:tc>
          <w:tcPr>
            <w:tcW w:w="3223" w:type="dxa"/>
            <w:gridSpan w:val="4"/>
            <w:noWrap w:val="0"/>
            <w:vAlign w:val="center"/>
          </w:tcPr>
          <w:p w14:paraId="55BF2BA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p>
        </w:tc>
        <w:tc>
          <w:tcPr>
            <w:tcW w:w="2410" w:type="dxa"/>
            <w:gridSpan w:val="3"/>
            <w:noWrap w:val="0"/>
            <w:vAlign w:val="center"/>
          </w:tcPr>
          <w:p w14:paraId="4A732FD6">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承包类型</w:t>
            </w:r>
          </w:p>
        </w:tc>
        <w:tc>
          <w:tcPr>
            <w:tcW w:w="2287" w:type="dxa"/>
            <w:gridSpan w:val="2"/>
            <w:noWrap w:val="0"/>
            <w:vAlign w:val="center"/>
          </w:tcPr>
          <w:p w14:paraId="746F0606">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260A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noWrap w:val="0"/>
            <w:vAlign w:val="center"/>
          </w:tcPr>
          <w:p w14:paraId="11FD542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项目经理</w:t>
            </w:r>
          </w:p>
        </w:tc>
        <w:tc>
          <w:tcPr>
            <w:tcW w:w="1337" w:type="dxa"/>
            <w:noWrap w:val="0"/>
            <w:vAlign w:val="center"/>
          </w:tcPr>
          <w:p w14:paraId="7B84C61C">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p>
        </w:tc>
        <w:tc>
          <w:tcPr>
            <w:tcW w:w="1886" w:type="dxa"/>
            <w:gridSpan w:val="3"/>
            <w:noWrap w:val="0"/>
            <w:vAlign w:val="center"/>
          </w:tcPr>
          <w:p w14:paraId="1D3198D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注册专业、等级及注册编号</w:t>
            </w:r>
          </w:p>
        </w:tc>
        <w:tc>
          <w:tcPr>
            <w:tcW w:w="2410" w:type="dxa"/>
            <w:gridSpan w:val="3"/>
            <w:noWrap w:val="0"/>
            <w:vAlign w:val="center"/>
          </w:tcPr>
          <w:p w14:paraId="520DA211">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p>
        </w:tc>
        <w:tc>
          <w:tcPr>
            <w:tcW w:w="1134" w:type="dxa"/>
            <w:noWrap w:val="0"/>
            <w:vAlign w:val="center"/>
          </w:tcPr>
          <w:p w14:paraId="34E7E560">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kern w:val="0"/>
                <w:highlight w:val="none"/>
              </w:rPr>
              <w:t>身份证号</w:t>
            </w:r>
          </w:p>
        </w:tc>
        <w:tc>
          <w:tcPr>
            <w:tcW w:w="1153" w:type="dxa"/>
            <w:noWrap w:val="0"/>
            <w:vAlign w:val="center"/>
          </w:tcPr>
          <w:p w14:paraId="127A98C9">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1E84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restart"/>
            <w:noWrap w:val="0"/>
            <w:vAlign w:val="center"/>
          </w:tcPr>
          <w:p w14:paraId="61F55937">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highlight w:val="none"/>
              </w:rPr>
            </w:pPr>
            <w:r>
              <w:rPr>
                <w:rFonts w:hint="eastAsia" w:ascii="Calibri" w:hAnsi="宋体" w:eastAsia="宋体" w:cs="宋体"/>
                <w:color w:val="auto"/>
                <w:highlight w:val="none"/>
              </w:rPr>
              <w:t>技术负责人及证书编号</w:t>
            </w:r>
          </w:p>
        </w:tc>
        <w:tc>
          <w:tcPr>
            <w:tcW w:w="3223" w:type="dxa"/>
            <w:gridSpan w:val="4"/>
            <w:vMerge w:val="restart"/>
            <w:noWrap w:val="0"/>
            <w:vAlign w:val="center"/>
          </w:tcPr>
          <w:p w14:paraId="097FB395">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highlight w:val="none"/>
              </w:rPr>
            </w:pPr>
          </w:p>
        </w:tc>
        <w:tc>
          <w:tcPr>
            <w:tcW w:w="2410" w:type="dxa"/>
            <w:gridSpan w:val="3"/>
            <w:vMerge w:val="restart"/>
            <w:noWrap w:val="0"/>
            <w:vAlign w:val="center"/>
          </w:tcPr>
          <w:p w14:paraId="080D9E4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r>
              <w:rPr>
                <w:rFonts w:hint="eastAsia" w:ascii="Calibri" w:hAnsi="宋体" w:eastAsia="宋体" w:cs="宋体"/>
                <w:color w:val="auto"/>
                <w:highlight w:val="none"/>
              </w:rPr>
              <w:t>专职安全生产管理人员及安全生产考核合格证书编号、身份证</w:t>
            </w:r>
            <w:r>
              <w:rPr>
                <w:rFonts w:hint="default" w:ascii="Calibri" w:hAnsi="宋体" w:eastAsia="宋体" w:cs="宋体"/>
                <w:color w:val="auto"/>
                <w:highlight w:val="none"/>
              </w:rPr>
              <w:t>号</w:t>
            </w:r>
            <w:r>
              <w:rPr>
                <w:rFonts w:hint="eastAsia" w:ascii="Calibri" w:hAnsi="宋体" w:eastAsia="宋体" w:cs="宋体"/>
                <w:color w:val="auto"/>
                <w:highlight w:val="none"/>
              </w:rPr>
              <w:t>（全部）</w:t>
            </w:r>
          </w:p>
        </w:tc>
        <w:tc>
          <w:tcPr>
            <w:tcW w:w="2287" w:type="dxa"/>
            <w:gridSpan w:val="2"/>
            <w:noWrap w:val="0"/>
            <w:vAlign w:val="center"/>
          </w:tcPr>
          <w:p w14:paraId="4EE15FC5">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2AE1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62AB861D">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highlight w:val="none"/>
              </w:rPr>
            </w:pPr>
          </w:p>
        </w:tc>
        <w:tc>
          <w:tcPr>
            <w:tcW w:w="3223" w:type="dxa"/>
            <w:gridSpan w:val="4"/>
            <w:vMerge w:val="continue"/>
            <w:noWrap w:val="0"/>
            <w:vAlign w:val="center"/>
          </w:tcPr>
          <w:p w14:paraId="54FEAD53">
            <w:pPr>
              <w:keepNext w:val="0"/>
              <w:keepLines w:val="0"/>
              <w:suppressLineNumbers w:val="0"/>
              <w:spacing w:before="0" w:beforeAutospacing="0" w:after="0" w:afterAutospacing="0" w:line="360" w:lineRule="exact"/>
              <w:ind w:left="0" w:right="0"/>
              <w:jc w:val="center"/>
              <w:rPr>
                <w:rFonts w:hint="default" w:ascii="Calibri" w:hAnsi="宋体" w:eastAsia="宋体" w:cs="Times New Roman"/>
                <w:color w:val="auto"/>
                <w:highlight w:val="none"/>
              </w:rPr>
            </w:pPr>
          </w:p>
        </w:tc>
        <w:tc>
          <w:tcPr>
            <w:tcW w:w="2410" w:type="dxa"/>
            <w:gridSpan w:val="3"/>
            <w:vMerge w:val="continue"/>
            <w:noWrap w:val="0"/>
            <w:vAlign w:val="center"/>
          </w:tcPr>
          <w:p w14:paraId="653609A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p>
        </w:tc>
        <w:tc>
          <w:tcPr>
            <w:tcW w:w="2287" w:type="dxa"/>
            <w:gridSpan w:val="2"/>
            <w:noWrap w:val="0"/>
            <w:vAlign w:val="center"/>
          </w:tcPr>
          <w:p w14:paraId="4B7BB543">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2035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151C37AB">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p>
        </w:tc>
        <w:tc>
          <w:tcPr>
            <w:tcW w:w="3223" w:type="dxa"/>
            <w:gridSpan w:val="4"/>
            <w:vMerge w:val="continue"/>
            <w:noWrap w:val="0"/>
            <w:vAlign w:val="center"/>
          </w:tcPr>
          <w:p w14:paraId="2EB943D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p>
        </w:tc>
        <w:tc>
          <w:tcPr>
            <w:tcW w:w="2410" w:type="dxa"/>
            <w:gridSpan w:val="3"/>
            <w:vMerge w:val="continue"/>
            <w:noWrap w:val="0"/>
            <w:vAlign w:val="center"/>
          </w:tcPr>
          <w:p w14:paraId="6FD846D4">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b/>
                <w:bCs/>
                <w:color w:val="auto"/>
                <w:highlight w:val="none"/>
              </w:rPr>
            </w:pPr>
          </w:p>
        </w:tc>
        <w:tc>
          <w:tcPr>
            <w:tcW w:w="2287" w:type="dxa"/>
            <w:gridSpan w:val="2"/>
            <w:noWrap w:val="0"/>
            <w:vAlign w:val="center"/>
          </w:tcPr>
          <w:p w14:paraId="782C5D21">
            <w:pPr>
              <w:keepNext w:val="0"/>
              <w:keepLines w:val="0"/>
              <w:suppressLineNumbers w:val="0"/>
              <w:spacing w:before="0" w:beforeAutospacing="0" w:after="0" w:afterAutospacing="0" w:line="360" w:lineRule="exact"/>
              <w:ind w:left="0" w:right="0"/>
              <w:rPr>
                <w:rFonts w:hint="default" w:ascii="Calibri" w:hAnsi="Calibri" w:eastAsia="宋体" w:cs="Times New Roman"/>
                <w:b/>
                <w:bCs/>
                <w:color w:val="auto"/>
                <w:highlight w:val="none"/>
              </w:rPr>
            </w:pPr>
          </w:p>
        </w:tc>
      </w:tr>
      <w:tr w14:paraId="7404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2700553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中标</w:t>
            </w:r>
          </w:p>
          <w:p w14:paraId="2867BF1F">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主要</w:t>
            </w:r>
          </w:p>
          <w:p w14:paraId="6B93B6A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条件</w:t>
            </w:r>
          </w:p>
        </w:tc>
        <w:tc>
          <w:tcPr>
            <w:tcW w:w="1156" w:type="dxa"/>
            <w:noWrap w:val="0"/>
            <w:vAlign w:val="center"/>
          </w:tcPr>
          <w:p w14:paraId="51CA611C">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中标价</w:t>
            </w:r>
          </w:p>
        </w:tc>
        <w:tc>
          <w:tcPr>
            <w:tcW w:w="3223" w:type="dxa"/>
            <w:gridSpan w:val="4"/>
            <w:noWrap w:val="0"/>
            <w:vAlign w:val="center"/>
          </w:tcPr>
          <w:p w14:paraId="415E9742">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c>
          <w:tcPr>
            <w:tcW w:w="2410" w:type="dxa"/>
            <w:gridSpan w:val="3"/>
            <w:vMerge w:val="restart"/>
            <w:noWrap w:val="0"/>
            <w:vAlign w:val="center"/>
          </w:tcPr>
          <w:p w14:paraId="7E6C0F5A">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主要材料</w:t>
            </w:r>
          </w:p>
        </w:tc>
        <w:tc>
          <w:tcPr>
            <w:tcW w:w="1134" w:type="dxa"/>
            <w:noWrap w:val="0"/>
            <w:vAlign w:val="center"/>
          </w:tcPr>
          <w:p w14:paraId="25DE732D">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钢</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筋</w:t>
            </w:r>
          </w:p>
        </w:tc>
        <w:tc>
          <w:tcPr>
            <w:tcW w:w="1153" w:type="dxa"/>
            <w:noWrap w:val="0"/>
            <w:vAlign w:val="center"/>
          </w:tcPr>
          <w:p w14:paraId="13BA18CF">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r>
      <w:tr w14:paraId="0E9C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461F199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tc>
        <w:tc>
          <w:tcPr>
            <w:tcW w:w="1156" w:type="dxa"/>
            <w:noWrap w:val="0"/>
            <w:vAlign w:val="center"/>
          </w:tcPr>
          <w:p w14:paraId="3350CAA9">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工期</w:t>
            </w:r>
          </w:p>
        </w:tc>
        <w:tc>
          <w:tcPr>
            <w:tcW w:w="3223" w:type="dxa"/>
            <w:gridSpan w:val="4"/>
            <w:noWrap w:val="0"/>
            <w:vAlign w:val="center"/>
          </w:tcPr>
          <w:p w14:paraId="16EFFCB7">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c>
          <w:tcPr>
            <w:tcW w:w="2410" w:type="dxa"/>
            <w:gridSpan w:val="3"/>
            <w:vMerge w:val="continue"/>
            <w:noWrap w:val="0"/>
            <w:vAlign w:val="top"/>
          </w:tcPr>
          <w:p w14:paraId="6BBF0A24">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tc>
        <w:tc>
          <w:tcPr>
            <w:tcW w:w="1134" w:type="dxa"/>
            <w:noWrap w:val="0"/>
            <w:vAlign w:val="center"/>
          </w:tcPr>
          <w:p w14:paraId="5F602577">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水</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泥</w:t>
            </w:r>
          </w:p>
        </w:tc>
        <w:tc>
          <w:tcPr>
            <w:tcW w:w="1153" w:type="dxa"/>
            <w:noWrap w:val="0"/>
            <w:vAlign w:val="center"/>
          </w:tcPr>
          <w:p w14:paraId="40BA571E">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r>
      <w:tr w14:paraId="0B64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3AA779F9">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tc>
        <w:tc>
          <w:tcPr>
            <w:tcW w:w="1156" w:type="dxa"/>
            <w:noWrap w:val="0"/>
            <w:vAlign w:val="center"/>
          </w:tcPr>
          <w:p w14:paraId="33FD39F8">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质量</w:t>
            </w:r>
          </w:p>
        </w:tc>
        <w:tc>
          <w:tcPr>
            <w:tcW w:w="3223" w:type="dxa"/>
            <w:gridSpan w:val="4"/>
            <w:noWrap w:val="0"/>
            <w:vAlign w:val="center"/>
          </w:tcPr>
          <w:p w14:paraId="32E6FBCC">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c>
          <w:tcPr>
            <w:tcW w:w="2410" w:type="dxa"/>
            <w:gridSpan w:val="3"/>
            <w:vMerge w:val="continue"/>
            <w:noWrap w:val="0"/>
            <w:vAlign w:val="top"/>
          </w:tcPr>
          <w:p w14:paraId="663C1C4F">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tc>
        <w:tc>
          <w:tcPr>
            <w:tcW w:w="1134" w:type="dxa"/>
            <w:noWrap w:val="0"/>
            <w:vAlign w:val="center"/>
          </w:tcPr>
          <w:p w14:paraId="1825B0AA">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商品砼</w:t>
            </w:r>
          </w:p>
        </w:tc>
        <w:tc>
          <w:tcPr>
            <w:tcW w:w="1153" w:type="dxa"/>
            <w:noWrap w:val="0"/>
            <w:vAlign w:val="center"/>
          </w:tcPr>
          <w:p w14:paraId="1614B725">
            <w:pPr>
              <w:keepNext w:val="0"/>
              <w:keepLines w:val="0"/>
              <w:suppressLineNumbers w:val="0"/>
              <w:spacing w:before="0" w:beforeAutospacing="0" w:after="0" w:afterAutospacing="0" w:line="360" w:lineRule="exact"/>
              <w:ind w:left="0" w:right="0"/>
              <w:jc w:val="right"/>
              <w:rPr>
                <w:rFonts w:hint="default" w:ascii="Calibri" w:hAnsi="Calibri" w:eastAsia="宋体" w:cs="Times New Roman"/>
                <w:b/>
                <w:bCs/>
                <w:color w:val="auto"/>
                <w:highlight w:val="none"/>
              </w:rPr>
            </w:pPr>
          </w:p>
        </w:tc>
      </w:tr>
      <w:tr w14:paraId="3369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0" w:type="dxa"/>
            <w:gridSpan w:val="2"/>
            <w:vMerge w:val="continue"/>
            <w:noWrap w:val="0"/>
            <w:vAlign w:val="top"/>
          </w:tcPr>
          <w:p w14:paraId="77A2037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tc>
        <w:tc>
          <w:tcPr>
            <w:tcW w:w="9076" w:type="dxa"/>
            <w:gridSpan w:val="10"/>
            <w:noWrap w:val="0"/>
            <w:vAlign w:val="center"/>
          </w:tcPr>
          <w:p w14:paraId="31290425">
            <w:pPr>
              <w:keepNext w:val="0"/>
              <w:keepLines w:val="0"/>
              <w:suppressLineNumbers w:val="0"/>
              <w:spacing w:before="0" w:beforeAutospacing="0" w:after="0" w:afterAutospacing="0" w:line="360" w:lineRule="exact"/>
              <w:ind w:left="0" w:right="0"/>
              <w:rPr>
                <w:rFonts w:hint="eastAsia" w:ascii="Calibri" w:hAnsi="宋体" w:eastAsia="宋体" w:cs="Times New Roman"/>
                <w:color w:val="auto"/>
                <w:highlight w:val="none"/>
              </w:rPr>
            </w:pPr>
            <w:r>
              <w:rPr>
                <w:rFonts w:hint="eastAsia" w:ascii="Calibri" w:hAnsi="宋体" w:eastAsia="宋体" w:cs="宋体"/>
                <w:color w:val="auto"/>
                <w:highlight w:val="none"/>
              </w:rPr>
              <w:t>其中：安全</w:t>
            </w:r>
            <w:r>
              <w:rPr>
                <w:rFonts w:hint="eastAsia" w:ascii="Calibri" w:hAnsi="宋体" w:eastAsia="宋体" w:cs="宋体"/>
                <w:color w:val="auto"/>
                <w:highlight w:val="none"/>
                <w:lang w:val="en-US" w:eastAsia="zh-CN"/>
              </w:rPr>
              <w:t>生产</w:t>
            </w:r>
            <w:r>
              <w:rPr>
                <w:rFonts w:hint="eastAsia" w:ascii="Calibri" w:hAnsi="宋体" w:eastAsia="宋体" w:cs="宋体"/>
                <w:color w:val="auto"/>
                <w:highlight w:val="none"/>
              </w:rPr>
              <w:t>费：</w:t>
            </w:r>
          </w:p>
        </w:tc>
      </w:tr>
      <w:tr w14:paraId="38B1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265" w:type="dxa"/>
            <w:gridSpan w:val="5"/>
            <w:noWrap w:val="0"/>
            <w:vAlign w:val="top"/>
          </w:tcPr>
          <w:p w14:paraId="07D95AB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eastAsia" w:ascii="Calibri" w:hAnsi="Calibri" w:eastAsia="宋体" w:cs="Times New Roman"/>
                <w:color w:val="auto"/>
                <w:highlight w:val="none"/>
              </w:rPr>
              <w:t>代建单位（如有）：</w:t>
            </w:r>
          </w:p>
          <w:p w14:paraId="4DCBA594">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0634E7F8">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2065B8A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1F183023">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76E95C03">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7BC27497">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766AFC67">
            <w:pPr>
              <w:keepNext w:val="0"/>
              <w:keepLines w:val="0"/>
              <w:suppressLineNumbers w:val="0"/>
              <w:spacing w:before="0" w:beforeAutospacing="0" w:after="0" w:afterAutospacing="0" w:line="360" w:lineRule="exact"/>
              <w:ind w:left="0" w:right="0"/>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c>
          <w:tcPr>
            <w:tcW w:w="3265" w:type="dxa"/>
            <w:gridSpan w:val="3"/>
            <w:noWrap w:val="0"/>
            <w:vAlign w:val="top"/>
          </w:tcPr>
          <w:p w14:paraId="3385F8B9">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建设单位：</w:t>
            </w:r>
          </w:p>
          <w:p w14:paraId="1CD4E640">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5400565A">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26BDB8F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4F20CCDF">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3B33A02F">
            <w:pPr>
              <w:keepNext w:val="0"/>
              <w:keepLines w:val="0"/>
              <w:suppressLineNumbers w:val="0"/>
              <w:spacing w:before="0" w:beforeAutospacing="0" w:after="0" w:afterAutospacing="0" w:line="360" w:lineRule="exact"/>
              <w:ind w:left="0" w:right="0"/>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1A02DD4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7B642C99">
            <w:pPr>
              <w:keepNext w:val="0"/>
              <w:keepLines w:val="0"/>
              <w:suppressLineNumbers w:val="0"/>
              <w:spacing w:before="0" w:beforeAutospacing="0" w:after="0" w:afterAutospacing="0" w:line="360" w:lineRule="exact"/>
              <w:ind w:left="0" w:right="0" w:firstLine="1260" w:firstLineChars="600"/>
              <w:jc w:val="right"/>
              <w:rPr>
                <w:rFonts w:hint="default" w:ascii="Calibri" w:hAnsi="宋体" w:eastAsia="宋体" w:cs="Times New Roman"/>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p w14:paraId="59F632AC">
            <w:pPr>
              <w:keepNext w:val="0"/>
              <w:keepLines w:val="0"/>
              <w:suppressLineNumbers w:val="0"/>
              <w:spacing w:before="0" w:beforeAutospacing="0" w:after="0" w:afterAutospacing="0" w:line="360" w:lineRule="exact"/>
              <w:ind w:left="0" w:right="0"/>
              <w:rPr>
                <w:rFonts w:hint="eastAsia" w:ascii="Calibri" w:hAnsi="宋体" w:eastAsia="宋体" w:cs="宋体"/>
                <w:color w:val="auto"/>
                <w:highlight w:val="none"/>
              </w:rPr>
            </w:pPr>
          </w:p>
        </w:tc>
        <w:tc>
          <w:tcPr>
            <w:tcW w:w="3266" w:type="dxa"/>
            <w:gridSpan w:val="4"/>
            <w:noWrap w:val="0"/>
            <w:vAlign w:val="top"/>
          </w:tcPr>
          <w:p w14:paraId="624DA206">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eastAsia" w:ascii="Calibri" w:hAnsi="宋体" w:eastAsia="宋体" w:cs="Times New Roman"/>
                <w:color w:val="auto"/>
                <w:highlight w:val="none"/>
              </w:rPr>
              <w:t>招标</w:t>
            </w:r>
            <w:r>
              <w:rPr>
                <w:rFonts w:hint="default" w:ascii="Calibri" w:hAnsi="宋体" w:eastAsia="宋体" w:cs="Times New Roman"/>
                <w:color w:val="auto"/>
                <w:highlight w:val="none"/>
              </w:rPr>
              <w:t>代理</w:t>
            </w:r>
            <w:r>
              <w:rPr>
                <w:rFonts w:hint="eastAsia" w:ascii="Calibri" w:hAnsi="宋体" w:eastAsia="宋体" w:cs="Times New Roman"/>
                <w:color w:val="auto"/>
                <w:highlight w:val="none"/>
              </w:rPr>
              <w:t>机构</w:t>
            </w:r>
            <w:r>
              <w:rPr>
                <w:rFonts w:hint="default" w:ascii="Calibri" w:hAnsi="宋体" w:eastAsia="宋体" w:cs="Times New Roman"/>
                <w:color w:val="auto"/>
                <w:highlight w:val="none"/>
              </w:rPr>
              <w:t>：</w:t>
            </w:r>
          </w:p>
          <w:p w14:paraId="341D1DD9">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611675E8">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7059DAA1">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p>
          <w:p w14:paraId="70117EFE">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56BAC2D0">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default" w:ascii="Calibri" w:hAnsi="宋体" w:eastAsia="宋体" w:cs="Times New Roman"/>
                <w:color w:val="auto"/>
                <w:highlight w:val="none"/>
              </w:rPr>
              <w:t>（签字或盖章）</w:t>
            </w:r>
          </w:p>
          <w:p w14:paraId="5801C570">
            <w:pPr>
              <w:keepNext w:val="0"/>
              <w:keepLines w:val="0"/>
              <w:suppressLineNumbers w:val="0"/>
              <w:spacing w:before="0" w:beforeAutospacing="0" w:after="0" w:afterAutospacing="0" w:line="360" w:lineRule="exact"/>
              <w:ind w:left="0" w:right="0" w:firstLine="1155" w:firstLineChars="550"/>
              <w:rPr>
                <w:rFonts w:hint="default" w:ascii="Calibri" w:hAnsi="宋体" w:eastAsia="宋体" w:cs="Times New Roman"/>
                <w:color w:val="auto"/>
                <w:highlight w:val="none"/>
              </w:rPr>
            </w:pPr>
          </w:p>
          <w:p w14:paraId="328121F1">
            <w:pPr>
              <w:keepNext w:val="0"/>
              <w:keepLines w:val="0"/>
              <w:suppressLineNumbers w:val="0"/>
              <w:spacing w:before="0" w:beforeAutospacing="0" w:after="0" w:afterAutospacing="0" w:line="360" w:lineRule="exact"/>
              <w:ind w:left="0" w:right="0"/>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r>
      <w:tr w14:paraId="0300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62864390">
            <w:pPr>
              <w:keepNext w:val="0"/>
              <w:keepLines w:val="0"/>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备注</w:t>
            </w:r>
          </w:p>
        </w:tc>
        <w:tc>
          <w:tcPr>
            <w:tcW w:w="9232" w:type="dxa"/>
            <w:gridSpan w:val="11"/>
            <w:noWrap w:val="0"/>
            <w:vAlign w:val="center"/>
          </w:tcPr>
          <w:p w14:paraId="68523114">
            <w:pPr>
              <w:keepNext w:val="0"/>
              <w:keepLines w:val="0"/>
              <w:suppressLineNumbers w:val="0"/>
              <w:spacing w:before="0" w:beforeAutospacing="0" w:after="0" w:afterAutospacing="0" w:line="36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中标人在收到中标通知书后，须在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日内向招标人足额提交履约保证金，否则招标人可以取消其中标资格。招标人和中标人应当在投标有效期内以及中标通知书发出之日起</w:t>
            </w:r>
            <w:r>
              <w:rPr>
                <w:rFonts w:hint="default" w:ascii="Calibri" w:hAnsi="Calibri" w:eastAsia="宋体" w:cs="Times New Roman"/>
                <w:color w:val="auto"/>
                <w:highlight w:val="none"/>
              </w:rPr>
              <w:t>30</w:t>
            </w:r>
            <w:r>
              <w:rPr>
                <w:rFonts w:hint="eastAsia" w:ascii="Calibri" w:hAnsi="Calibri" w:eastAsia="宋体" w:cs="宋体"/>
                <w:color w:val="auto"/>
                <w:highlight w:val="none"/>
              </w:rPr>
              <w:t>天内，根据招标文件和中标人的投标文件订立书面合同。</w:t>
            </w:r>
          </w:p>
        </w:tc>
      </w:tr>
    </w:tbl>
    <w:p w14:paraId="3820B5F6">
      <w:pPr>
        <w:spacing w:before="120" w:beforeLines="50"/>
        <w:rPr>
          <w:rFonts w:hAnsi="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份。其中：建设单位</w:t>
      </w:r>
      <w:r>
        <w:rPr>
          <w:rFonts w:hAnsi="宋体"/>
          <w:color w:val="auto"/>
          <w:highlight w:val="none"/>
        </w:rPr>
        <w:t>6</w:t>
      </w:r>
      <w:r>
        <w:rPr>
          <w:rFonts w:hint="eastAsia" w:hAnsi="宋体" w:cs="宋体"/>
          <w:color w:val="auto"/>
          <w:highlight w:val="none"/>
        </w:rPr>
        <w:t>份（用于办理工程质量监督、安全监督、施工许可证以及存档等有关手续）、中标单位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06704106">
      <w:pPr>
        <w:spacing w:before="120" w:beforeLines="50"/>
        <w:rPr>
          <w:rFonts w:hint="eastAsia"/>
          <w:color w:val="auto"/>
          <w:highlight w:val="none"/>
        </w:rPr>
      </w:pPr>
    </w:p>
    <w:p w14:paraId="03F950DC">
      <w:pPr>
        <w:pStyle w:val="4"/>
        <w:spacing w:line="240" w:lineRule="auto"/>
        <w:rPr>
          <w:rFonts w:hint="eastAsia" w:eastAsia="黑体"/>
          <w:color w:val="auto"/>
          <w:sz w:val="28"/>
          <w:szCs w:val="28"/>
          <w:highlight w:val="none"/>
          <w:lang w:eastAsia="zh-CN"/>
        </w:rPr>
      </w:pPr>
      <w:bookmarkStart w:id="965" w:name="_Toc601584160"/>
      <w:bookmarkStart w:id="966" w:name="_Toc1449024083"/>
      <w:bookmarkStart w:id="967" w:name="_Toc78449775"/>
      <w:bookmarkStart w:id="968" w:name="_Toc25718"/>
      <w:bookmarkStart w:id="969" w:name="_Toc18588"/>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8</w:t>
      </w:r>
      <w:r>
        <w:rPr>
          <w:rFonts w:hint="eastAsia"/>
          <w:color w:val="auto"/>
          <w:sz w:val="28"/>
          <w:szCs w:val="28"/>
          <w:highlight w:val="none"/>
        </w:rPr>
        <w:t>：</w:t>
      </w:r>
      <w:bookmarkEnd w:id="965"/>
      <w:bookmarkEnd w:id="966"/>
      <w:bookmarkEnd w:id="967"/>
      <w:r>
        <w:rPr>
          <w:rFonts w:hint="eastAsia"/>
          <w:color w:val="auto"/>
          <w:sz w:val="28"/>
          <w:szCs w:val="28"/>
          <w:highlight w:val="none"/>
          <w:lang w:eastAsia="zh-CN"/>
        </w:rPr>
        <w:t>中标结果公告</w:t>
      </w:r>
      <w:bookmarkEnd w:id="968"/>
      <w:bookmarkEnd w:id="969"/>
    </w:p>
    <w:p w14:paraId="50E72DB8">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0"/>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2580"/>
        <w:gridCol w:w="714"/>
        <w:gridCol w:w="10"/>
        <w:gridCol w:w="797"/>
        <w:gridCol w:w="633"/>
        <w:gridCol w:w="25"/>
        <w:gridCol w:w="2981"/>
      </w:tblGrid>
      <w:tr w14:paraId="7A75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956D15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7740" w:type="dxa"/>
            <w:gridSpan w:val="7"/>
            <w:noWrap w:val="0"/>
            <w:tcMar>
              <w:top w:w="0" w:type="dxa"/>
              <w:left w:w="75" w:type="dxa"/>
              <w:bottom w:w="0" w:type="dxa"/>
              <w:right w:w="0" w:type="dxa"/>
            </w:tcMar>
            <w:vAlign w:val="center"/>
          </w:tcPr>
          <w:p w14:paraId="3EE872A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6968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5CCCA09">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7740" w:type="dxa"/>
            <w:gridSpan w:val="7"/>
            <w:noWrap w:val="0"/>
            <w:tcMar>
              <w:top w:w="0" w:type="dxa"/>
              <w:left w:w="75" w:type="dxa"/>
              <w:bottom w:w="0" w:type="dxa"/>
              <w:right w:w="0" w:type="dxa"/>
            </w:tcMar>
            <w:vAlign w:val="center"/>
          </w:tcPr>
          <w:p w14:paraId="310A6F8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4F6B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926" w:type="dxa"/>
            <w:noWrap w:val="0"/>
            <w:vAlign w:val="center"/>
          </w:tcPr>
          <w:p w14:paraId="06A11492">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highlight w:val="none"/>
              </w:rPr>
            </w:pPr>
            <w:r>
              <w:rPr>
                <w:rFonts w:hint="eastAsia" w:ascii="Calibri" w:hAnsi="宋体" w:eastAsia="宋体" w:cs="宋体"/>
                <w:color w:val="auto"/>
                <w:kern w:val="0"/>
                <w:highlight w:val="none"/>
              </w:rPr>
              <w:t>招标人</w:t>
            </w:r>
          </w:p>
        </w:tc>
        <w:tc>
          <w:tcPr>
            <w:tcW w:w="7740" w:type="dxa"/>
            <w:gridSpan w:val="7"/>
            <w:noWrap w:val="0"/>
            <w:tcMar>
              <w:top w:w="0" w:type="dxa"/>
              <w:left w:w="75" w:type="dxa"/>
              <w:bottom w:w="0" w:type="dxa"/>
              <w:right w:w="0" w:type="dxa"/>
            </w:tcMar>
            <w:vAlign w:val="center"/>
          </w:tcPr>
          <w:p w14:paraId="4D682DDA">
            <w:pPr>
              <w:keepNext w:val="0"/>
              <w:keepLines w:val="0"/>
              <w:widowControl/>
              <w:suppressLineNumbers w:val="0"/>
              <w:spacing w:before="0" w:beforeAutospacing="0" w:after="0" w:afterAutospacing="0" w:line="360" w:lineRule="auto"/>
              <w:ind w:left="0" w:right="0"/>
              <w:jc w:val="left"/>
              <w:rPr>
                <w:rFonts w:hint="default" w:ascii="Calibri" w:hAnsi="Calibri"/>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1143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1B41DBB">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建设单位</w:t>
            </w:r>
          </w:p>
        </w:tc>
        <w:tc>
          <w:tcPr>
            <w:tcW w:w="7740" w:type="dxa"/>
            <w:gridSpan w:val="7"/>
            <w:noWrap w:val="0"/>
            <w:tcMar>
              <w:top w:w="0" w:type="dxa"/>
              <w:left w:w="75" w:type="dxa"/>
              <w:bottom w:w="0" w:type="dxa"/>
              <w:right w:w="0" w:type="dxa"/>
            </w:tcMar>
            <w:vAlign w:val="center"/>
          </w:tcPr>
          <w:p w14:paraId="46775D1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4E9C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26" w:type="dxa"/>
            <w:noWrap w:val="0"/>
            <w:vAlign w:val="center"/>
          </w:tcPr>
          <w:p w14:paraId="0D1CF9AC">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r>
              <w:rPr>
                <w:rFonts w:hint="eastAsia" w:ascii="Calibri" w:hAnsi="宋体" w:cs="宋体"/>
                <w:color w:val="auto"/>
                <w:highlight w:val="none"/>
              </w:rPr>
              <w:t>代建</w:t>
            </w:r>
            <w:r>
              <w:rPr>
                <w:rFonts w:hint="default" w:ascii="Calibri" w:hAnsi="宋体" w:cs="宋体"/>
                <w:color w:val="auto"/>
                <w:highlight w:val="none"/>
              </w:rPr>
              <w:t>单位（如有）</w:t>
            </w:r>
          </w:p>
        </w:tc>
        <w:tc>
          <w:tcPr>
            <w:tcW w:w="7740" w:type="dxa"/>
            <w:gridSpan w:val="7"/>
            <w:noWrap w:val="0"/>
            <w:tcMar>
              <w:top w:w="0" w:type="dxa"/>
              <w:left w:w="75" w:type="dxa"/>
              <w:bottom w:w="0" w:type="dxa"/>
              <w:right w:w="0" w:type="dxa"/>
            </w:tcMar>
            <w:vAlign w:val="center"/>
          </w:tcPr>
          <w:p w14:paraId="3224F032">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p>
        </w:tc>
      </w:tr>
      <w:tr w14:paraId="4FB8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8EE773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54E8583D">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3"/>
            <w:noWrap w:val="0"/>
            <w:vAlign w:val="center"/>
          </w:tcPr>
          <w:p w14:paraId="1A1E059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gridSpan w:val="2"/>
            <w:noWrap w:val="0"/>
            <w:tcMar>
              <w:top w:w="0" w:type="dxa"/>
              <w:left w:w="75" w:type="dxa"/>
              <w:bottom w:w="0" w:type="dxa"/>
              <w:right w:w="0" w:type="dxa"/>
            </w:tcMar>
            <w:vAlign w:val="center"/>
          </w:tcPr>
          <w:p w14:paraId="36E53B57">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69A1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7BC9BC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7"/>
            <w:noWrap w:val="0"/>
            <w:tcMar>
              <w:top w:w="0" w:type="dxa"/>
              <w:left w:w="75" w:type="dxa"/>
              <w:bottom w:w="0" w:type="dxa"/>
              <w:right w:w="0" w:type="dxa"/>
            </w:tcMar>
            <w:vAlign w:val="center"/>
          </w:tcPr>
          <w:p w14:paraId="33BD02A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1357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5395AB8">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中标范围</w:t>
            </w:r>
          </w:p>
        </w:tc>
        <w:tc>
          <w:tcPr>
            <w:tcW w:w="7740" w:type="dxa"/>
            <w:gridSpan w:val="7"/>
            <w:noWrap w:val="0"/>
            <w:tcMar>
              <w:top w:w="0" w:type="dxa"/>
              <w:left w:w="75" w:type="dxa"/>
              <w:bottom w:w="0" w:type="dxa"/>
              <w:right w:w="0" w:type="dxa"/>
            </w:tcMar>
            <w:vAlign w:val="center"/>
          </w:tcPr>
          <w:p w14:paraId="514AC602">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3FA2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4396D90">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评</w:t>
            </w:r>
            <w:r>
              <w:rPr>
                <w:rFonts w:hint="default" w:ascii="Calibri" w:hAnsi="宋体" w:eastAsia="宋体" w:cs="宋体"/>
                <w:color w:val="auto"/>
                <w:kern w:val="0"/>
                <w:highlight w:val="none"/>
              </w:rPr>
              <w:t>标委员会</w:t>
            </w:r>
            <w:r>
              <w:rPr>
                <w:rFonts w:hint="eastAsia" w:ascii="Calibri" w:hAnsi="宋体" w:eastAsia="宋体" w:cs="宋体"/>
                <w:color w:val="auto"/>
                <w:kern w:val="0"/>
                <w:highlight w:val="none"/>
              </w:rPr>
              <w:t>成员</w:t>
            </w:r>
          </w:p>
        </w:tc>
        <w:tc>
          <w:tcPr>
            <w:tcW w:w="7740" w:type="dxa"/>
            <w:gridSpan w:val="7"/>
            <w:noWrap w:val="0"/>
            <w:tcMar>
              <w:top w:w="0" w:type="dxa"/>
              <w:left w:w="75" w:type="dxa"/>
              <w:bottom w:w="0" w:type="dxa"/>
              <w:right w:w="0" w:type="dxa"/>
            </w:tcMar>
            <w:vAlign w:val="center"/>
          </w:tcPr>
          <w:p w14:paraId="1EBF51D2">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0178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noWrap w:val="0"/>
            <w:vAlign w:val="center"/>
          </w:tcPr>
          <w:p w14:paraId="48DB5BD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开标时间</w:t>
            </w:r>
          </w:p>
        </w:tc>
        <w:tc>
          <w:tcPr>
            <w:tcW w:w="3304" w:type="dxa"/>
            <w:gridSpan w:val="3"/>
            <w:noWrap w:val="0"/>
            <w:tcMar>
              <w:top w:w="0" w:type="dxa"/>
              <w:left w:w="75" w:type="dxa"/>
              <w:bottom w:w="0" w:type="dxa"/>
              <w:right w:w="0" w:type="dxa"/>
            </w:tcMar>
            <w:vAlign w:val="center"/>
          </w:tcPr>
          <w:p w14:paraId="18741A3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455" w:type="dxa"/>
            <w:gridSpan w:val="3"/>
            <w:noWrap w:val="0"/>
            <w:tcMar>
              <w:top w:w="0" w:type="dxa"/>
              <w:left w:w="75" w:type="dxa"/>
              <w:bottom w:w="0" w:type="dxa"/>
              <w:right w:w="0" w:type="dxa"/>
            </w:tcMar>
            <w:vAlign w:val="center"/>
          </w:tcPr>
          <w:p w14:paraId="16DF3E18">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开标地点</w:t>
            </w:r>
          </w:p>
        </w:tc>
        <w:tc>
          <w:tcPr>
            <w:tcW w:w="2981" w:type="dxa"/>
            <w:noWrap w:val="0"/>
            <w:tcMar>
              <w:top w:w="0" w:type="dxa"/>
              <w:left w:w="75" w:type="dxa"/>
              <w:bottom w:w="0" w:type="dxa"/>
              <w:right w:w="0" w:type="dxa"/>
            </w:tcMar>
            <w:vAlign w:val="center"/>
          </w:tcPr>
          <w:p w14:paraId="38939586">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1778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926" w:type="dxa"/>
            <w:vMerge w:val="restart"/>
            <w:noWrap w:val="0"/>
            <w:vAlign w:val="center"/>
          </w:tcPr>
          <w:p w14:paraId="52519074">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中标人</w:t>
            </w:r>
          </w:p>
        </w:tc>
        <w:tc>
          <w:tcPr>
            <w:tcW w:w="2580" w:type="dxa"/>
            <w:vMerge w:val="restart"/>
            <w:noWrap w:val="0"/>
            <w:tcMar>
              <w:top w:w="0" w:type="dxa"/>
              <w:left w:w="75" w:type="dxa"/>
              <w:bottom w:w="0" w:type="dxa"/>
              <w:right w:w="0" w:type="dxa"/>
            </w:tcMar>
            <w:vAlign w:val="center"/>
          </w:tcPr>
          <w:p w14:paraId="024674B9">
            <w:pPr>
              <w:keepNext w:val="0"/>
              <w:keepLines w:val="0"/>
              <w:widowControl/>
              <w:suppressLineNumbers w:val="0"/>
              <w:spacing w:before="0" w:beforeAutospacing="0" w:after="0" w:afterAutospacing="0" w:line="360" w:lineRule="auto"/>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521" w:type="dxa"/>
            <w:gridSpan w:val="3"/>
            <w:vMerge w:val="restart"/>
            <w:noWrap w:val="0"/>
            <w:vAlign w:val="center"/>
          </w:tcPr>
          <w:p w14:paraId="3417E4CC">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39" w:type="dxa"/>
            <w:gridSpan w:val="3"/>
            <w:noWrap w:val="0"/>
            <w:vAlign w:val="center"/>
          </w:tcPr>
          <w:p w14:paraId="110C91F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5418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1926" w:type="dxa"/>
            <w:vMerge w:val="continue"/>
            <w:noWrap w:val="0"/>
            <w:vAlign w:val="center"/>
          </w:tcPr>
          <w:p w14:paraId="6BE848AD">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p>
        </w:tc>
        <w:tc>
          <w:tcPr>
            <w:tcW w:w="2580" w:type="dxa"/>
            <w:vMerge w:val="continue"/>
            <w:noWrap w:val="0"/>
            <w:tcMar>
              <w:top w:w="0" w:type="dxa"/>
              <w:left w:w="75" w:type="dxa"/>
              <w:bottom w:w="0" w:type="dxa"/>
              <w:right w:w="0" w:type="dxa"/>
            </w:tcMar>
            <w:vAlign w:val="center"/>
          </w:tcPr>
          <w:p w14:paraId="28551BAA">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521" w:type="dxa"/>
            <w:gridSpan w:val="3"/>
            <w:vMerge w:val="continue"/>
            <w:noWrap w:val="0"/>
            <w:vAlign w:val="center"/>
          </w:tcPr>
          <w:p w14:paraId="5E9D78E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3639" w:type="dxa"/>
            <w:gridSpan w:val="3"/>
            <w:noWrap w:val="0"/>
            <w:vAlign w:val="center"/>
          </w:tcPr>
          <w:p w14:paraId="61AF82DF">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3C5F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0096AAB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中标价</w:t>
            </w:r>
          </w:p>
        </w:tc>
        <w:tc>
          <w:tcPr>
            <w:tcW w:w="7740" w:type="dxa"/>
            <w:gridSpan w:val="7"/>
            <w:noWrap w:val="0"/>
            <w:tcMar>
              <w:top w:w="0" w:type="dxa"/>
              <w:left w:w="75" w:type="dxa"/>
              <w:bottom w:w="0" w:type="dxa"/>
              <w:right w:w="0" w:type="dxa"/>
            </w:tcMar>
            <w:vAlign w:val="center"/>
          </w:tcPr>
          <w:p w14:paraId="1F08F20F">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02FB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9B90ECD">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7740" w:type="dxa"/>
            <w:gridSpan w:val="7"/>
            <w:noWrap w:val="0"/>
            <w:tcMar>
              <w:top w:w="0" w:type="dxa"/>
              <w:left w:w="75" w:type="dxa"/>
              <w:bottom w:w="0" w:type="dxa"/>
              <w:right w:w="0" w:type="dxa"/>
            </w:tcMar>
            <w:vAlign w:val="center"/>
          </w:tcPr>
          <w:p w14:paraId="133AA96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2F2E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A463D4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7740" w:type="dxa"/>
            <w:gridSpan w:val="7"/>
            <w:noWrap w:val="0"/>
            <w:tcMar>
              <w:top w:w="0" w:type="dxa"/>
              <w:left w:w="75" w:type="dxa"/>
              <w:bottom w:w="0" w:type="dxa"/>
              <w:right w:w="0" w:type="dxa"/>
            </w:tcMar>
            <w:vAlign w:val="center"/>
          </w:tcPr>
          <w:p w14:paraId="3ED486E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60D3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noWrap w:val="0"/>
            <w:vAlign w:val="center"/>
          </w:tcPr>
          <w:p w14:paraId="563BE452">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7740" w:type="dxa"/>
            <w:gridSpan w:val="7"/>
            <w:noWrap w:val="0"/>
            <w:tcMar>
              <w:top w:w="0" w:type="dxa"/>
              <w:left w:w="75" w:type="dxa"/>
              <w:bottom w:w="0" w:type="dxa"/>
              <w:right w:w="0" w:type="dxa"/>
            </w:tcMar>
            <w:vAlign w:val="center"/>
          </w:tcPr>
          <w:p w14:paraId="1FFFF9A8">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eastAsia" w:ascii="Calibri" w:hAnsi="Calibri" w:eastAsia="宋体" w:cs="Times New Roman"/>
                <w:color w:val="auto"/>
                <w:kern w:val="0"/>
                <w:highlight w:val="none"/>
                <w:u w:val="single"/>
                <w:lang w:val="en-US" w:eastAsia="zh-CN"/>
              </w:rPr>
              <w:t xml:space="preserve">        </w:t>
            </w:r>
            <w:r>
              <w:rPr>
                <w:rFonts w:hint="default" w:ascii="Calibri" w:hAnsi="Calibri" w:eastAsia="宋体" w:cs="Times New Roman"/>
                <w:color w:val="auto"/>
                <w:kern w:val="0"/>
                <w:highlight w:val="none"/>
                <w:u w:val="single"/>
              </w:rPr>
              <w:t xml:space="preserve"> </w:t>
            </w:r>
          </w:p>
        </w:tc>
      </w:tr>
      <w:tr w14:paraId="0FF9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30FBDE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公告媒介</w:t>
            </w:r>
          </w:p>
        </w:tc>
        <w:tc>
          <w:tcPr>
            <w:tcW w:w="7740" w:type="dxa"/>
            <w:gridSpan w:val="7"/>
            <w:noWrap w:val="0"/>
            <w:tcMar>
              <w:top w:w="0" w:type="dxa"/>
              <w:left w:w="75" w:type="dxa"/>
              <w:bottom w:w="0" w:type="dxa"/>
              <w:right w:w="0" w:type="dxa"/>
            </w:tcMar>
            <w:vAlign w:val="center"/>
          </w:tcPr>
          <w:p w14:paraId="4B4AAEF3">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r w14:paraId="7062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04B6584">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公告日期（即中标通知书签发日期）</w:t>
            </w:r>
          </w:p>
        </w:tc>
        <w:tc>
          <w:tcPr>
            <w:tcW w:w="7740" w:type="dxa"/>
            <w:gridSpan w:val="7"/>
            <w:noWrap w:val="0"/>
            <w:tcMar>
              <w:top w:w="0" w:type="dxa"/>
              <w:left w:w="75" w:type="dxa"/>
              <w:bottom w:w="0" w:type="dxa"/>
              <w:right w:w="0" w:type="dxa"/>
            </w:tcMar>
            <w:vAlign w:val="center"/>
          </w:tcPr>
          <w:p w14:paraId="4CAF6C48">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bl>
    <w:p w14:paraId="750D9817">
      <w:pPr>
        <w:rPr>
          <w:b/>
          <w:bCs/>
          <w:color w:val="auto"/>
          <w:highlight w:val="none"/>
        </w:rPr>
      </w:pPr>
    </w:p>
    <w:p w14:paraId="247383EB">
      <w:pPr>
        <w:pStyle w:val="27"/>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single"/>
          <w:lang w:val="en-US" w:eastAsia="zh-CN"/>
        </w:rPr>
        <w:t xml:space="preserve">                                   </w:t>
      </w:r>
      <w:r>
        <w:rPr>
          <w:rFonts w:hint="eastAsia"/>
          <w:color w:val="auto"/>
          <w:sz w:val="21"/>
          <w:szCs w:val="21"/>
          <w:highlight w:val="none"/>
          <w:u w:val="single"/>
          <w:lang w:val="en-US" w:eastAsia="zh-CN"/>
        </w:rPr>
        <w:t xml:space="preserve"> 法定代表人或其授权项目负责人：（签名）</w:t>
      </w:r>
    </w:p>
    <w:p w14:paraId="165ECDC1">
      <w:pPr>
        <w:pStyle w:val="27"/>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32CFB95E">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p w14:paraId="1E394D7E">
      <w:pPr>
        <w:spacing w:line="420" w:lineRule="exact"/>
        <w:jc w:val="center"/>
        <w:rPr>
          <w:color w:val="auto"/>
          <w:highlight w:val="none"/>
        </w:rPr>
      </w:pPr>
    </w:p>
    <w:p w14:paraId="5526656C">
      <w:pPr>
        <w:spacing w:line="420" w:lineRule="exact"/>
        <w:jc w:val="center"/>
        <w:rPr>
          <w:rFonts w:hint="eastAsia"/>
          <w:color w:val="auto"/>
          <w:highlight w:val="none"/>
        </w:rPr>
      </w:pPr>
    </w:p>
    <w:p w14:paraId="71BD49D9">
      <w:pPr>
        <w:spacing w:line="420" w:lineRule="exact"/>
        <w:jc w:val="center"/>
        <w:rPr>
          <w:color w:val="auto"/>
          <w:highlight w:val="none"/>
        </w:rPr>
        <w:sectPr>
          <w:pgSz w:w="11907" w:h="16840"/>
          <w:pgMar w:top="1440" w:right="1440" w:bottom="1440" w:left="1797" w:header="851" w:footer="851" w:gutter="0"/>
          <w:cols w:space="720" w:num="1"/>
          <w:docGrid w:linePitch="312" w:charSpace="0"/>
        </w:sectPr>
      </w:pPr>
    </w:p>
    <w:bookmarkEnd w:id="474"/>
    <w:p w14:paraId="60E9D870">
      <w:pPr>
        <w:pStyle w:val="2"/>
        <w:jc w:val="center"/>
        <w:rPr>
          <w:rFonts w:cs="黑体"/>
          <w:color w:val="auto"/>
          <w:highlight w:val="none"/>
        </w:rPr>
      </w:pPr>
      <w:bookmarkStart w:id="970" w:name="_Toc78449776"/>
      <w:bookmarkStart w:id="971" w:name="_Toc4213"/>
      <w:bookmarkStart w:id="972" w:name="_Toc163918790"/>
      <w:bookmarkStart w:id="973" w:name="_Toc407135190"/>
      <w:bookmarkStart w:id="974" w:name="_Toc358476596"/>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bookmarkEnd w:id="970"/>
      <w:bookmarkEnd w:id="971"/>
      <w:bookmarkEnd w:id="972"/>
      <w:bookmarkEnd w:id="973"/>
    </w:p>
    <w:bookmarkEnd w:id="974"/>
    <w:p w14:paraId="67CCDD39">
      <w:pPr>
        <w:pStyle w:val="2"/>
        <w:jc w:val="center"/>
        <w:rPr>
          <w:color w:val="auto"/>
          <w:highlight w:val="none"/>
        </w:rPr>
      </w:pPr>
      <w:bookmarkStart w:id="975" w:name="_Toc296503025"/>
      <w:bookmarkStart w:id="976" w:name="_Toc373227552"/>
      <w:bookmarkStart w:id="977" w:name="_Toc407135191"/>
      <w:bookmarkStart w:id="978" w:name="_Toc78449777"/>
      <w:bookmarkStart w:id="979" w:name="_Toc389065255"/>
      <w:bookmarkStart w:id="980" w:name="_Toc373478199"/>
      <w:bookmarkStart w:id="981" w:name="_Toc296890982"/>
      <w:bookmarkStart w:id="982" w:name="_Toc351203480"/>
      <w:bookmarkStart w:id="983" w:name="_Toc724920571"/>
      <w:bookmarkStart w:id="984" w:name="_Toc4704"/>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975"/>
      <w:bookmarkEnd w:id="976"/>
      <w:bookmarkEnd w:id="977"/>
      <w:bookmarkEnd w:id="978"/>
      <w:bookmarkEnd w:id="979"/>
      <w:bookmarkEnd w:id="980"/>
      <w:bookmarkEnd w:id="981"/>
      <w:bookmarkEnd w:id="982"/>
      <w:bookmarkEnd w:id="983"/>
      <w:bookmarkEnd w:id="984"/>
    </w:p>
    <w:p w14:paraId="23CB6B5A">
      <w:pPr>
        <w:spacing w:line="360" w:lineRule="auto"/>
        <w:rPr>
          <w:color w:val="auto"/>
          <w:highlight w:val="none"/>
          <w:u w:val="single"/>
        </w:rPr>
      </w:pPr>
      <w:r>
        <w:rPr>
          <w:rFonts w:hint="eastAsia" w:hAnsi="宋体" w:cs="宋体"/>
          <w:color w:val="auto"/>
          <w:highlight w:val="none"/>
        </w:rPr>
        <w:t>发包人（全称）：</w:t>
      </w:r>
      <w:r>
        <w:rPr>
          <w:rFonts w:hAnsi="宋体"/>
          <w:color w:val="auto"/>
          <w:highlight w:val="none"/>
          <w:u w:val="single"/>
        </w:rPr>
        <w:t xml:space="preserve">                              </w:t>
      </w:r>
    </w:p>
    <w:p w14:paraId="7B5A8B5E">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14:paraId="2C40220D">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w:t>
      </w:r>
      <w:r>
        <w:rPr>
          <w:rFonts w:hint="eastAsia" w:hAnsi="宋体" w:cs="宋体"/>
          <w:color w:val="auto"/>
          <w:highlight w:val="none"/>
          <w:lang w:eastAsia="zh-CN"/>
        </w:rPr>
        <w:t>》《</w:t>
      </w:r>
      <w:r>
        <w:rPr>
          <w:rFonts w:hint="eastAsia" w:hAnsi="宋体" w:cs="宋体"/>
          <w:color w:val="auto"/>
          <w:highlight w:val="none"/>
        </w:rPr>
        <w:t>中华人民共和国建筑法》及有关法律规定，遵循平等、自愿、公平和诚实信用的原则，双方就</w:t>
      </w:r>
      <w:r>
        <w:rPr>
          <w:color w:val="auto"/>
          <w:highlight w:val="none"/>
          <w:u w:val="single"/>
        </w:rPr>
        <w:t xml:space="preserve">                       </w:t>
      </w:r>
      <w:r>
        <w:rPr>
          <w:rFonts w:hint="eastAsia" w:hAnsi="宋体" w:cs="宋体"/>
          <w:color w:val="auto"/>
          <w:highlight w:val="none"/>
        </w:rPr>
        <w:t>工程施工及有关事项协商一致，共同达成如下协议：</w:t>
      </w:r>
      <w:bookmarkStart w:id="985" w:name="_Toc351203481"/>
    </w:p>
    <w:p w14:paraId="4028885F">
      <w:pPr>
        <w:spacing w:line="360" w:lineRule="auto"/>
        <w:ind w:firstLine="422" w:firstLineChars="200"/>
        <w:outlineLvl w:val="0"/>
        <w:rPr>
          <w:b/>
          <w:bCs/>
          <w:color w:val="auto"/>
          <w:highlight w:val="none"/>
        </w:rPr>
      </w:pPr>
      <w:r>
        <w:rPr>
          <w:rFonts w:hint="eastAsia" w:hAnsi="宋体" w:cs="宋体"/>
          <w:b/>
          <w:bCs/>
          <w:color w:val="auto"/>
          <w:highlight w:val="none"/>
        </w:rPr>
        <w:t>一、工程概况</w:t>
      </w:r>
      <w:bookmarkEnd w:id="985"/>
    </w:p>
    <w:p w14:paraId="667AB597">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B9A0B54">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CBE3011">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500CD93">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D620D51">
      <w:pPr>
        <w:spacing w:line="360" w:lineRule="auto"/>
        <w:ind w:firstLine="411" w:firstLineChars="196"/>
        <w:rPr>
          <w:color w:val="auto"/>
          <w:highlight w:val="none"/>
        </w:rPr>
      </w:pPr>
      <w:r>
        <w:rPr>
          <w:color w:val="auto"/>
          <w:highlight w:val="none"/>
        </w:rPr>
        <w:t xml:space="preserve">5. </w:t>
      </w:r>
      <w:r>
        <w:rPr>
          <w:rFonts w:hint="eastAsia" w:hAnsi="宋体" w:cs="宋体"/>
          <w:color w:val="auto"/>
          <w:highlight w:val="none"/>
        </w:rPr>
        <w:t>工程内容：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FC3F628">
      <w:pPr>
        <w:spacing w:line="360" w:lineRule="auto"/>
        <w:ind w:firstLine="411" w:firstLineChars="196"/>
        <w:rPr>
          <w:color w:val="auto"/>
          <w:highlight w:val="none"/>
        </w:rPr>
      </w:pPr>
      <w:r>
        <w:rPr>
          <w:rFonts w:hint="eastAsia" w:hAnsi="宋体" w:cs="宋体"/>
          <w:color w:val="auto"/>
          <w:highlight w:val="none"/>
        </w:rPr>
        <w:t>群体工程应附《承包人承揽工程项目一览表》（附件</w:t>
      </w:r>
      <w:r>
        <w:rPr>
          <w:color w:val="auto"/>
          <w:highlight w:val="none"/>
        </w:rPr>
        <w:t>1</w:t>
      </w:r>
      <w:r>
        <w:rPr>
          <w:rFonts w:hint="eastAsia" w:hAnsi="宋体" w:cs="宋体"/>
          <w:color w:val="auto"/>
          <w:highlight w:val="none"/>
        </w:rPr>
        <w:t>）。</w:t>
      </w:r>
    </w:p>
    <w:p w14:paraId="24AE29A9">
      <w:pPr>
        <w:spacing w:line="360" w:lineRule="auto"/>
        <w:ind w:firstLine="411" w:firstLineChars="196"/>
        <w:rPr>
          <w:color w:val="auto"/>
          <w:highlight w:val="none"/>
        </w:rPr>
      </w:pPr>
      <w:r>
        <w:rPr>
          <w:color w:val="auto"/>
          <w:highlight w:val="none"/>
        </w:rPr>
        <w:t xml:space="preserve">6. </w:t>
      </w:r>
      <w:r>
        <w:rPr>
          <w:rFonts w:hint="eastAsia" w:hAnsi="宋体" w:cs="宋体"/>
          <w:color w:val="auto"/>
          <w:highlight w:val="none"/>
        </w:rPr>
        <w:t>工程承包范围：</w:t>
      </w:r>
    </w:p>
    <w:p w14:paraId="1CA59F0A">
      <w:pPr>
        <w:spacing w:line="360" w:lineRule="auto"/>
        <w:ind w:firstLine="405" w:firstLineChars="193"/>
        <w:rPr>
          <w:rFonts w:hAnsi="宋体"/>
          <w:color w:val="auto"/>
          <w:highlight w:val="none"/>
        </w:rPr>
      </w:pP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261015CF">
      <w:pPr>
        <w:spacing w:line="360" w:lineRule="auto"/>
        <w:ind w:firstLine="407" w:firstLineChars="193"/>
        <w:outlineLvl w:val="0"/>
        <w:rPr>
          <w:b/>
          <w:bCs/>
          <w:color w:val="auto"/>
          <w:highlight w:val="none"/>
        </w:rPr>
      </w:pPr>
      <w:bookmarkStart w:id="986" w:name="_Toc351203482"/>
      <w:r>
        <w:rPr>
          <w:rFonts w:hint="eastAsia" w:hAnsi="宋体" w:cs="宋体"/>
          <w:b/>
          <w:bCs/>
          <w:color w:val="auto"/>
          <w:highlight w:val="none"/>
        </w:rPr>
        <w:t>二、合同工期</w:t>
      </w:r>
      <w:bookmarkEnd w:id="986"/>
    </w:p>
    <w:p w14:paraId="0AD48A11">
      <w:pPr>
        <w:spacing w:line="360" w:lineRule="auto"/>
        <w:ind w:firstLine="459"/>
        <w:rPr>
          <w:color w:val="auto"/>
          <w:highlight w:val="none"/>
        </w:rPr>
      </w:pPr>
      <w:r>
        <w:rPr>
          <w:rFonts w:hint="eastAsia" w:hAnsi="宋体" w:cs="宋体"/>
          <w:color w:val="auto"/>
          <w:highlight w:val="none"/>
        </w:rPr>
        <w:t>计划开工日期：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（具体以发包人书面通知为准）</w:t>
      </w:r>
    </w:p>
    <w:p w14:paraId="62B27E01">
      <w:pPr>
        <w:spacing w:line="360" w:lineRule="auto"/>
        <w:ind w:firstLine="459"/>
        <w:rPr>
          <w:color w:val="auto"/>
          <w:highlight w:val="none"/>
        </w:rPr>
      </w:pPr>
      <w:r>
        <w:rPr>
          <w:rFonts w:hint="eastAsia" w:hAnsi="宋体" w:cs="宋体"/>
          <w:color w:val="auto"/>
          <w:highlight w:val="none"/>
        </w:rPr>
        <w:t>计划竣工日期：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w:t>
      </w:r>
    </w:p>
    <w:p w14:paraId="4568A24A">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p>
    <w:p w14:paraId="5E8770AA">
      <w:pPr>
        <w:spacing w:line="360" w:lineRule="auto"/>
        <w:ind w:firstLine="459"/>
        <w:outlineLvl w:val="0"/>
        <w:rPr>
          <w:b/>
          <w:bCs/>
          <w:color w:val="auto"/>
          <w:highlight w:val="none"/>
        </w:rPr>
      </w:pPr>
      <w:bookmarkStart w:id="987" w:name="_Toc351203483"/>
      <w:r>
        <w:rPr>
          <w:rFonts w:hint="eastAsia" w:hAnsi="宋体" w:cs="宋体"/>
          <w:b/>
          <w:bCs/>
          <w:color w:val="auto"/>
          <w:highlight w:val="none"/>
        </w:rPr>
        <w:t>三、质量标准</w:t>
      </w:r>
      <w:bookmarkEnd w:id="987"/>
    </w:p>
    <w:p w14:paraId="0644BFFD">
      <w:pPr>
        <w:spacing w:line="360" w:lineRule="auto"/>
        <w:ind w:firstLine="459"/>
        <w:rPr>
          <w:rFonts w:hAnsi="宋体"/>
          <w:color w:val="auto"/>
          <w:highlight w:val="none"/>
        </w:rPr>
      </w:pPr>
      <w:r>
        <w:rPr>
          <w:rFonts w:hint="eastAsia" w:hAnsi="宋体" w:cs="宋体"/>
          <w:color w:val="auto"/>
          <w:highlight w:val="none"/>
        </w:rPr>
        <w:t>工程质量符合</w:t>
      </w:r>
      <w:r>
        <w:rPr>
          <w:rFonts w:eastAsia="仿宋_GB2312"/>
          <w:color w:val="auto"/>
          <w:highlight w:val="none"/>
          <w:u w:val="single"/>
        </w:rPr>
        <w:t></w:t>
      </w:r>
      <w:r>
        <w:rPr>
          <w:rFonts w:hint="eastAsia" w:eastAsia="仿宋_GB2312"/>
          <w:color w:val="auto"/>
          <w:highlight w:val="none"/>
          <w:u w:val="single"/>
        </w:rPr>
        <w:t xml:space="preserve">           </w:t>
      </w:r>
      <w:r>
        <w:rPr>
          <w:rFonts w:eastAsia="仿宋_GB2312"/>
          <w:color w:val="auto"/>
          <w:highlight w:val="none"/>
          <w:u w:val="single"/>
        </w:rPr>
        <w:t></w:t>
      </w:r>
      <w:r>
        <w:rPr>
          <w:rFonts w:hint="eastAsia" w:hAnsi="宋体" w:cs="宋体"/>
          <w:color w:val="auto"/>
          <w:highlight w:val="none"/>
        </w:rPr>
        <w:t>标准。</w:t>
      </w:r>
    </w:p>
    <w:p w14:paraId="3AC22750">
      <w:pPr>
        <w:spacing w:line="360" w:lineRule="auto"/>
        <w:ind w:firstLine="459"/>
        <w:outlineLvl w:val="0"/>
        <w:rPr>
          <w:rFonts w:hAnsi="宋体"/>
          <w:b/>
          <w:bCs/>
          <w:color w:val="auto"/>
          <w:highlight w:val="none"/>
        </w:rPr>
      </w:pPr>
      <w:bookmarkStart w:id="988" w:name="_Toc351203484"/>
      <w:r>
        <w:rPr>
          <w:rFonts w:hint="eastAsia" w:hAnsi="宋体" w:cs="宋体"/>
          <w:b/>
          <w:bCs/>
          <w:color w:val="auto"/>
          <w:highlight w:val="none"/>
        </w:rPr>
        <w:t>四、签约合同价与合同价格形式</w:t>
      </w:r>
      <w:bookmarkEnd w:id="988"/>
    </w:p>
    <w:p w14:paraId="4560E8BF">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w:t>
      </w:r>
      <w:r>
        <w:rPr>
          <w:rFonts w:hint="eastAsia" w:hAnsi="宋体" w:cs="宋体"/>
          <w:color w:val="auto"/>
          <w:highlight w:val="none"/>
          <w:lang w:eastAsia="zh-CN"/>
        </w:rPr>
        <w:t>（</w:t>
      </w:r>
      <w:r>
        <w:rPr>
          <w:rFonts w:hint="eastAsia" w:hAnsi="宋体" w:cs="宋体"/>
          <w:color w:val="auto"/>
          <w:highlight w:val="none"/>
          <w:lang w:val="en-US" w:eastAsia="zh-CN"/>
        </w:rPr>
        <w:t>含税）</w:t>
      </w:r>
      <w:r>
        <w:rPr>
          <w:rFonts w:hint="eastAsia" w:hAnsi="宋体" w:cs="宋体"/>
          <w:color w:val="auto"/>
          <w:highlight w:val="none"/>
        </w:rPr>
        <w:t>为：</w:t>
      </w:r>
    </w:p>
    <w:p w14:paraId="42816DB6">
      <w:pPr>
        <w:spacing w:line="360" w:lineRule="auto"/>
        <w:ind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69CF2E23">
      <w:pPr>
        <w:spacing w:line="360" w:lineRule="auto"/>
        <w:ind w:firstLine="525" w:firstLineChars="250"/>
        <w:rPr>
          <w:rFonts w:hAnsi="宋体"/>
          <w:color w:val="auto"/>
          <w:highlight w:val="none"/>
        </w:rPr>
      </w:pPr>
      <w:r>
        <w:rPr>
          <w:rFonts w:hint="eastAsia" w:hAnsi="宋体" w:cs="宋体"/>
          <w:color w:val="auto"/>
          <w:highlight w:val="none"/>
        </w:rPr>
        <w:t>其中：</w:t>
      </w:r>
    </w:p>
    <w:p w14:paraId="134FCB46">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w:t>
      </w:r>
      <w:r>
        <w:rPr>
          <w:rFonts w:hint="eastAsia" w:hAnsi="宋体" w:cs="宋体"/>
          <w:color w:val="auto"/>
          <w:highlight w:val="none"/>
          <w:lang w:val="en-US" w:eastAsia="zh-CN"/>
        </w:rPr>
        <w:t>生产</w:t>
      </w:r>
      <w:r>
        <w:rPr>
          <w:rFonts w:hint="eastAsia" w:hAnsi="宋体" w:cs="宋体"/>
          <w:color w:val="auto"/>
          <w:highlight w:val="none"/>
        </w:rPr>
        <w:t>费：</w:t>
      </w:r>
    </w:p>
    <w:p w14:paraId="7ED01E90">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0358F9A4">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）材料暂估价金额：</w:t>
      </w:r>
    </w:p>
    <w:p w14:paraId="12952D00">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018019FF">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329E0978">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62727545">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356646FC">
      <w:pPr>
        <w:spacing w:line="360" w:lineRule="auto"/>
        <w:ind w:firstLine="945" w:firstLineChars="4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4FFE29FD">
      <w:pPr>
        <w:spacing w:line="360" w:lineRule="auto"/>
        <w:ind w:firstLine="420" w:firstLineChars="200"/>
        <w:rPr>
          <w:rFonts w:hint="eastAsia" w:hAnsi="宋体"/>
          <w:color w:val="auto"/>
          <w:highlight w:val="none"/>
        </w:rPr>
      </w:pPr>
      <w:r>
        <w:rPr>
          <w:color w:val="auto"/>
          <w:highlight w:val="none"/>
        </w:rPr>
        <w:t xml:space="preserve">2. </w:t>
      </w:r>
      <w:r>
        <w:rPr>
          <w:rFonts w:hint="eastAsia" w:hAnsi="宋体" w:cs="宋体"/>
          <w:color w:val="auto"/>
          <w:highlight w:val="none"/>
        </w:rPr>
        <w:t>合同价格形式：</w:t>
      </w:r>
      <w:r>
        <w:rPr>
          <w:color w:val="auto"/>
          <w:highlight w:val="none"/>
        </w:rPr>
        <w:t xml:space="preserve">   </w:t>
      </w:r>
      <w:r>
        <w:rPr>
          <w:color w:val="auto"/>
          <w:highlight w:val="none"/>
          <w:u w:val="single"/>
        </w:rPr>
        <w:t xml:space="preserve">               </w:t>
      </w:r>
      <w:r>
        <w:rPr>
          <w:rFonts w:hint="eastAsia" w:hAnsi="宋体" w:cs="宋体"/>
          <w:color w:val="auto"/>
          <w:highlight w:val="none"/>
        </w:rPr>
        <w:t>。</w:t>
      </w:r>
    </w:p>
    <w:p w14:paraId="2D9B1994">
      <w:pPr>
        <w:spacing w:line="360" w:lineRule="auto"/>
        <w:ind w:firstLine="422" w:firstLineChars="200"/>
        <w:outlineLvl w:val="0"/>
        <w:rPr>
          <w:b/>
          <w:bCs/>
          <w:color w:val="auto"/>
          <w:highlight w:val="none"/>
        </w:rPr>
      </w:pPr>
      <w:bookmarkStart w:id="989" w:name="_Toc351203485"/>
      <w:r>
        <w:rPr>
          <w:rFonts w:hint="eastAsia" w:hAnsi="宋体" w:cs="宋体"/>
          <w:b/>
          <w:bCs/>
          <w:color w:val="auto"/>
          <w:highlight w:val="none"/>
        </w:rPr>
        <w:t>五、</w:t>
      </w:r>
      <w:bookmarkEnd w:id="989"/>
      <w:r>
        <w:rPr>
          <w:rFonts w:hint="eastAsia" w:hAnsi="宋体" w:cs="宋体"/>
          <w:b/>
          <w:bCs/>
          <w:color w:val="auto"/>
          <w:highlight w:val="none"/>
        </w:rPr>
        <w:t>项目经理</w:t>
      </w:r>
    </w:p>
    <w:p w14:paraId="01BD30C3">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14:paraId="2D0A205E">
      <w:pPr>
        <w:spacing w:line="360" w:lineRule="auto"/>
        <w:ind w:firstLine="422" w:firstLineChars="200"/>
        <w:outlineLvl w:val="0"/>
        <w:rPr>
          <w:b/>
          <w:bCs/>
          <w:color w:val="auto"/>
          <w:highlight w:val="none"/>
        </w:rPr>
      </w:pPr>
      <w:bookmarkStart w:id="990" w:name="_Toc351203486"/>
      <w:r>
        <w:rPr>
          <w:rFonts w:hint="eastAsia" w:hAnsi="宋体" w:cs="宋体"/>
          <w:b/>
          <w:bCs/>
          <w:color w:val="auto"/>
          <w:highlight w:val="none"/>
        </w:rPr>
        <w:t>六、合同文件构成</w:t>
      </w:r>
      <w:bookmarkEnd w:id="990"/>
    </w:p>
    <w:p w14:paraId="26D64641">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4356C22E">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）中标通知书（如有）；</w:t>
      </w:r>
    </w:p>
    <w:p w14:paraId="0544C2AB">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）投标函及其附录（如有）；</w:t>
      </w:r>
      <w:r>
        <w:rPr>
          <w:color w:val="auto"/>
          <w:highlight w:val="none"/>
        </w:rPr>
        <w:t xml:space="preserve"> </w:t>
      </w:r>
    </w:p>
    <w:p w14:paraId="33CFAAA4">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）专用合同条款及其附件；</w:t>
      </w:r>
    </w:p>
    <w:p w14:paraId="787D169E">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）通用合同条款；</w:t>
      </w:r>
    </w:p>
    <w:p w14:paraId="0ACA39B2">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5</w:t>
      </w:r>
      <w:r>
        <w:rPr>
          <w:rFonts w:hint="eastAsia" w:hAnsi="宋体" w:cs="宋体"/>
          <w:color w:val="auto"/>
          <w:highlight w:val="none"/>
        </w:rPr>
        <w:t>）</w:t>
      </w:r>
      <w:r>
        <w:rPr>
          <w:rFonts w:hint="default" w:ascii="Times New Roman" w:hAnsi="Times New Roman" w:cs="Times New Roman"/>
          <w:color w:val="auto"/>
          <w:szCs w:val="21"/>
          <w:highlight w:val="none"/>
        </w:rPr>
        <w:t>标准、规范及有关技术文件</w:t>
      </w:r>
      <w:r>
        <w:rPr>
          <w:rFonts w:hint="eastAsia" w:hAnsi="宋体" w:cs="宋体"/>
          <w:color w:val="auto"/>
          <w:highlight w:val="none"/>
        </w:rPr>
        <w:t>；</w:t>
      </w:r>
    </w:p>
    <w:p w14:paraId="49474B7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6</w:t>
      </w:r>
      <w:r>
        <w:rPr>
          <w:rFonts w:hint="eastAsia" w:hAnsi="宋体" w:cs="宋体"/>
          <w:color w:val="auto"/>
          <w:highlight w:val="none"/>
        </w:rPr>
        <w:t>）</w:t>
      </w:r>
      <w:r>
        <w:rPr>
          <w:rFonts w:hint="default" w:ascii="Times New Roman" w:hAnsi="Times New Roman" w:cs="Times New Roman"/>
          <w:color w:val="auto"/>
          <w:szCs w:val="21"/>
          <w:highlight w:val="none"/>
        </w:rPr>
        <w:t>价格清单</w:t>
      </w:r>
      <w:r>
        <w:rPr>
          <w:rFonts w:hint="eastAsia" w:hAnsi="宋体" w:cs="宋体"/>
          <w:color w:val="auto"/>
          <w:highlight w:val="none"/>
        </w:rPr>
        <w:t>；</w:t>
      </w:r>
    </w:p>
    <w:p w14:paraId="5C92322C">
      <w:pPr>
        <w:autoSpaceDE w:val="0"/>
        <w:autoSpaceDN w:val="0"/>
        <w:adjustRightInd w:val="0"/>
        <w:spacing w:line="360" w:lineRule="auto"/>
        <w:ind w:firstLine="420" w:firstLineChars="200"/>
        <w:jc w:val="left"/>
        <w:rPr>
          <w:rFonts w:hint="eastAsia" w:eastAsia="宋体"/>
          <w:color w:val="auto"/>
          <w:highlight w:val="none"/>
          <w:lang w:eastAsia="zh-CN"/>
        </w:rPr>
      </w:pPr>
      <w:r>
        <w:rPr>
          <w:rFonts w:hint="eastAsia" w:hAnsi="宋体" w:cs="宋体"/>
          <w:color w:val="auto"/>
          <w:highlight w:val="none"/>
        </w:rPr>
        <w:t>（</w:t>
      </w:r>
      <w:r>
        <w:rPr>
          <w:rFonts w:hint="eastAsia"/>
          <w:color w:val="auto"/>
          <w:highlight w:val="none"/>
          <w:lang w:val="en-US" w:eastAsia="zh-CN"/>
        </w:rPr>
        <w:t>7</w:t>
      </w:r>
      <w:r>
        <w:rPr>
          <w:rFonts w:hint="eastAsia" w:hAnsi="宋体" w:cs="宋体"/>
          <w:color w:val="auto"/>
          <w:highlight w:val="none"/>
        </w:rPr>
        <w:t>）</w:t>
      </w:r>
      <w:r>
        <w:rPr>
          <w:rFonts w:hint="default" w:ascii="Times New Roman" w:hAnsi="Times New Roman" w:cs="Times New Roman"/>
          <w:color w:val="auto"/>
          <w:szCs w:val="21"/>
          <w:highlight w:val="none"/>
        </w:rPr>
        <w:t>其他合同文件</w:t>
      </w:r>
      <w:r>
        <w:rPr>
          <w:rFonts w:hint="eastAsia" w:hAnsi="宋体" w:cs="宋体"/>
          <w:color w:val="auto"/>
          <w:highlight w:val="none"/>
          <w:lang w:eastAsia="zh-CN"/>
        </w:rPr>
        <w:t>；</w:t>
      </w:r>
    </w:p>
    <w:p w14:paraId="5D04DA53">
      <w:pPr>
        <w:autoSpaceDE w:val="0"/>
        <w:autoSpaceDN w:val="0"/>
        <w:adjustRightInd w:val="0"/>
        <w:spacing w:line="360" w:lineRule="auto"/>
        <w:ind w:firstLine="420" w:firstLineChars="200"/>
        <w:jc w:val="left"/>
        <w:rPr>
          <w:color w:val="auto"/>
          <w:highlight w:val="none"/>
        </w:rPr>
      </w:pPr>
    </w:p>
    <w:p w14:paraId="7065BB08">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上述各项合同文件包括合同当事人就该项合同文件所作出的补充和修改，属于同一类内容的文件，应以最新签署的为准（违反招标文件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3A0B0502">
      <w:pPr>
        <w:autoSpaceDE w:val="0"/>
        <w:autoSpaceDN w:val="0"/>
        <w:adjustRightInd w:val="0"/>
        <w:spacing w:line="360" w:lineRule="auto"/>
        <w:ind w:firstLine="422" w:firstLineChars="200"/>
        <w:jc w:val="left"/>
        <w:outlineLvl w:val="0"/>
        <w:rPr>
          <w:b/>
          <w:bCs/>
          <w:color w:val="auto"/>
          <w:highlight w:val="none"/>
        </w:rPr>
      </w:pPr>
      <w:bookmarkStart w:id="991" w:name="_Toc351203487"/>
      <w:r>
        <w:rPr>
          <w:rFonts w:hint="eastAsia" w:hAnsi="宋体" w:cs="宋体"/>
          <w:b/>
          <w:bCs/>
          <w:color w:val="auto"/>
          <w:highlight w:val="none"/>
        </w:rPr>
        <w:t>七、承诺</w:t>
      </w:r>
      <w:bookmarkEnd w:id="991"/>
    </w:p>
    <w:p w14:paraId="12D812CF">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1CB4B51E">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21BC997A">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992" w:name="_Toc351203488"/>
    </w:p>
    <w:p w14:paraId="74C93B76">
      <w:pPr>
        <w:spacing w:line="360" w:lineRule="auto"/>
        <w:ind w:firstLine="422" w:firstLineChars="200"/>
        <w:outlineLvl w:val="0"/>
        <w:rPr>
          <w:b/>
          <w:bCs/>
          <w:color w:val="auto"/>
          <w:highlight w:val="none"/>
        </w:rPr>
      </w:pPr>
      <w:r>
        <w:rPr>
          <w:rFonts w:hint="eastAsia" w:hAnsi="宋体" w:cs="宋体"/>
          <w:b/>
          <w:bCs/>
          <w:color w:val="auto"/>
          <w:highlight w:val="none"/>
        </w:rPr>
        <w:t>八、词语含义</w:t>
      </w:r>
      <w:bookmarkEnd w:id="992"/>
    </w:p>
    <w:p w14:paraId="0514698E">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7AA585EC">
      <w:pPr>
        <w:spacing w:line="360" w:lineRule="auto"/>
        <w:ind w:firstLine="422" w:firstLineChars="200"/>
        <w:outlineLvl w:val="0"/>
        <w:rPr>
          <w:b/>
          <w:bCs/>
          <w:color w:val="auto"/>
          <w:highlight w:val="none"/>
        </w:rPr>
      </w:pPr>
      <w:bookmarkStart w:id="993" w:name="_Toc351203489"/>
      <w:r>
        <w:rPr>
          <w:rFonts w:hint="eastAsia" w:hAnsi="宋体" w:cs="宋体"/>
          <w:b/>
          <w:bCs/>
          <w:color w:val="auto"/>
          <w:highlight w:val="none"/>
        </w:rPr>
        <w:t>九、签订时间</w:t>
      </w:r>
      <w:bookmarkEnd w:id="993"/>
    </w:p>
    <w:p w14:paraId="71F1B8B5">
      <w:pPr>
        <w:spacing w:line="360" w:lineRule="auto"/>
        <w:ind w:firstLine="420" w:firstLineChars="200"/>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14:paraId="2CE58840">
      <w:pPr>
        <w:spacing w:line="360" w:lineRule="auto"/>
        <w:ind w:firstLine="422" w:firstLineChars="200"/>
        <w:outlineLvl w:val="0"/>
        <w:rPr>
          <w:b/>
          <w:bCs/>
          <w:color w:val="auto"/>
          <w:highlight w:val="none"/>
        </w:rPr>
      </w:pPr>
      <w:bookmarkStart w:id="994" w:name="_Toc351203490"/>
      <w:r>
        <w:rPr>
          <w:rFonts w:hint="eastAsia" w:hAnsi="宋体" w:cs="宋体"/>
          <w:b/>
          <w:bCs/>
          <w:color w:val="auto"/>
          <w:highlight w:val="none"/>
        </w:rPr>
        <w:t>十、签订地点</w:t>
      </w:r>
      <w:bookmarkEnd w:id="994"/>
    </w:p>
    <w:p w14:paraId="753F42D6">
      <w:pPr>
        <w:spacing w:line="360" w:lineRule="auto"/>
        <w:ind w:firstLine="420" w:firstLineChars="200"/>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hAnsi="宋体" w:cs="宋体"/>
          <w:color w:val="auto"/>
          <w:highlight w:val="none"/>
        </w:rPr>
        <w:t>签订。</w:t>
      </w:r>
    </w:p>
    <w:p w14:paraId="1E4E3799">
      <w:pPr>
        <w:spacing w:line="360" w:lineRule="auto"/>
        <w:ind w:firstLine="422" w:firstLineChars="200"/>
        <w:outlineLvl w:val="0"/>
        <w:rPr>
          <w:b/>
          <w:bCs/>
          <w:color w:val="auto"/>
          <w:highlight w:val="none"/>
        </w:rPr>
      </w:pPr>
      <w:bookmarkStart w:id="995" w:name="_Toc351203491"/>
      <w:r>
        <w:rPr>
          <w:rFonts w:hint="eastAsia" w:hAnsi="宋体" w:cs="宋体"/>
          <w:b/>
          <w:bCs/>
          <w:color w:val="auto"/>
          <w:highlight w:val="none"/>
        </w:rPr>
        <w:t>十一、补充协议</w:t>
      </w:r>
      <w:bookmarkEnd w:id="995"/>
    </w:p>
    <w:p w14:paraId="22699A16">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2CA18CF0">
      <w:pPr>
        <w:spacing w:line="360" w:lineRule="auto"/>
        <w:ind w:firstLine="422" w:firstLineChars="200"/>
        <w:outlineLvl w:val="0"/>
        <w:rPr>
          <w:b/>
          <w:bCs/>
          <w:color w:val="auto"/>
          <w:highlight w:val="none"/>
        </w:rPr>
      </w:pPr>
      <w:bookmarkStart w:id="996" w:name="_Toc351203492"/>
      <w:r>
        <w:rPr>
          <w:rFonts w:hint="eastAsia" w:hAnsi="宋体" w:cs="宋体"/>
          <w:b/>
          <w:bCs/>
          <w:color w:val="auto"/>
          <w:highlight w:val="none"/>
        </w:rPr>
        <w:t>十二、合同生效</w:t>
      </w:r>
      <w:bookmarkEnd w:id="996"/>
    </w:p>
    <w:p w14:paraId="169BA240">
      <w:pPr>
        <w:spacing w:line="360" w:lineRule="auto"/>
        <w:ind w:firstLine="420" w:firstLineChars="200"/>
        <w:rPr>
          <w:rFonts w:hAnsi="宋体"/>
          <w:color w:val="auto"/>
          <w:highlight w:val="none"/>
        </w:rPr>
      </w:pPr>
      <w:r>
        <w:rPr>
          <w:rFonts w:hint="eastAsia" w:hAnsi="宋体" w:cs="宋体"/>
          <w:color w:val="auto"/>
          <w:highlight w:val="none"/>
        </w:rPr>
        <w:t>本合同自</w:t>
      </w:r>
      <w:r>
        <w:rPr>
          <w:color w:val="auto"/>
          <w:highlight w:val="none"/>
          <w:u w:val="single"/>
        </w:rPr>
        <w:t xml:space="preserve">                                   </w:t>
      </w:r>
      <w:r>
        <w:rPr>
          <w:rFonts w:hint="eastAsia" w:hAnsi="宋体" w:cs="宋体"/>
          <w:color w:val="auto"/>
          <w:highlight w:val="none"/>
        </w:rPr>
        <w:t>生效。</w:t>
      </w:r>
    </w:p>
    <w:p w14:paraId="4B76EF1C">
      <w:pPr>
        <w:spacing w:line="360" w:lineRule="auto"/>
        <w:ind w:firstLine="422" w:firstLineChars="200"/>
        <w:outlineLvl w:val="0"/>
        <w:rPr>
          <w:b/>
          <w:bCs/>
          <w:color w:val="auto"/>
          <w:highlight w:val="none"/>
        </w:rPr>
      </w:pPr>
      <w:bookmarkStart w:id="997" w:name="_Toc351203493"/>
      <w:r>
        <w:rPr>
          <w:rFonts w:hint="eastAsia" w:hAnsi="宋体" w:cs="宋体"/>
          <w:b/>
          <w:bCs/>
          <w:color w:val="auto"/>
          <w:highlight w:val="none"/>
        </w:rPr>
        <w:t>十三、合同份数</w:t>
      </w:r>
      <w:bookmarkEnd w:id="997"/>
    </w:p>
    <w:p w14:paraId="2E7786EE">
      <w:pPr>
        <w:spacing w:line="360" w:lineRule="auto"/>
        <w:ind w:firstLine="420" w:firstLineChars="200"/>
        <w:rPr>
          <w:color w:val="auto"/>
          <w:highlight w:val="none"/>
        </w:rPr>
      </w:pPr>
      <w:r>
        <w:rPr>
          <w:rFonts w:hint="eastAsia" w:hAnsi="宋体" w:cs="宋体"/>
          <w:color w:val="auto"/>
          <w:highlight w:val="none"/>
        </w:rPr>
        <w:t>本合同一式</w:t>
      </w:r>
      <w:r>
        <w:rPr>
          <w:color w:val="auto"/>
          <w:highlight w:val="none"/>
          <w:u w:val="single"/>
        </w:rPr>
        <w:t xml:space="preserve">    </w:t>
      </w:r>
      <w:r>
        <w:rPr>
          <w:rFonts w:hint="eastAsia" w:hAnsi="宋体" w:cs="宋体"/>
          <w:color w:val="auto"/>
          <w:highlight w:val="none"/>
        </w:rPr>
        <w:t>份，均具有同等法律效力，发包人执</w:t>
      </w:r>
      <w:r>
        <w:rPr>
          <w:color w:val="auto"/>
          <w:highlight w:val="none"/>
          <w:u w:val="single"/>
        </w:rPr>
        <w:t xml:space="preserve">    </w:t>
      </w:r>
      <w:r>
        <w:rPr>
          <w:rFonts w:hint="eastAsia" w:hAnsi="宋体" w:cs="宋体"/>
          <w:color w:val="auto"/>
          <w:highlight w:val="none"/>
        </w:rPr>
        <w:t>份，承包人执</w:t>
      </w:r>
      <w:r>
        <w:rPr>
          <w:color w:val="auto"/>
          <w:highlight w:val="none"/>
          <w:u w:val="single"/>
        </w:rPr>
        <w:t xml:space="preserve">    </w:t>
      </w:r>
      <w:r>
        <w:rPr>
          <w:rFonts w:hint="eastAsia" w:hAnsi="宋体" w:cs="宋体"/>
          <w:color w:val="auto"/>
          <w:highlight w:val="none"/>
        </w:rPr>
        <w:t>份。</w:t>
      </w:r>
    </w:p>
    <w:p w14:paraId="453C5FDA">
      <w:pPr>
        <w:spacing w:line="360" w:lineRule="auto"/>
        <w:rPr>
          <w:color w:val="auto"/>
          <w:highlight w:val="none"/>
        </w:rPr>
      </w:pPr>
    </w:p>
    <w:p w14:paraId="0B373D64">
      <w:pPr>
        <w:spacing w:line="360" w:lineRule="auto"/>
        <w:rPr>
          <w:color w:val="auto"/>
          <w:highlight w:val="none"/>
        </w:rPr>
      </w:pPr>
    </w:p>
    <w:p w14:paraId="04CA3F90">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2244398D">
      <w:pPr>
        <w:spacing w:line="360" w:lineRule="auto"/>
        <w:rPr>
          <w:color w:val="auto"/>
          <w:highlight w:val="none"/>
          <w:u w:val="single"/>
        </w:rPr>
      </w:pPr>
      <w:r>
        <w:rPr>
          <w:color w:val="auto"/>
          <w:highlight w:val="none"/>
        </w:rPr>
        <w:t xml:space="preserve">                                 </w:t>
      </w:r>
    </w:p>
    <w:p w14:paraId="7960ECCC">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14:paraId="3E0F5741">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14:paraId="79A1384B">
      <w:pPr>
        <w:spacing w:line="360" w:lineRule="auto"/>
        <w:rPr>
          <w:color w:val="auto"/>
          <w:highlight w:val="none"/>
          <w:u w:val="single"/>
        </w:rPr>
      </w:pPr>
    </w:p>
    <w:p w14:paraId="3B9A8F85">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3DB56C25">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14:paraId="600588F1">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74BCB1B2">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DA174EC">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28C4332F">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46069D0">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027573B2">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14:paraId="635BA9B7">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71E051CE">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1AF9BDDD">
      <w:pPr>
        <w:widowControl/>
        <w:jc w:val="left"/>
        <w:rPr>
          <w:color w:val="auto"/>
          <w:highlight w:val="none"/>
          <w:u w:val="single"/>
        </w:rPr>
      </w:pPr>
      <w:r>
        <w:rPr>
          <w:color w:val="auto"/>
          <w:highlight w:val="none"/>
        </w:rPr>
        <w:br w:type="page"/>
      </w:r>
    </w:p>
    <w:p w14:paraId="77230CF3">
      <w:pPr>
        <w:pStyle w:val="2"/>
        <w:jc w:val="center"/>
        <w:rPr>
          <w:color w:val="auto"/>
          <w:highlight w:val="none"/>
        </w:rPr>
      </w:pPr>
      <w:bookmarkStart w:id="998" w:name="_Toc407135192"/>
      <w:bookmarkStart w:id="999" w:name="_Toc7212"/>
      <w:bookmarkStart w:id="1000" w:name="_Toc389065256"/>
      <w:bookmarkStart w:id="1001" w:name="_Toc86847323"/>
      <w:bookmarkStart w:id="1002" w:name="_Toc78449778"/>
      <w:bookmarkStart w:id="1003" w:name="_Toc373227691"/>
      <w:bookmarkStart w:id="1004" w:name="_Toc351203632"/>
      <w:bookmarkStart w:id="1005" w:name="_Toc373478338"/>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998"/>
      <w:bookmarkEnd w:id="999"/>
      <w:bookmarkEnd w:id="1000"/>
      <w:bookmarkEnd w:id="1001"/>
      <w:bookmarkEnd w:id="1002"/>
    </w:p>
    <w:p w14:paraId="48BF590D">
      <w:pPr>
        <w:spacing w:line="360" w:lineRule="auto"/>
        <w:ind w:firstLine="420" w:firstLineChars="200"/>
        <w:rPr>
          <w:rFonts w:hAnsi="宋体"/>
          <w:color w:val="auto"/>
          <w:kern w:val="0"/>
          <w:highlight w:val="none"/>
        </w:rPr>
      </w:pPr>
    </w:p>
    <w:p w14:paraId="402F59ED">
      <w:pPr>
        <w:spacing w:line="360" w:lineRule="auto"/>
        <w:ind w:firstLine="422" w:firstLineChars="2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7D5A8BFD">
      <w:pPr>
        <w:pStyle w:val="2"/>
        <w:keepNext w:val="0"/>
        <w:keepLines w:val="0"/>
        <w:jc w:val="center"/>
        <w:rPr>
          <w:rFonts w:hAnsi="宋体"/>
          <w:color w:val="auto"/>
          <w:sz w:val="30"/>
          <w:szCs w:val="30"/>
          <w:highlight w:val="none"/>
        </w:rPr>
      </w:pPr>
      <w:bookmarkStart w:id="1006" w:name="_Toc407135193"/>
      <w:bookmarkStart w:id="1007" w:name="_Toc78449779"/>
      <w:bookmarkStart w:id="1008" w:name="_Toc389065257"/>
      <w:bookmarkStart w:id="1009" w:name="_Toc15440"/>
      <w:bookmarkStart w:id="1010" w:name="_Toc704444909"/>
      <w:r>
        <w:rPr>
          <w:rFonts w:hint="eastAsia" w:hAnsi="宋体" w:cs="黑体"/>
          <w:color w:val="auto"/>
          <w:sz w:val="30"/>
          <w:szCs w:val="30"/>
          <w:highlight w:val="none"/>
        </w:rPr>
        <w:t>第三部分</w:t>
      </w:r>
      <w:r>
        <w:rPr>
          <w:color w:val="auto"/>
          <w:sz w:val="30"/>
          <w:szCs w:val="30"/>
          <w:highlight w:val="none"/>
        </w:rPr>
        <w:t xml:space="preserve"> </w:t>
      </w:r>
      <w:r>
        <w:rPr>
          <w:rFonts w:hint="eastAsia" w:hAnsi="宋体" w:cs="黑体"/>
          <w:color w:val="auto"/>
          <w:sz w:val="30"/>
          <w:szCs w:val="30"/>
          <w:highlight w:val="none"/>
        </w:rPr>
        <w:t>专用合同条款</w:t>
      </w:r>
      <w:bookmarkEnd w:id="1003"/>
      <w:bookmarkEnd w:id="1004"/>
      <w:bookmarkEnd w:id="1005"/>
      <w:bookmarkEnd w:id="1006"/>
      <w:bookmarkEnd w:id="1007"/>
      <w:bookmarkEnd w:id="1008"/>
      <w:bookmarkEnd w:id="1009"/>
      <w:bookmarkEnd w:id="1010"/>
    </w:p>
    <w:p w14:paraId="43503154">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1337EC1B">
      <w:pPr>
        <w:pStyle w:val="3"/>
        <w:rPr>
          <w:color w:val="auto"/>
          <w:highlight w:val="none"/>
        </w:rPr>
      </w:pPr>
      <w:bookmarkStart w:id="1011" w:name="_Toc389065258"/>
      <w:bookmarkStart w:id="1012" w:name="_Toc7869"/>
      <w:bookmarkStart w:id="1013" w:name="_Toc1013968286"/>
      <w:bookmarkStart w:id="1014" w:name="_Toc78449780"/>
      <w:bookmarkStart w:id="1015" w:name="_Toc407135194"/>
      <w:bookmarkStart w:id="1016" w:name="_Toc373478339"/>
      <w:bookmarkStart w:id="1017" w:name="_Toc373227692"/>
      <w:bookmarkStart w:id="1018" w:name="_Toc351203633"/>
      <w:r>
        <w:rPr>
          <w:color w:val="auto"/>
          <w:highlight w:val="none"/>
        </w:rPr>
        <w:t>1</w:t>
      </w:r>
      <w:bookmarkStart w:id="1019" w:name="_Toc296890984"/>
      <w:bookmarkStart w:id="1020" w:name="_Toc296503156"/>
      <w:bookmarkStart w:id="1021" w:name="_Toc292559361"/>
      <w:bookmarkStart w:id="1022" w:name="_Toc296346657"/>
      <w:bookmarkStart w:id="1023" w:name="_Toc292559866"/>
      <w:bookmarkStart w:id="1024" w:name="_Toc296891196"/>
      <w:bookmarkStart w:id="1025" w:name="_Toc296347155"/>
      <w:bookmarkStart w:id="1026" w:name="_Toc297048342"/>
      <w:bookmarkStart w:id="1027" w:name="_Toc296944495"/>
      <w:bookmarkStart w:id="1028" w:name="_Toc297120456"/>
      <w:r>
        <w:rPr>
          <w:color w:val="auto"/>
          <w:highlight w:val="none"/>
        </w:rPr>
        <w:t xml:space="preserve">. </w:t>
      </w:r>
      <w:r>
        <w:rPr>
          <w:rFonts w:hint="eastAsia" w:hAnsi="宋体" w:cs="黑体"/>
          <w:color w:val="auto"/>
          <w:highlight w:val="none"/>
        </w:rPr>
        <w:t>一般约定</w:t>
      </w:r>
      <w:bookmarkEnd w:id="1011"/>
      <w:bookmarkEnd w:id="1012"/>
      <w:bookmarkEnd w:id="1013"/>
      <w:bookmarkEnd w:id="1014"/>
      <w:bookmarkEnd w:id="1015"/>
      <w:bookmarkEnd w:id="1016"/>
      <w:bookmarkEnd w:id="1017"/>
      <w:bookmarkEnd w:id="1018"/>
    </w:p>
    <w:bookmarkEnd w:id="1019"/>
    <w:bookmarkEnd w:id="1020"/>
    <w:bookmarkEnd w:id="1021"/>
    <w:bookmarkEnd w:id="1022"/>
    <w:bookmarkEnd w:id="1023"/>
    <w:bookmarkEnd w:id="1024"/>
    <w:bookmarkEnd w:id="1025"/>
    <w:bookmarkEnd w:id="1026"/>
    <w:bookmarkEnd w:id="1027"/>
    <w:bookmarkEnd w:id="1028"/>
    <w:p w14:paraId="6EDB90FE">
      <w:pPr>
        <w:pStyle w:val="4"/>
        <w:rPr>
          <w:color w:val="auto"/>
          <w:highlight w:val="none"/>
        </w:rPr>
      </w:pPr>
      <w:bookmarkStart w:id="1029" w:name="_Toc31903"/>
      <w:bookmarkStart w:id="1030" w:name="_Toc1618220701"/>
      <w:bookmarkStart w:id="1031" w:name="_Toc389065259"/>
      <w:bookmarkStart w:id="1032" w:name="_Toc373478340"/>
      <w:bookmarkStart w:id="1033" w:name="_Toc407135195"/>
      <w:bookmarkStart w:id="1034" w:name="_Toc17652"/>
      <w:bookmarkStart w:id="1035" w:name="_Toc78449781"/>
      <w:bookmarkStart w:id="1036" w:name="_Toc373227693"/>
      <w:r>
        <w:rPr>
          <w:color w:val="auto"/>
          <w:highlight w:val="none"/>
        </w:rPr>
        <w:t xml:space="preserve">1.1 </w:t>
      </w:r>
      <w:r>
        <w:rPr>
          <w:rFonts w:hint="eastAsia" w:hAnsi="宋体" w:cs="黑体"/>
          <w:color w:val="auto"/>
          <w:highlight w:val="none"/>
        </w:rPr>
        <w:t>词语定义</w:t>
      </w:r>
      <w:bookmarkEnd w:id="1029"/>
      <w:bookmarkEnd w:id="1030"/>
      <w:bookmarkEnd w:id="1031"/>
      <w:bookmarkEnd w:id="1032"/>
      <w:bookmarkEnd w:id="1033"/>
      <w:bookmarkEnd w:id="1034"/>
      <w:bookmarkEnd w:id="1035"/>
      <w:bookmarkEnd w:id="1036"/>
    </w:p>
    <w:p w14:paraId="4B0B59F2">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50B6ADB5">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rFonts w:hint="eastAsia" w:ascii="Times New Roman" w:hAnsi="Times New Roman" w:cs="Times New Roman"/>
          <w:color w:val="auto"/>
          <w:szCs w:val="21"/>
          <w:highlight w:val="none"/>
          <w:lang w:eastAsia="zh-CN"/>
        </w:rPr>
        <w:t>自治区建设行政主管部门颁布的全过程计价规范及多层级计算规范，</w:t>
      </w:r>
      <w:r>
        <w:rPr>
          <w:color w:val="auto"/>
          <w:highlight w:val="none"/>
          <w:u w:val="single"/>
        </w:rPr>
        <w:t xml:space="preserve">                                                               </w:t>
      </w:r>
      <w:r>
        <w:rPr>
          <w:rFonts w:hint="eastAsia" w:hAnsi="宋体" w:cs="宋体"/>
          <w:color w:val="auto"/>
          <w:highlight w:val="none"/>
        </w:rPr>
        <w:t>。</w:t>
      </w:r>
    </w:p>
    <w:p w14:paraId="2AB5E3D3">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59036AB6">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733FCF4C">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6781CC6">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5CF11B85">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117264B9">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6C39FFCA">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FB286E6">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21985C50">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16B44FA1">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645D0C14">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34F90725">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40882A09">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D353B93">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294BE84E">
      <w:pPr>
        <w:spacing w:line="360" w:lineRule="auto"/>
        <w:ind w:firstLine="420" w:firstLineChars="200"/>
        <w:outlineLvl w:val="0"/>
        <w:rPr>
          <w:rFonts w:hAnsi="宋体"/>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p>
    <w:p w14:paraId="030A9854">
      <w:pPr>
        <w:spacing w:line="360" w:lineRule="auto"/>
        <w:ind w:firstLine="420" w:firstLineChars="200"/>
        <w:rPr>
          <w:color w:val="auto"/>
          <w:highlight w:val="none"/>
        </w:rPr>
      </w:pP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0F7491A8">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102FAECA">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681A6C53">
      <w:pPr>
        <w:pStyle w:val="4"/>
        <w:rPr>
          <w:color w:val="auto"/>
          <w:highlight w:val="none"/>
        </w:rPr>
      </w:pPr>
      <w:bookmarkStart w:id="1037" w:name="_Toc373478341"/>
      <w:bookmarkStart w:id="1038" w:name="_Toc389065260"/>
      <w:bookmarkStart w:id="1039" w:name="_Toc373227694"/>
      <w:bookmarkStart w:id="1040" w:name="_Toc78449782"/>
      <w:bookmarkStart w:id="1041" w:name="_Toc1162259329"/>
      <w:bookmarkStart w:id="1042" w:name="_Toc407135196"/>
      <w:bookmarkStart w:id="1043" w:name="_Toc10861"/>
      <w:bookmarkStart w:id="1044" w:name="_Toc16494"/>
      <w:r>
        <w:rPr>
          <w:color w:val="auto"/>
          <w:highlight w:val="none"/>
        </w:rPr>
        <w:t xml:space="preserve">1.3 </w:t>
      </w:r>
      <w:r>
        <w:rPr>
          <w:rFonts w:hint="eastAsia" w:hAnsi="宋体" w:cs="黑体"/>
          <w:color w:val="auto"/>
          <w:highlight w:val="none"/>
        </w:rPr>
        <w:t>法律</w:t>
      </w:r>
      <w:bookmarkEnd w:id="1037"/>
      <w:bookmarkEnd w:id="1038"/>
      <w:bookmarkEnd w:id="1039"/>
      <w:bookmarkEnd w:id="1040"/>
      <w:bookmarkEnd w:id="1041"/>
      <w:bookmarkEnd w:id="1042"/>
      <w:bookmarkEnd w:id="1043"/>
      <w:bookmarkEnd w:id="1044"/>
    </w:p>
    <w:p w14:paraId="1CE1C04F">
      <w:pPr>
        <w:spacing w:line="360" w:lineRule="auto"/>
        <w:ind w:firstLine="420" w:firstLineChars="200"/>
        <w:rPr>
          <w:color w:val="auto"/>
          <w:highlight w:val="none"/>
          <w:u w:val="single"/>
        </w:rPr>
      </w:pPr>
      <w:r>
        <w:rPr>
          <w:rFonts w:hint="eastAsia" w:hAnsi="宋体" w:cs="宋体"/>
          <w:color w:val="auto"/>
          <w:highlight w:val="none"/>
        </w:rPr>
        <w:t>适用于合同的其他规范性文件：</w:t>
      </w:r>
      <w:r>
        <w:rPr>
          <w:rFonts w:hAnsi="宋体"/>
          <w:color w:val="auto"/>
          <w:highlight w:val="none"/>
          <w:u w:val="single"/>
        </w:rPr>
        <w:t xml:space="preserve">                                  </w:t>
      </w:r>
      <w:r>
        <w:rPr>
          <w:color w:val="auto"/>
          <w:highlight w:val="none"/>
          <w:u w:val="single"/>
        </w:rPr>
        <w:t xml:space="preserve"> </w:t>
      </w:r>
    </w:p>
    <w:p w14:paraId="50407E0C">
      <w:pPr>
        <w:autoSpaceDE w:val="0"/>
        <w:autoSpaceDN w:val="0"/>
        <w:adjustRightInd w:val="0"/>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p w14:paraId="7DB767B9">
      <w:pPr>
        <w:pStyle w:val="4"/>
        <w:rPr>
          <w:color w:val="auto"/>
          <w:highlight w:val="none"/>
        </w:rPr>
      </w:pPr>
      <w:bookmarkStart w:id="1045" w:name="_Toc389065261"/>
      <w:bookmarkStart w:id="1046" w:name="_Toc1492"/>
      <w:bookmarkStart w:id="1047" w:name="_Toc16410"/>
      <w:bookmarkStart w:id="1048" w:name="_Toc407135197"/>
      <w:bookmarkStart w:id="1049" w:name="_Toc78449783"/>
      <w:bookmarkStart w:id="1050" w:name="_Toc373478342"/>
      <w:bookmarkStart w:id="1051" w:name="_Toc1694357896"/>
      <w:bookmarkStart w:id="1052" w:name="_Toc373227695"/>
      <w:r>
        <w:rPr>
          <w:color w:val="auto"/>
          <w:highlight w:val="none"/>
        </w:rPr>
        <w:t xml:space="preserve">1.4 </w:t>
      </w:r>
      <w:r>
        <w:rPr>
          <w:rFonts w:hint="eastAsia" w:hAnsi="宋体" w:cs="黑体"/>
          <w:color w:val="auto"/>
          <w:highlight w:val="none"/>
        </w:rPr>
        <w:t>标准和规范</w:t>
      </w:r>
      <w:bookmarkEnd w:id="1045"/>
      <w:bookmarkEnd w:id="1046"/>
      <w:bookmarkEnd w:id="1047"/>
      <w:bookmarkEnd w:id="1048"/>
      <w:bookmarkEnd w:id="1049"/>
      <w:bookmarkEnd w:id="1050"/>
      <w:bookmarkEnd w:id="1051"/>
      <w:bookmarkEnd w:id="1052"/>
    </w:p>
    <w:p w14:paraId="3178040A">
      <w:pPr>
        <w:spacing w:line="360" w:lineRule="auto"/>
        <w:ind w:firstLine="420" w:firstLineChars="200"/>
        <w:rPr>
          <w:color w:val="auto"/>
          <w:highlight w:val="none"/>
          <w:u w:val="single"/>
        </w:rPr>
      </w:pPr>
      <w:r>
        <w:rPr>
          <w:color w:val="auto"/>
          <w:highlight w:val="none"/>
        </w:rPr>
        <w:t xml:space="preserve">1.4.1 </w:t>
      </w:r>
      <w:r>
        <w:rPr>
          <w:rFonts w:hint="eastAsia" w:hAnsi="宋体" w:cs="宋体"/>
          <w:color w:val="auto"/>
          <w:highlight w:val="none"/>
        </w:rPr>
        <w:t>适用于工程的标准规范包括：</w:t>
      </w:r>
      <w:r>
        <w:rPr>
          <w:rFonts w:hAnsi="宋体"/>
          <w:color w:val="auto"/>
          <w:highlight w:val="none"/>
          <w:u w:val="single"/>
        </w:rPr>
        <w:t xml:space="preserve">                                  </w:t>
      </w:r>
      <w:r>
        <w:rPr>
          <w:color w:val="auto"/>
          <w:highlight w:val="none"/>
          <w:u w:val="single"/>
        </w:rPr>
        <w:t xml:space="preserve"> </w:t>
      </w:r>
    </w:p>
    <w:p w14:paraId="2BA9982A">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14CBA091">
      <w:pPr>
        <w:spacing w:line="360" w:lineRule="auto"/>
        <w:ind w:firstLine="420" w:firstLineChars="200"/>
        <w:rPr>
          <w:color w:val="auto"/>
          <w:highlight w:val="none"/>
          <w:u w:val="singl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color w:val="auto"/>
          <w:highlight w:val="none"/>
          <w:u w:val="single"/>
        </w:rPr>
        <w:t xml:space="preserve">    </w:t>
      </w:r>
    </w:p>
    <w:p w14:paraId="59267650">
      <w:pPr>
        <w:spacing w:line="360" w:lineRule="auto"/>
        <w:rPr>
          <w:color w:val="auto"/>
          <w:kern w:val="0"/>
          <w:highlight w:val="none"/>
        </w:rPr>
      </w:pPr>
      <w:r>
        <w:rPr>
          <w:color w:val="auto"/>
          <w:highlight w:val="none"/>
          <w:u w:val="single"/>
        </w:rPr>
        <w:t xml:space="preserve">                                                                               </w:t>
      </w:r>
      <w:r>
        <w:rPr>
          <w:rFonts w:hint="eastAsia" w:hAnsi="宋体" w:cs="宋体"/>
          <w:color w:val="auto"/>
          <w:highlight w:val="none"/>
        </w:rPr>
        <w:t>；</w:t>
      </w:r>
    </w:p>
    <w:p w14:paraId="645DB162">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hAnsi="宋体" w:cs="宋体"/>
          <w:color w:val="auto"/>
          <w:kern w:val="0"/>
          <w:highlight w:val="none"/>
        </w:rPr>
        <w:t>；</w:t>
      </w:r>
    </w:p>
    <w:p w14:paraId="6CD4984E">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hAnsi="宋体" w:cs="宋体"/>
          <w:color w:val="auto"/>
          <w:kern w:val="0"/>
          <w:highlight w:val="none"/>
        </w:rPr>
        <w:t>。</w:t>
      </w:r>
    </w:p>
    <w:p w14:paraId="4EF3CE60">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5961AF9F">
      <w:pPr>
        <w:spacing w:line="360" w:lineRule="auto"/>
        <w:rPr>
          <w:color w:val="auto"/>
          <w:highlight w:val="none"/>
        </w:rPr>
      </w:pPr>
      <w:r>
        <w:rPr>
          <w:rFonts w:hAnsi="宋体"/>
          <w:color w:val="auto"/>
          <w:highlight w:val="none"/>
          <w:u w:val="single"/>
        </w:rPr>
        <w:t xml:space="preserve">                                                                                                                                                                              </w:t>
      </w:r>
      <w:r>
        <w:rPr>
          <w:rFonts w:hint="eastAsia" w:hAnsi="宋体" w:cs="宋体"/>
          <w:color w:val="auto"/>
          <w:highlight w:val="none"/>
        </w:rPr>
        <w:t>。</w:t>
      </w:r>
    </w:p>
    <w:p w14:paraId="2763AC03">
      <w:pPr>
        <w:pStyle w:val="4"/>
        <w:rPr>
          <w:color w:val="auto"/>
          <w:highlight w:val="none"/>
        </w:rPr>
      </w:pPr>
      <w:bookmarkStart w:id="1053" w:name="_Toc24431861"/>
      <w:bookmarkStart w:id="1054" w:name="_Toc389065262"/>
      <w:bookmarkStart w:id="1055" w:name="_Toc373227696"/>
      <w:bookmarkStart w:id="1056" w:name="_Toc78449784"/>
      <w:bookmarkStart w:id="1057" w:name="_Toc5118"/>
      <w:bookmarkStart w:id="1058" w:name="_Toc373478343"/>
      <w:bookmarkStart w:id="1059" w:name="_Toc21404"/>
      <w:bookmarkStart w:id="1060" w:name="_Toc407135198"/>
      <w:r>
        <w:rPr>
          <w:color w:val="auto"/>
          <w:highlight w:val="none"/>
        </w:rPr>
        <w:t xml:space="preserve">1.5 </w:t>
      </w:r>
      <w:r>
        <w:rPr>
          <w:rFonts w:hint="eastAsia" w:cs="黑体"/>
          <w:color w:val="auto"/>
          <w:highlight w:val="none"/>
        </w:rPr>
        <w:t>合同文件的优先顺序</w:t>
      </w:r>
      <w:bookmarkEnd w:id="1053"/>
      <w:bookmarkEnd w:id="1054"/>
      <w:bookmarkEnd w:id="1055"/>
      <w:bookmarkEnd w:id="1056"/>
      <w:bookmarkEnd w:id="1057"/>
      <w:bookmarkEnd w:id="1058"/>
      <w:bookmarkEnd w:id="1059"/>
      <w:bookmarkEnd w:id="1060"/>
    </w:p>
    <w:p w14:paraId="7E96A7A9">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合同文件组成及优先顺序为：</w:t>
      </w:r>
    </w:p>
    <w:p w14:paraId="7D9EF014">
      <w:pPr>
        <w:spacing w:line="360" w:lineRule="auto"/>
        <w:ind w:firstLine="420" w:firstLineChars="200"/>
        <w:rPr>
          <w:rFonts w:hint="eastAsia" w:ascii="Times New Roman" w:hAnsi="宋体" w:eastAsia="宋体" w:cs="宋体"/>
          <w:color w:val="auto"/>
          <w:kern w:val="0"/>
          <w:highlight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1</w:t>
      </w:r>
      <w:r>
        <w:rPr>
          <w:rFonts w:hint="eastAsia" w:ascii="Times New Roman" w:hAnsi="宋体" w:eastAsia="宋体" w:cs="宋体"/>
          <w:color w:val="auto"/>
          <w:kern w:val="0"/>
          <w:highlight w:val="none"/>
        </w:rPr>
        <w:t>）合同协议书；</w:t>
      </w:r>
    </w:p>
    <w:p w14:paraId="18D6DAC8">
      <w:pPr>
        <w:spacing w:line="360" w:lineRule="auto"/>
        <w:ind w:firstLine="420" w:firstLineChars="200"/>
        <w:rPr>
          <w:rFonts w:hint="eastAsia" w:ascii="Times New Roman" w:hAnsi="宋体" w:eastAsia="宋体" w:cs="宋体"/>
          <w:color w:val="auto"/>
          <w:kern w:val="0"/>
          <w:highlight w:val="none"/>
        </w:rPr>
      </w:pPr>
      <w:bookmarkStart w:id="1061" w:name="bookmark916"/>
      <w:bookmarkEnd w:id="1061"/>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2</w:t>
      </w:r>
      <w:r>
        <w:rPr>
          <w:rFonts w:hint="eastAsia" w:ascii="Times New Roman" w:hAnsi="宋体" w:eastAsia="宋体" w:cs="宋体"/>
          <w:color w:val="auto"/>
          <w:kern w:val="0"/>
          <w:highlight w:val="none"/>
        </w:rPr>
        <w:t>）中标通知书；</w:t>
      </w:r>
    </w:p>
    <w:p w14:paraId="3A3725E3">
      <w:pPr>
        <w:spacing w:line="360" w:lineRule="auto"/>
        <w:ind w:firstLineChars="200"/>
        <w:rPr>
          <w:rFonts w:hint="eastAsia" w:ascii="Times New Roman" w:hAnsi="宋体" w:eastAsia="宋体" w:cs="宋体"/>
          <w:color w:val="auto"/>
          <w:kern w:val="0"/>
          <w:highlight w:val="none"/>
        </w:rPr>
      </w:pPr>
      <w:bookmarkStart w:id="1062" w:name="bookmark917"/>
      <w:bookmarkEnd w:id="1062"/>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3</w:t>
      </w:r>
      <w:r>
        <w:rPr>
          <w:rFonts w:hint="eastAsia" w:ascii="Times New Roman" w:hAnsi="宋体" w:eastAsia="宋体" w:cs="宋体"/>
          <w:color w:val="auto"/>
          <w:kern w:val="0"/>
          <w:highlight w:val="none"/>
        </w:rPr>
        <w:t>）投标函及投标函附录；</w:t>
      </w:r>
    </w:p>
    <w:p w14:paraId="1430CC4C">
      <w:pPr>
        <w:spacing w:line="360" w:lineRule="auto"/>
        <w:ind w:firstLineChars="200"/>
        <w:rPr>
          <w:rFonts w:hint="eastAsia" w:ascii="Times New Roman" w:hAnsi="宋体" w:eastAsia="宋体" w:cs="宋体"/>
          <w:color w:val="auto"/>
          <w:kern w:val="0"/>
          <w:highlight w:val="none"/>
        </w:rPr>
      </w:pPr>
      <w:bookmarkStart w:id="1063" w:name="bookmark918"/>
      <w:bookmarkEnd w:id="1063"/>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4</w:t>
      </w:r>
      <w:r>
        <w:rPr>
          <w:rFonts w:hint="eastAsia" w:ascii="Times New Roman" w:hAnsi="宋体" w:eastAsia="宋体" w:cs="宋体"/>
          <w:color w:val="auto"/>
          <w:kern w:val="0"/>
          <w:highlight w:val="none"/>
        </w:rPr>
        <w:t>）专用合同条款；</w:t>
      </w:r>
    </w:p>
    <w:p w14:paraId="1F611E6F">
      <w:pPr>
        <w:spacing w:line="360" w:lineRule="auto"/>
        <w:ind w:firstLineChars="200"/>
        <w:rPr>
          <w:rFonts w:hint="eastAsia" w:ascii="Times New Roman" w:hAnsi="宋体" w:eastAsia="宋体" w:cs="宋体"/>
          <w:color w:val="auto"/>
          <w:kern w:val="0"/>
          <w:highlight w:val="none"/>
        </w:rPr>
      </w:pPr>
      <w:bookmarkStart w:id="1064" w:name="bookmark919"/>
      <w:bookmarkEnd w:id="1064"/>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5</w:t>
      </w:r>
      <w:r>
        <w:rPr>
          <w:rFonts w:hint="eastAsia" w:ascii="Times New Roman" w:hAnsi="宋体" w:eastAsia="宋体" w:cs="宋体"/>
          <w:color w:val="auto"/>
          <w:kern w:val="0"/>
          <w:highlight w:val="none"/>
        </w:rPr>
        <w:t>）通用合同条款；</w:t>
      </w:r>
    </w:p>
    <w:p w14:paraId="5B75F2F4">
      <w:pPr>
        <w:spacing w:line="360" w:lineRule="auto"/>
        <w:ind w:firstLineChars="200"/>
        <w:rPr>
          <w:rFonts w:hint="eastAsia" w:ascii="Times New Roman" w:hAnsi="宋体" w:eastAsia="宋体" w:cs="宋体"/>
          <w:color w:val="auto"/>
          <w:kern w:val="0"/>
          <w:highlight w:val="none"/>
        </w:rPr>
      </w:pPr>
      <w:bookmarkStart w:id="1065" w:name="bookmark920"/>
      <w:bookmarkEnd w:id="1065"/>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6</w:t>
      </w:r>
      <w:r>
        <w:rPr>
          <w:rFonts w:hint="eastAsia" w:ascii="Times New Roman" w:hAnsi="宋体" w:eastAsia="宋体" w:cs="宋体"/>
          <w:color w:val="auto"/>
          <w:kern w:val="0"/>
          <w:highlight w:val="none"/>
        </w:rPr>
        <w:t>）技术标准和要求；</w:t>
      </w:r>
    </w:p>
    <w:p w14:paraId="0FA69708">
      <w:pPr>
        <w:spacing w:line="360" w:lineRule="auto"/>
        <w:ind w:firstLineChars="200"/>
        <w:rPr>
          <w:rFonts w:hint="eastAsia" w:ascii="Times New Roman" w:hAnsi="宋体" w:eastAsia="宋体" w:cs="宋体"/>
          <w:color w:val="auto"/>
          <w:kern w:val="0"/>
          <w:highlight w:val="none"/>
        </w:rPr>
      </w:pPr>
      <w:bookmarkStart w:id="1066" w:name="bookmark921"/>
      <w:bookmarkEnd w:id="1066"/>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7</w:t>
      </w:r>
      <w:r>
        <w:rPr>
          <w:rFonts w:hint="eastAsia" w:ascii="Times New Roman" w:hAnsi="宋体" w:eastAsia="宋体" w:cs="宋体"/>
          <w:color w:val="auto"/>
          <w:kern w:val="0"/>
          <w:highlight w:val="none"/>
        </w:rPr>
        <w:t>）图纸；</w:t>
      </w:r>
    </w:p>
    <w:p w14:paraId="5AD0E58F">
      <w:pPr>
        <w:spacing w:line="360" w:lineRule="auto"/>
        <w:ind w:firstLine="420" w:firstLineChars="200"/>
        <w:rPr>
          <w:rFonts w:hint="eastAsia" w:ascii="Times New Roman" w:hAnsi="宋体" w:eastAsia="宋体" w:cs="宋体"/>
          <w:color w:val="auto"/>
          <w:kern w:val="0"/>
          <w:highlight w:val="none"/>
        </w:rPr>
      </w:pPr>
      <w:bookmarkStart w:id="1067" w:name="bookmark922"/>
      <w:bookmarkEnd w:id="1067"/>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8</w:t>
      </w:r>
      <w:r>
        <w:rPr>
          <w:rFonts w:hint="eastAsia" w:ascii="Times New Roman" w:hAnsi="宋体" w:eastAsia="宋体" w:cs="宋体"/>
          <w:color w:val="auto"/>
          <w:kern w:val="0"/>
          <w:highlight w:val="none"/>
        </w:rPr>
        <w:t>）已标价工程量清单；</w:t>
      </w:r>
    </w:p>
    <w:p w14:paraId="727D0F6C">
      <w:pPr>
        <w:autoSpaceDE/>
        <w:autoSpaceDN/>
        <w:adjustRightInd/>
        <w:spacing w:line="360" w:lineRule="auto"/>
        <w:ind w:firstLine="420" w:firstLineChars="200"/>
        <w:jc w:val="left"/>
        <w:rPr>
          <w:rFonts w:hint="eastAsia" w:ascii="Times New Roman" w:hAnsi="宋体" w:eastAsia="宋体" w:cs="宋体"/>
          <w:color w:val="auto"/>
          <w:kern w:val="0"/>
          <w:highlight w:val="none"/>
          <w:u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9</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u w:val="none"/>
        </w:rPr>
        <w:t>其他合同文件：</w:t>
      </w:r>
    </w:p>
    <w:p w14:paraId="20414835">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14:paraId="1DF63C13">
      <w:pPr>
        <w:pStyle w:val="4"/>
        <w:rPr>
          <w:color w:val="auto"/>
          <w:highlight w:val="none"/>
        </w:rPr>
      </w:pPr>
      <w:bookmarkStart w:id="1068" w:name="_Toc78449785"/>
      <w:bookmarkStart w:id="1069" w:name="_Toc25614"/>
      <w:bookmarkStart w:id="1070" w:name="_Toc24316"/>
      <w:bookmarkStart w:id="1071" w:name="_Toc1531480704"/>
      <w:bookmarkStart w:id="1072" w:name="_Toc407135199"/>
      <w:bookmarkStart w:id="1073" w:name="_Toc389065263"/>
      <w:bookmarkStart w:id="1074" w:name="_Toc373227697"/>
      <w:bookmarkStart w:id="1075" w:name="_Toc373478344"/>
      <w:r>
        <w:rPr>
          <w:color w:val="auto"/>
          <w:highlight w:val="none"/>
        </w:rPr>
        <w:t xml:space="preserve">1.6 </w:t>
      </w:r>
      <w:r>
        <w:rPr>
          <w:rFonts w:hint="eastAsia" w:cs="黑体"/>
          <w:color w:val="auto"/>
          <w:highlight w:val="none"/>
        </w:rPr>
        <w:t>图纸和承包人文件</w:t>
      </w:r>
      <w:bookmarkEnd w:id="1068"/>
      <w:bookmarkEnd w:id="1069"/>
      <w:bookmarkEnd w:id="1070"/>
      <w:bookmarkEnd w:id="1071"/>
      <w:bookmarkEnd w:id="1072"/>
      <w:bookmarkEnd w:id="1073"/>
      <w:bookmarkEnd w:id="1074"/>
      <w:bookmarkEnd w:id="1075"/>
      <w:r>
        <w:rPr>
          <w:color w:val="auto"/>
          <w:highlight w:val="none"/>
        </w:rPr>
        <w:tab/>
      </w:r>
    </w:p>
    <w:p w14:paraId="5AA0BF85">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7099ABD1">
      <w:pPr>
        <w:spacing w:line="360" w:lineRule="auto"/>
        <w:ind w:firstLine="420" w:firstLineChars="200"/>
        <w:rPr>
          <w:color w:val="auto"/>
          <w:highlight w:val="none"/>
        </w:rPr>
      </w:pPr>
      <w:r>
        <w:rPr>
          <w:rFonts w:hint="eastAsia" w:hAnsi="宋体" w:cs="宋体"/>
          <w:color w:val="auto"/>
          <w:highlight w:val="none"/>
        </w:rPr>
        <w:t>发包人向承包人提供图纸的期限：</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E695D67">
      <w:pPr>
        <w:spacing w:line="360" w:lineRule="auto"/>
        <w:ind w:firstLine="420" w:firstLineChars="200"/>
        <w:rPr>
          <w:color w:val="auto"/>
          <w:highlight w:val="none"/>
        </w:rPr>
      </w:pPr>
      <w:r>
        <w:rPr>
          <w:rFonts w:hint="eastAsia" w:hAnsi="宋体" w:cs="宋体"/>
          <w:color w:val="auto"/>
          <w:highlight w:val="none"/>
        </w:rPr>
        <w:t>发包人向承包人提供图纸的数量：</w:t>
      </w:r>
      <w:r>
        <w:rPr>
          <w:rFonts w:hint="eastAsia" w:hAnsi="宋体" w:cs="宋体"/>
          <w:color w:val="auto"/>
          <w:highlight w:val="none"/>
          <w:u w:val="single"/>
        </w:rPr>
        <w:t xml:space="preserve"> </w:t>
      </w:r>
      <w:r>
        <w:rPr>
          <w:rFonts w:hint="eastAsia" w:ascii="MingLiU_HKSCS-ExtB" w:cs="MingLiU_HKSCS-ExtB"/>
          <w:color w:val="auto"/>
          <w:highlight w:val="none"/>
          <w:u w:val="single"/>
        </w:rPr>
        <w:t xml:space="preserve">     </w:t>
      </w:r>
      <w:r>
        <w:rPr>
          <w:rFonts w:hint="eastAsia" w:hAnsi="宋体" w:cs="宋体"/>
          <w:color w:val="auto"/>
          <w:highlight w:val="none"/>
        </w:rPr>
        <w:t>套（承包人需要增加图纸套数的，发包人应代为复制，复制费用由承包人承担）；</w:t>
      </w:r>
    </w:p>
    <w:p w14:paraId="6BC5529F">
      <w:pPr>
        <w:spacing w:line="360" w:lineRule="auto"/>
        <w:ind w:firstLine="420" w:firstLineChars="200"/>
        <w:rPr>
          <w:color w:val="auto"/>
          <w:highlight w:val="none"/>
        </w:rPr>
      </w:pPr>
      <w:r>
        <w:rPr>
          <w:rFonts w:hint="eastAsia" w:hAnsi="宋体" w:cs="宋体"/>
          <w:color w:val="auto"/>
          <w:highlight w:val="none"/>
        </w:rPr>
        <w:t>发包人向承包人提供图纸的内容：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26231127">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1D882C2A">
      <w:pPr>
        <w:spacing w:line="360" w:lineRule="auto"/>
        <w:ind w:firstLine="420" w:firstLineChars="200"/>
        <w:jc w:val="left"/>
        <w:rPr>
          <w:color w:val="auto"/>
          <w:highlight w:val="none"/>
          <w:u w:val="single"/>
        </w:rPr>
      </w:pPr>
      <w:r>
        <w:rPr>
          <w:rFonts w:hint="eastAsia" w:hAnsi="宋体" w:cs="宋体"/>
          <w:color w:val="auto"/>
          <w:highlight w:val="none"/>
        </w:rPr>
        <w:t>需要由承包人提供的文件，包括：</w:t>
      </w:r>
      <w:r>
        <w:rPr>
          <w:color w:val="auto"/>
          <w:highlight w:val="none"/>
          <w:u w:val="single"/>
        </w:rPr>
        <w:t xml:space="preserve">                                </w:t>
      </w:r>
      <w:r>
        <w:rPr>
          <w:rFonts w:hint="eastAsia" w:hAnsi="宋体" w:cs="宋体"/>
          <w:color w:val="auto"/>
          <w:highlight w:val="none"/>
        </w:rPr>
        <w:t>；</w:t>
      </w:r>
    </w:p>
    <w:p w14:paraId="5F715DBC">
      <w:pPr>
        <w:spacing w:line="360" w:lineRule="auto"/>
        <w:ind w:firstLine="420" w:firstLineChars="200"/>
        <w:rPr>
          <w:color w:val="auto"/>
          <w:highlight w:val="none"/>
        </w:rPr>
      </w:pPr>
      <w:r>
        <w:rPr>
          <w:rFonts w:hint="eastAsia" w:hAnsi="宋体" w:cs="宋体"/>
          <w:color w:val="auto"/>
          <w:highlight w:val="none"/>
        </w:rPr>
        <w:t>承包人提供的文件的期限为：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45D79D1E">
      <w:pPr>
        <w:spacing w:line="360" w:lineRule="auto"/>
        <w:ind w:firstLine="420" w:firstLineChars="200"/>
        <w:rPr>
          <w:color w:val="auto"/>
          <w:highlight w:val="none"/>
        </w:rPr>
      </w:pPr>
      <w:r>
        <w:rPr>
          <w:rFonts w:hint="eastAsia" w:hAnsi="宋体" w:cs="宋体"/>
          <w:color w:val="auto"/>
          <w:highlight w:val="none"/>
        </w:rPr>
        <w:t>承包人提供的文件的数量为：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66140BD6">
      <w:pPr>
        <w:spacing w:line="360" w:lineRule="auto"/>
        <w:ind w:firstLine="420" w:firstLineChars="200"/>
        <w:rPr>
          <w:color w:val="auto"/>
          <w:highlight w:val="none"/>
        </w:rPr>
      </w:pPr>
      <w:r>
        <w:rPr>
          <w:rFonts w:hint="eastAsia" w:hAnsi="宋体" w:cs="宋体"/>
          <w:color w:val="auto"/>
          <w:highlight w:val="none"/>
        </w:rPr>
        <w:t>承包人提供的文件的形式为：</w:t>
      </w:r>
      <w:r>
        <w:rPr>
          <w:color w:val="auto"/>
          <w:highlight w:val="none"/>
          <w:u w:val="single"/>
        </w:rPr>
        <w:t xml:space="preserve"> </w:t>
      </w:r>
      <w:r>
        <w:rPr>
          <w:rFonts w:hAnsi="宋体"/>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741A465E">
      <w:pPr>
        <w:spacing w:line="360" w:lineRule="auto"/>
        <w:ind w:firstLine="420" w:firstLineChars="200"/>
        <w:rPr>
          <w:color w:val="auto"/>
          <w:highlight w:val="none"/>
        </w:rPr>
      </w:pPr>
      <w:r>
        <w:rPr>
          <w:rFonts w:hint="eastAsia" w:hAnsi="宋体" w:cs="宋体"/>
          <w:color w:val="auto"/>
          <w:highlight w:val="none"/>
        </w:rPr>
        <w:t>发包人审批承包人文件的期限：</w:t>
      </w: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450DE19">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35879689">
      <w:pPr>
        <w:spacing w:line="360" w:lineRule="auto"/>
        <w:ind w:firstLine="420" w:firstLineChars="200"/>
        <w:rPr>
          <w:color w:val="auto"/>
          <w:highlight w:val="none"/>
        </w:rPr>
      </w:pPr>
      <w:r>
        <w:rPr>
          <w:rFonts w:hint="eastAsia" w:hAnsi="宋体" w:cs="宋体"/>
          <w:color w:val="auto"/>
          <w:highlight w:val="none"/>
        </w:rPr>
        <w:t>关于现场图纸准备的约定：</w:t>
      </w: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01AD2B3">
      <w:pPr>
        <w:pStyle w:val="4"/>
        <w:rPr>
          <w:color w:val="auto"/>
          <w:highlight w:val="none"/>
        </w:rPr>
      </w:pPr>
      <w:bookmarkStart w:id="1076" w:name="_Toc389065264"/>
      <w:bookmarkStart w:id="1077" w:name="_Toc373227698"/>
      <w:bookmarkStart w:id="1078" w:name="_Toc24741"/>
      <w:bookmarkStart w:id="1079" w:name="_Toc373478345"/>
      <w:bookmarkStart w:id="1080" w:name="_Toc407135200"/>
      <w:bookmarkStart w:id="1081" w:name="_Toc854"/>
      <w:bookmarkStart w:id="1082" w:name="_Toc78449786"/>
      <w:bookmarkStart w:id="1083" w:name="_Toc110523719"/>
      <w:r>
        <w:rPr>
          <w:color w:val="auto"/>
          <w:highlight w:val="none"/>
        </w:rPr>
        <w:t xml:space="preserve">1.7 </w:t>
      </w:r>
      <w:r>
        <w:rPr>
          <w:rFonts w:hint="eastAsia" w:hAnsi="宋体" w:cs="黑体"/>
          <w:color w:val="auto"/>
          <w:highlight w:val="none"/>
        </w:rPr>
        <w:t>联络</w:t>
      </w:r>
      <w:bookmarkEnd w:id="1076"/>
      <w:bookmarkEnd w:id="1077"/>
      <w:bookmarkEnd w:id="1078"/>
      <w:bookmarkEnd w:id="1079"/>
      <w:bookmarkEnd w:id="1080"/>
      <w:bookmarkEnd w:id="1081"/>
      <w:bookmarkEnd w:id="1082"/>
      <w:bookmarkEnd w:id="1083"/>
    </w:p>
    <w:p w14:paraId="170BD45F">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2CBF7D14">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5A86AD06">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3271C573">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65A294C1">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5DF2E115">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07786FD5">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1C7A2678">
      <w:pPr>
        <w:pStyle w:val="4"/>
        <w:rPr>
          <w:color w:val="auto"/>
          <w:highlight w:val="none"/>
        </w:rPr>
      </w:pPr>
      <w:bookmarkStart w:id="1084" w:name="_Toc24324"/>
      <w:bookmarkStart w:id="1085" w:name="_Toc78449787"/>
      <w:bookmarkStart w:id="1086" w:name="_Toc373227699"/>
      <w:bookmarkStart w:id="1087" w:name="_Toc373478346"/>
      <w:bookmarkStart w:id="1088" w:name="_Toc10879"/>
      <w:bookmarkStart w:id="1089" w:name="_Toc389065265"/>
      <w:bookmarkStart w:id="1090" w:name="_Toc1387231545"/>
      <w:bookmarkStart w:id="1091" w:name="_Toc407135201"/>
      <w:r>
        <w:rPr>
          <w:color w:val="auto"/>
          <w:highlight w:val="none"/>
        </w:rPr>
        <w:t xml:space="preserve">1.10 </w:t>
      </w:r>
      <w:r>
        <w:rPr>
          <w:rFonts w:hint="eastAsia" w:hAnsi="宋体" w:cs="黑体"/>
          <w:color w:val="auto"/>
          <w:highlight w:val="none"/>
        </w:rPr>
        <w:t>交通运输</w:t>
      </w:r>
      <w:bookmarkEnd w:id="1084"/>
      <w:bookmarkEnd w:id="1085"/>
      <w:bookmarkEnd w:id="1086"/>
      <w:bookmarkEnd w:id="1087"/>
      <w:bookmarkEnd w:id="1088"/>
      <w:bookmarkEnd w:id="1089"/>
      <w:bookmarkEnd w:id="1090"/>
      <w:bookmarkEnd w:id="1091"/>
    </w:p>
    <w:p w14:paraId="48222B7C">
      <w:pPr>
        <w:spacing w:line="360" w:lineRule="auto"/>
        <w:ind w:firstLine="420" w:firstLineChars="200"/>
        <w:rPr>
          <w:color w:val="auto"/>
          <w:highlight w:val="none"/>
        </w:rPr>
      </w:pPr>
      <w:r>
        <w:rPr>
          <w:color w:val="auto"/>
          <w:highlight w:val="none"/>
        </w:rPr>
        <w:t>1</w:t>
      </w:r>
      <w:bookmarkStart w:id="1092" w:name="_Toc300934943"/>
      <w:bookmarkStart w:id="1093" w:name="_Toc318581155"/>
      <w:bookmarkStart w:id="1094" w:name="_Toc304295521"/>
      <w:bookmarkStart w:id="1095" w:name="_Toc312677986"/>
      <w:bookmarkStart w:id="1096" w:name="_Toc303539100"/>
      <w:r>
        <w:rPr>
          <w:color w:val="auto"/>
          <w:highlight w:val="none"/>
        </w:rPr>
        <w:t xml:space="preserve">.10.1 </w:t>
      </w:r>
      <w:r>
        <w:rPr>
          <w:rFonts w:hint="eastAsia" w:hAnsi="宋体" w:cs="宋体"/>
          <w:color w:val="auto"/>
          <w:highlight w:val="none"/>
        </w:rPr>
        <w:t>出入现场的权利</w:t>
      </w:r>
    </w:p>
    <w:p w14:paraId="38540101">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bookmarkEnd w:id="1092"/>
    <w:bookmarkEnd w:id="1093"/>
    <w:bookmarkEnd w:id="1094"/>
    <w:bookmarkEnd w:id="1095"/>
    <w:bookmarkEnd w:id="1096"/>
    <w:p w14:paraId="108191AD">
      <w:pPr>
        <w:spacing w:line="360" w:lineRule="auto"/>
        <w:ind w:firstLine="420" w:firstLineChars="200"/>
        <w:jc w:val="left"/>
        <w:rPr>
          <w:color w:val="auto"/>
          <w:highlight w:val="none"/>
        </w:rPr>
      </w:pPr>
      <w:r>
        <w:rPr>
          <w:color w:val="auto"/>
          <w:highlight w:val="none"/>
        </w:rPr>
        <w:t>1</w:t>
      </w:r>
      <w:bookmarkStart w:id="1097" w:name="_Toc303539101"/>
      <w:bookmarkStart w:id="1098" w:name="_Toc304295522"/>
      <w:bookmarkStart w:id="1099" w:name="_Toc312677987"/>
      <w:bookmarkStart w:id="1100" w:name="_Toc300934944"/>
      <w:bookmarkStart w:id="1101" w:name="_Toc318581156"/>
      <w:r>
        <w:rPr>
          <w:color w:val="auto"/>
          <w:highlight w:val="none"/>
        </w:rPr>
        <w:t xml:space="preserve">.10.3 </w:t>
      </w:r>
      <w:r>
        <w:rPr>
          <w:rFonts w:hint="eastAsia" w:hAnsi="宋体" w:cs="宋体"/>
          <w:color w:val="auto"/>
          <w:highlight w:val="none"/>
        </w:rPr>
        <w:t>场内交通</w:t>
      </w:r>
    </w:p>
    <w:p w14:paraId="2EC23FB5">
      <w:pPr>
        <w:spacing w:line="360" w:lineRule="auto"/>
        <w:ind w:firstLine="420" w:firstLineChars="200"/>
        <w:jc w:val="left"/>
        <w:rPr>
          <w:color w:val="auto"/>
          <w:kern w:val="0"/>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Fonts w:hint="eastAsia" w:hAnsi="宋体" w:cs="宋体"/>
          <w:color w:val="auto"/>
          <w:highlight w:val="none"/>
        </w:rPr>
        <w:t>。</w:t>
      </w:r>
    </w:p>
    <w:p w14:paraId="36B4B37B">
      <w:pPr>
        <w:spacing w:line="360" w:lineRule="auto"/>
        <w:ind w:firstLine="420" w:firstLineChars="200"/>
        <w:jc w:val="left"/>
        <w:rPr>
          <w:color w:val="auto"/>
          <w:highlight w:val="none"/>
        </w:rPr>
      </w:pPr>
      <w:r>
        <w:rPr>
          <w:rFonts w:hAnsi="宋体"/>
          <w:color w:val="auto"/>
          <w:highlight w:val="none"/>
        </w:rPr>
        <w:t>关于发包人向承包人免费提供满足工程施工需要的场内道路和交通设施的约定：</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rPr>
        <w:t>。</w:t>
      </w:r>
      <w:bookmarkEnd w:id="1097"/>
      <w:bookmarkEnd w:id="1098"/>
      <w:bookmarkEnd w:id="1099"/>
      <w:bookmarkEnd w:id="1100"/>
      <w:bookmarkEnd w:id="1101"/>
      <w:bookmarkStart w:id="1102" w:name="_Toc318581157"/>
    </w:p>
    <w:p w14:paraId="292F47D2">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22E93812">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hAnsi="宋体" w:cs="宋体"/>
          <w:color w:val="auto"/>
          <w:highlight w:val="none"/>
        </w:rPr>
        <w:t>承担。</w:t>
      </w:r>
    </w:p>
    <w:bookmarkEnd w:id="1102"/>
    <w:p w14:paraId="210B8B05">
      <w:pPr>
        <w:pStyle w:val="4"/>
        <w:rPr>
          <w:color w:val="auto"/>
          <w:highlight w:val="none"/>
        </w:rPr>
      </w:pPr>
      <w:bookmarkStart w:id="1103" w:name="_Toc407135202"/>
      <w:bookmarkStart w:id="1104" w:name="_Toc373227700"/>
      <w:bookmarkStart w:id="1105" w:name="_Toc373478347"/>
      <w:bookmarkStart w:id="1106" w:name="_Toc10139"/>
      <w:bookmarkStart w:id="1107" w:name="_Toc1495098807"/>
      <w:bookmarkStart w:id="1108" w:name="_Toc29152"/>
      <w:bookmarkStart w:id="1109" w:name="_Toc78449788"/>
      <w:bookmarkStart w:id="1110" w:name="_Toc389065266"/>
      <w:r>
        <w:rPr>
          <w:color w:val="auto"/>
          <w:highlight w:val="none"/>
        </w:rPr>
        <w:t xml:space="preserve">1.11 </w:t>
      </w:r>
      <w:r>
        <w:rPr>
          <w:rFonts w:hint="eastAsia" w:hAnsi="宋体" w:cs="黑体"/>
          <w:color w:val="auto"/>
          <w:highlight w:val="none"/>
        </w:rPr>
        <w:t>知识产权</w:t>
      </w:r>
      <w:bookmarkEnd w:id="1103"/>
      <w:bookmarkEnd w:id="1104"/>
      <w:bookmarkEnd w:id="1105"/>
      <w:bookmarkEnd w:id="1106"/>
      <w:bookmarkEnd w:id="1107"/>
      <w:bookmarkEnd w:id="1108"/>
      <w:bookmarkEnd w:id="1109"/>
      <w:bookmarkEnd w:id="1110"/>
    </w:p>
    <w:p w14:paraId="6D002E37">
      <w:pPr>
        <w:spacing w:line="360" w:lineRule="auto"/>
        <w:ind w:firstLine="420" w:firstLineChars="200"/>
        <w:rPr>
          <w:color w:val="auto"/>
          <w:highlight w:val="non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B83C5E1">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hAnsi="宋体" w:cs="宋体"/>
          <w:color w:val="auto"/>
          <w:highlight w:val="none"/>
        </w:rPr>
        <w:t>。</w:t>
      </w:r>
    </w:p>
    <w:p w14:paraId="67246404">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color w:val="auto"/>
          <w:highlight w:val="none"/>
          <w:u w:val="single"/>
        </w:rPr>
        <w:t xml:space="preserve">                         </w:t>
      </w:r>
      <w:r>
        <w:rPr>
          <w:rFonts w:hint="eastAsia" w:hAnsi="宋体" w:cs="宋体"/>
          <w:color w:val="auto"/>
          <w:highlight w:val="none"/>
        </w:rPr>
        <w:t>。</w:t>
      </w:r>
    </w:p>
    <w:p w14:paraId="639D531C">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1C05C5CA">
      <w:pPr>
        <w:spacing w:line="360" w:lineRule="auto"/>
        <w:ind w:firstLine="420" w:firstLineChars="200"/>
        <w:rPr>
          <w:rFonts w:hAnsi="宋体"/>
          <w:color w:val="auto"/>
          <w:highlight w:val="none"/>
          <w:u w:val="singl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p>
    <w:p w14:paraId="6F5B22C4">
      <w:pPr>
        <w:spacing w:line="360" w:lineRule="auto"/>
        <w:rPr>
          <w:color w:val="auto"/>
          <w:kern w:val="0"/>
          <w:highlight w:val="none"/>
        </w:rPr>
      </w:pP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5191B08F">
      <w:pPr>
        <w:pStyle w:val="4"/>
        <w:rPr>
          <w:color w:val="auto"/>
          <w:highlight w:val="none"/>
        </w:rPr>
      </w:pPr>
      <w:bookmarkStart w:id="1111" w:name="_Toc14497"/>
      <w:bookmarkStart w:id="1112" w:name="_Toc407135203"/>
      <w:bookmarkStart w:id="1113" w:name="_Toc373227701"/>
      <w:bookmarkStart w:id="1114" w:name="_Toc373478348"/>
      <w:bookmarkStart w:id="1115" w:name="_Toc267680563"/>
      <w:bookmarkStart w:id="1116" w:name="_Toc78449789"/>
      <w:bookmarkStart w:id="1117" w:name="_Toc25183"/>
      <w:bookmarkStart w:id="1118" w:name="_Toc389065267"/>
      <w:r>
        <w:rPr>
          <w:color w:val="auto"/>
          <w:highlight w:val="none"/>
        </w:rPr>
        <w:t>1.13</w:t>
      </w:r>
      <w:r>
        <w:rPr>
          <w:rFonts w:hint="eastAsia" w:cs="黑体"/>
          <w:color w:val="auto"/>
          <w:highlight w:val="none"/>
        </w:rPr>
        <w:t>工程量清单错误的修正</w:t>
      </w:r>
      <w:bookmarkEnd w:id="1111"/>
      <w:bookmarkEnd w:id="1112"/>
      <w:bookmarkEnd w:id="1113"/>
      <w:bookmarkEnd w:id="1114"/>
      <w:bookmarkEnd w:id="1115"/>
      <w:bookmarkEnd w:id="1116"/>
      <w:bookmarkEnd w:id="1117"/>
      <w:bookmarkEnd w:id="1118"/>
    </w:p>
    <w:p w14:paraId="38ACA492">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rPr>
        <w:t>□</w:t>
      </w:r>
      <w:r>
        <w:rPr>
          <w:rFonts w:hint="eastAsia" w:hAnsi="宋体" w:cs="宋体"/>
          <w:color w:val="auto"/>
          <w:highlight w:val="none"/>
          <w:u w:val="single"/>
        </w:rPr>
        <w:t xml:space="preserve">是  </w:t>
      </w:r>
      <w:r>
        <w:rPr>
          <w:rFonts w:hint="eastAsia" w:ascii="宋体" w:hAnsi="宋体" w:cs="宋体"/>
          <w:color w:val="auto"/>
          <w:highlight w:val="none"/>
          <w:u w:val="single"/>
        </w:rPr>
        <w:t>□</w:t>
      </w:r>
      <w:r>
        <w:rPr>
          <w:rFonts w:hint="eastAsia" w:hAnsi="宋体" w:cs="宋体"/>
          <w:color w:val="auto"/>
          <w:highlight w:val="none"/>
          <w:u w:val="single"/>
        </w:rPr>
        <w:t>否</w:t>
      </w:r>
      <w:r>
        <w:rPr>
          <w:rFonts w:hint="eastAsia" w:hAnsi="宋体" w:cs="宋体"/>
          <w:color w:val="auto"/>
          <w:kern w:val="0"/>
          <w:highlight w:val="none"/>
        </w:rPr>
        <w:t>。</w:t>
      </w:r>
    </w:p>
    <w:p w14:paraId="564EA684">
      <w:pPr>
        <w:spacing w:line="360" w:lineRule="auto"/>
        <w:ind w:firstLine="420" w:firstLineChars="200"/>
        <w:rPr>
          <w:rFonts w:hint="eastAsia" w:hAnsi="宋体" w:cs="宋体"/>
          <w:color w:val="auto"/>
          <w:highlight w:val="none"/>
        </w:rPr>
      </w:pPr>
      <w:r>
        <w:rPr>
          <w:rFonts w:hint="eastAsia" w:hAnsi="宋体" w:cs="宋体"/>
          <w:color w:val="auto"/>
          <w:highlight w:val="none"/>
        </w:rPr>
        <w:t>允许调整合同价格的工程量偏差范围及其调整办法：</w:t>
      </w:r>
    </w:p>
    <w:p w14:paraId="109886E9">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17E02333">
      <w:pPr>
        <w:spacing w:line="360" w:lineRule="auto"/>
        <w:ind w:firstLine="420" w:firstLineChars="200"/>
        <w:rPr>
          <w:rFonts w:hint="eastAsia" w:hAnsi="宋体" w:cs="宋体"/>
          <w:color w:val="auto"/>
          <w:highlight w:val="none"/>
          <w:u w:val="single"/>
        </w:rPr>
      </w:pPr>
      <w:r>
        <w:rPr>
          <w:rFonts w:hint="eastAsia" w:ascii="宋体" w:hAnsi="宋体" w:cs="宋体"/>
          <w:color w:val="auto"/>
          <w:highlight w:val="none"/>
        </w:rPr>
        <w:t>□</w:t>
      </w:r>
      <w:r>
        <w:rPr>
          <w:rFonts w:hint="eastAsia" w:ascii="Calibri" w:hAnsi="宋体" w:cs="宋体"/>
          <w:color w:val="auto"/>
          <w:highlight w:val="none"/>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14:paraId="506FBB53">
      <w:pPr>
        <w:pStyle w:val="3"/>
        <w:rPr>
          <w:color w:val="auto"/>
          <w:highlight w:val="none"/>
        </w:rPr>
      </w:pPr>
      <w:bookmarkStart w:id="1119" w:name="_Toc407135204"/>
      <w:bookmarkStart w:id="1120" w:name="_Toc389065268"/>
      <w:bookmarkStart w:id="1121" w:name="_Toc351203634"/>
      <w:bookmarkStart w:id="1122" w:name="_Toc373478349"/>
      <w:bookmarkStart w:id="1123" w:name="_Toc143780453"/>
      <w:bookmarkStart w:id="1124" w:name="_Toc373227702"/>
      <w:bookmarkStart w:id="1125" w:name="_Toc78449790"/>
      <w:bookmarkStart w:id="1126" w:name="_Toc10918"/>
      <w:r>
        <w:rPr>
          <w:color w:val="auto"/>
          <w:highlight w:val="none"/>
        </w:rPr>
        <w:t>2</w:t>
      </w:r>
      <w:bookmarkStart w:id="1127" w:name="_Toc292559362"/>
      <w:bookmarkStart w:id="1128" w:name="_Toc297120457"/>
      <w:bookmarkStart w:id="1129" w:name="_Toc296347156"/>
      <w:bookmarkStart w:id="1130" w:name="_Toc296891197"/>
      <w:bookmarkStart w:id="1131" w:name="_Toc296890985"/>
      <w:bookmarkStart w:id="1132" w:name="_Toc296503157"/>
      <w:bookmarkStart w:id="1133" w:name="_Toc297048343"/>
      <w:bookmarkStart w:id="1134" w:name="_Toc292559867"/>
      <w:bookmarkStart w:id="1135" w:name="_Toc296944496"/>
      <w:bookmarkStart w:id="1136" w:name="_Toc296346658"/>
      <w:r>
        <w:rPr>
          <w:color w:val="auto"/>
          <w:highlight w:val="none"/>
        </w:rPr>
        <w:t xml:space="preserve">. </w:t>
      </w:r>
      <w:r>
        <w:rPr>
          <w:rFonts w:hint="eastAsia" w:hAnsi="宋体" w:cs="黑体"/>
          <w:color w:val="auto"/>
          <w:highlight w:val="none"/>
        </w:rPr>
        <w:t>发包人</w:t>
      </w:r>
      <w:bookmarkEnd w:id="1119"/>
      <w:bookmarkEnd w:id="1120"/>
      <w:bookmarkEnd w:id="1121"/>
      <w:bookmarkEnd w:id="1122"/>
      <w:bookmarkEnd w:id="1123"/>
      <w:bookmarkEnd w:id="1124"/>
      <w:bookmarkEnd w:id="1125"/>
      <w:bookmarkEnd w:id="1126"/>
    </w:p>
    <w:bookmarkEnd w:id="1127"/>
    <w:bookmarkEnd w:id="1128"/>
    <w:bookmarkEnd w:id="1129"/>
    <w:bookmarkEnd w:id="1130"/>
    <w:bookmarkEnd w:id="1131"/>
    <w:bookmarkEnd w:id="1132"/>
    <w:bookmarkEnd w:id="1133"/>
    <w:bookmarkEnd w:id="1134"/>
    <w:bookmarkEnd w:id="1135"/>
    <w:bookmarkEnd w:id="1136"/>
    <w:p w14:paraId="3CE9AE10">
      <w:pPr>
        <w:pStyle w:val="4"/>
        <w:rPr>
          <w:color w:val="auto"/>
          <w:highlight w:val="none"/>
        </w:rPr>
      </w:pPr>
      <w:bookmarkStart w:id="1137" w:name="_Toc389065269"/>
      <w:bookmarkStart w:id="1138" w:name="_Toc78449791"/>
      <w:bookmarkStart w:id="1139" w:name="_Toc373478350"/>
      <w:bookmarkStart w:id="1140" w:name="_Toc373227703"/>
      <w:bookmarkStart w:id="1141" w:name="_Toc26971"/>
      <w:bookmarkStart w:id="1142" w:name="_Toc971240048"/>
      <w:bookmarkStart w:id="1143" w:name="_Toc407135205"/>
      <w:bookmarkStart w:id="1144" w:name="_Toc27372"/>
      <w:r>
        <w:rPr>
          <w:color w:val="auto"/>
          <w:highlight w:val="none"/>
        </w:rPr>
        <w:t xml:space="preserve">2.2 </w:t>
      </w:r>
      <w:r>
        <w:rPr>
          <w:rFonts w:hint="eastAsia" w:hAnsi="宋体" w:cs="黑体"/>
          <w:color w:val="auto"/>
          <w:highlight w:val="none"/>
        </w:rPr>
        <w:t>发包人代表</w:t>
      </w:r>
      <w:bookmarkEnd w:id="1137"/>
      <w:bookmarkEnd w:id="1138"/>
      <w:bookmarkEnd w:id="1139"/>
      <w:bookmarkEnd w:id="1140"/>
      <w:bookmarkEnd w:id="1141"/>
      <w:bookmarkEnd w:id="1142"/>
      <w:bookmarkEnd w:id="1143"/>
      <w:bookmarkEnd w:id="1144"/>
    </w:p>
    <w:p w14:paraId="22C8FD90">
      <w:pPr>
        <w:spacing w:line="360" w:lineRule="auto"/>
        <w:ind w:firstLine="420" w:firstLineChars="200"/>
        <w:rPr>
          <w:color w:val="auto"/>
          <w:highlight w:val="none"/>
        </w:rPr>
      </w:pPr>
      <w:r>
        <w:rPr>
          <w:rFonts w:hint="eastAsia" w:hAnsi="宋体" w:cs="宋体"/>
          <w:color w:val="auto"/>
          <w:highlight w:val="none"/>
        </w:rPr>
        <w:t>发包人代表：</w:t>
      </w:r>
    </w:p>
    <w:p w14:paraId="1C6FDE84">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7C1E936">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D26B84C">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8DEFAD2">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38164CF">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F345F35">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82E598F">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hAnsi="宋体" w:cs="宋体"/>
          <w:color w:val="auto"/>
          <w:highlight w:val="none"/>
        </w:rPr>
        <w:t>。</w:t>
      </w:r>
    </w:p>
    <w:p w14:paraId="5E0300E4">
      <w:pPr>
        <w:pStyle w:val="4"/>
        <w:rPr>
          <w:color w:val="auto"/>
          <w:highlight w:val="none"/>
        </w:rPr>
      </w:pPr>
      <w:bookmarkStart w:id="1145" w:name="_Toc17202"/>
      <w:bookmarkStart w:id="1146" w:name="_Toc27528"/>
      <w:bookmarkStart w:id="1147" w:name="_Toc389065270"/>
      <w:bookmarkStart w:id="1148" w:name="_Toc2077499244"/>
      <w:bookmarkStart w:id="1149" w:name="_Toc373227704"/>
      <w:bookmarkStart w:id="1150" w:name="_Toc373478351"/>
      <w:bookmarkStart w:id="1151" w:name="_Toc78449792"/>
      <w:bookmarkStart w:id="1152" w:name="_Toc407135206"/>
      <w:r>
        <w:rPr>
          <w:color w:val="auto"/>
          <w:highlight w:val="none"/>
        </w:rPr>
        <w:t xml:space="preserve">2.4 </w:t>
      </w:r>
      <w:r>
        <w:rPr>
          <w:rFonts w:hint="eastAsia" w:cs="黑体"/>
          <w:color w:val="auto"/>
          <w:highlight w:val="none"/>
        </w:rPr>
        <w:t>施工现场、施工条件和基础资料的提供</w:t>
      </w:r>
      <w:bookmarkEnd w:id="1145"/>
      <w:bookmarkEnd w:id="1146"/>
      <w:bookmarkEnd w:id="1147"/>
      <w:bookmarkEnd w:id="1148"/>
      <w:bookmarkEnd w:id="1149"/>
      <w:bookmarkEnd w:id="1150"/>
      <w:bookmarkEnd w:id="1151"/>
      <w:bookmarkEnd w:id="1152"/>
    </w:p>
    <w:p w14:paraId="0302664A">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4789E92B">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663BE01B">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179C8EC3">
      <w:pPr>
        <w:spacing w:line="360" w:lineRule="auto"/>
        <w:ind w:firstLine="420" w:firstLineChars="200"/>
        <w:rPr>
          <w:color w:val="auto"/>
          <w:highlight w:val="none"/>
          <w:u w:val="singl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hAnsi="宋体" w:cs="宋体"/>
          <w:color w:val="auto"/>
          <w:highlight w:val="none"/>
        </w:rPr>
        <w:t>。</w:t>
      </w:r>
    </w:p>
    <w:p w14:paraId="43BEEC74">
      <w:pPr>
        <w:pStyle w:val="4"/>
        <w:rPr>
          <w:color w:val="auto"/>
          <w:highlight w:val="none"/>
        </w:rPr>
      </w:pPr>
      <w:bookmarkStart w:id="1153" w:name="_Toc373478352"/>
      <w:bookmarkStart w:id="1154" w:name="_Toc389065271"/>
      <w:bookmarkStart w:id="1155" w:name="_Toc373227705"/>
      <w:bookmarkStart w:id="1156" w:name="_Toc78449793"/>
      <w:bookmarkStart w:id="1157" w:name="_Toc22558"/>
      <w:bookmarkStart w:id="1158" w:name="_Toc407135207"/>
      <w:bookmarkStart w:id="1159" w:name="_Toc1238195908"/>
      <w:bookmarkStart w:id="1160" w:name="_Toc7688"/>
      <w:r>
        <w:rPr>
          <w:color w:val="auto"/>
          <w:highlight w:val="none"/>
        </w:rPr>
        <w:t xml:space="preserve">2.5 </w:t>
      </w:r>
      <w:r>
        <w:rPr>
          <w:rFonts w:hint="eastAsia" w:cs="黑体"/>
          <w:color w:val="auto"/>
          <w:highlight w:val="none"/>
        </w:rPr>
        <w:t>资金来源证明及支付担保</w:t>
      </w:r>
      <w:bookmarkEnd w:id="1153"/>
      <w:bookmarkEnd w:id="1154"/>
      <w:bookmarkEnd w:id="1155"/>
      <w:bookmarkEnd w:id="1156"/>
      <w:bookmarkEnd w:id="1157"/>
      <w:bookmarkEnd w:id="1158"/>
      <w:bookmarkEnd w:id="1159"/>
      <w:bookmarkEnd w:id="1160"/>
    </w:p>
    <w:p w14:paraId="28EB57BD">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hAnsi="宋体" w:cs="宋体"/>
          <w:color w:val="auto"/>
          <w:highlight w:val="none"/>
        </w:rPr>
        <w:t>。</w:t>
      </w:r>
    </w:p>
    <w:p w14:paraId="5D703C71">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ascii="Times New Roman" w:hAnsi="宋体" w:eastAsia="宋体" w:cs="宋体"/>
          <w:color w:val="auto"/>
          <w:highlight w:val="none"/>
          <w:u w:val="none"/>
        </w:rPr>
        <w:t xml:space="preserve"> </w:t>
      </w:r>
      <w:r>
        <w:rPr>
          <w:rFonts w:hint="eastAsia" w:ascii="Times New Roman" w:hAnsi="宋体" w:eastAsia="宋体" w:cs="宋体"/>
          <w:color w:val="auto"/>
          <w:highlight w:val="none"/>
        </w:rPr>
        <w:t>。【</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hAnsi="宋体" w:cs="宋体"/>
          <w:i w:val="0"/>
          <w:caps w:val="0"/>
          <w:color w:val="auto"/>
          <w:spacing w:val="0"/>
          <w:sz w:val="21"/>
          <w:szCs w:val="21"/>
          <w:highlight w:val="none"/>
          <w:lang w:eastAsia="zh-CN"/>
        </w:rPr>
        <w:t>】</w:t>
      </w:r>
    </w:p>
    <w:p w14:paraId="023F1ADA">
      <w:pPr>
        <w:spacing w:line="360" w:lineRule="auto"/>
        <w:ind w:firstLine="420" w:firstLineChars="200"/>
        <w:rPr>
          <w:rFonts w:hint="eastAsia" w:hAnsi="宋体" w:cs="宋体"/>
          <w:color w:val="auto"/>
          <w:highlight w:val="none"/>
          <w:lang w:val="en" w:eastAsia="zh-CN"/>
        </w:rPr>
      </w:pPr>
      <w:r>
        <w:rPr>
          <w:rFonts w:hint="eastAsia" w:hAnsi="宋体" w:cs="宋体"/>
          <w:color w:val="auto"/>
          <w:highlight w:val="none"/>
        </w:rPr>
        <w:t>发包人提供支付担保的形式：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工程担保保证人应将出具的保函相关信息录入“广西建筑市场监管云”平台（https://gxjzsc.gxcic.net），以实现保函查询及验真功能</w:t>
      </w:r>
      <w:r>
        <w:rPr>
          <w:rFonts w:hint="eastAsia" w:hAnsi="宋体" w:cs="宋体"/>
          <w:color w:val="auto"/>
          <w:highlight w:val="none"/>
          <w:lang w:val="en" w:eastAsia="zh-CN"/>
        </w:rPr>
        <w:t>。</w:t>
      </w:r>
    </w:p>
    <w:p w14:paraId="418FDB92">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60FEC777">
      <w:pPr>
        <w:pStyle w:val="3"/>
        <w:rPr>
          <w:color w:val="auto"/>
          <w:highlight w:val="none"/>
        </w:rPr>
      </w:pPr>
      <w:bookmarkStart w:id="1161" w:name="_Toc389065272"/>
      <w:bookmarkStart w:id="1162" w:name="_Toc1181400362"/>
      <w:bookmarkStart w:id="1163" w:name="_Toc78449794"/>
      <w:bookmarkStart w:id="1164" w:name="_Toc351203635"/>
      <w:bookmarkStart w:id="1165" w:name="_Toc373478353"/>
      <w:bookmarkStart w:id="1166" w:name="_Toc407135208"/>
      <w:bookmarkStart w:id="1167" w:name="_Toc373227706"/>
      <w:bookmarkStart w:id="1168" w:name="_Toc28432"/>
      <w:r>
        <w:rPr>
          <w:color w:val="auto"/>
          <w:highlight w:val="none"/>
        </w:rPr>
        <w:t>3</w:t>
      </w:r>
      <w:bookmarkStart w:id="1169" w:name="_Toc296944497"/>
      <w:bookmarkStart w:id="1170" w:name="_Toc297048344"/>
      <w:bookmarkStart w:id="1171" w:name="_Toc296347157"/>
      <w:bookmarkStart w:id="1172" w:name="_Toc296891198"/>
      <w:bookmarkStart w:id="1173" w:name="_Toc296346659"/>
      <w:bookmarkStart w:id="1174" w:name="_Toc297120458"/>
      <w:bookmarkStart w:id="1175" w:name="_Toc296503158"/>
      <w:bookmarkStart w:id="1176" w:name="_Toc296890986"/>
      <w:bookmarkStart w:id="1177" w:name="_Toc292559868"/>
      <w:bookmarkStart w:id="1178" w:name="_Toc292559363"/>
      <w:r>
        <w:rPr>
          <w:color w:val="auto"/>
          <w:highlight w:val="none"/>
        </w:rPr>
        <w:t xml:space="preserve">. </w:t>
      </w:r>
      <w:r>
        <w:rPr>
          <w:rFonts w:hint="eastAsia" w:hAnsi="宋体" w:cs="黑体"/>
          <w:color w:val="auto"/>
          <w:highlight w:val="none"/>
        </w:rPr>
        <w:t>承包人</w:t>
      </w:r>
      <w:bookmarkEnd w:id="1161"/>
      <w:bookmarkEnd w:id="1162"/>
      <w:bookmarkEnd w:id="1163"/>
      <w:bookmarkEnd w:id="1164"/>
      <w:bookmarkEnd w:id="1165"/>
      <w:bookmarkEnd w:id="1166"/>
      <w:bookmarkEnd w:id="1167"/>
      <w:bookmarkEnd w:id="1168"/>
    </w:p>
    <w:bookmarkEnd w:id="1169"/>
    <w:bookmarkEnd w:id="1170"/>
    <w:bookmarkEnd w:id="1171"/>
    <w:bookmarkEnd w:id="1172"/>
    <w:bookmarkEnd w:id="1173"/>
    <w:bookmarkEnd w:id="1174"/>
    <w:bookmarkEnd w:id="1175"/>
    <w:bookmarkEnd w:id="1176"/>
    <w:bookmarkEnd w:id="1177"/>
    <w:bookmarkEnd w:id="1178"/>
    <w:p w14:paraId="5C0594BA">
      <w:pPr>
        <w:pStyle w:val="4"/>
        <w:rPr>
          <w:color w:val="auto"/>
          <w:highlight w:val="none"/>
        </w:rPr>
      </w:pPr>
      <w:bookmarkStart w:id="1179" w:name="_Toc373478354"/>
      <w:bookmarkStart w:id="1180" w:name="_Toc389065273"/>
      <w:bookmarkStart w:id="1181" w:name="_Toc962678435"/>
      <w:bookmarkStart w:id="1182" w:name="_Toc407135209"/>
      <w:bookmarkStart w:id="1183" w:name="_Toc373227707"/>
      <w:bookmarkStart w:id="1184" w:name="_Toc23629"/>
      <w:bookmarkStart w:id="1185" w:name="_Toc78449795"/>
      <w:bookmarkStart w:id="1186" w:name="_Toc5874"/>
      <w:r>
        <w:rPr>
          <w:color w:val="auto"/>
          <w:highlight w:val="none"/>
        </w:rPr>
        <w:t xml:space="preserve">3.1 </w:t>
      </w:r>
      <w:r>
        <w:rPr>
          <w:rFonts w:hint="eastAsia" w:cs="黑体"/>
          <w:color w:val="auto"/>
          <w:highlight w:val="none"/>
        </w:rPr>
        <w:t>承包人的一般义务</w:t>
      </w:r>
      <w:bookmarkEnd w:id="1179"/>
      <w:bookmarkEnd w:id="1180"/>
      <w:bookmarkEnd w:id="1181"/>
      <w:bookmarkEnd w:id="1182"/>
      <w:bookmarkEnd w:id="1183"/>
      <w:bookmarkEnd w:id="1184"/>
      <w:bookmarkEnd w:id="1185"/>
      <w:bookmarkEnd w:id="1186"/>
    </w:p>
    <w:p w14:paraId="68AE4989">
      <w:pPr>
        <w:spacing w:line="360" w:lineRule="auto"/>
        <w:ind w:firstLine="420" w:firstLineChars="200"/>
        <w:jc w:val="left"/>
        <w:rPr>
          <w:rFonts w:hAnsi="宋体"/>
          <w:color w:val="auto"/>
          <w:highlight w:val="non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p>
    <w:p w14:paraId="15BFE987">
      <w:pPr>
        <w:spacing w:line="360" w:lineRule="auto"/>
        <w:ind w:firstLine="420" w:firstLineChars="200"/>
        <w:jc w:val="left"/>
        <w:rPr>
          <w:color w:val="auto"/>
          <w:highlight w:val="none"/>
          <w:u w:val="single"/>
        </w:rPr>
      </w:pPr>
      <w:r>
        <w:rPr>
          <w:color w:val="auto"/>
          <w:highlight w:val="none"/>
          <w:u w:val="single"/>
        </w:rPr>
        <w:t xml:space="preserve">                                                     </w:t>
      </w:r>
      <w:r>
        <w:rPr>
          <w:rFonts w:hint="eastAsia" w:hAnsi="宋体" w:cs="宋体"/>
          <w:color w:val="auto"/>
          <w:highlight w:val="none"/>
        </w:rPr>
        <w:t>。</w:t>
      </w:r>
    </w:p>
    <w:p w14:paraId="00952060">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hAnsi="宋体" w:cs="宋体"/>
          <w:color w:val="auto"/>
          <w:highlight w:val="none"/>
        </w:rPr>
        <w:t>。</w:t>
      </w:r>
    </w:p>
    <w:p w14:paraId="40C1CA49">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hAnsi="宋体" w:cs="宋体"/>
          <w:color w:val="auto"/>
          <w:highlight w:val="none"/>
        </w:rPr>
        <w:t>。</w:t>
      </w:r>
    </w:p>
    <w:p w14:paraId="2209E4B1">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hAnsi="宋体" w:cs="宋体"/>
          <w:color w:val="auto"/>
          <w:highlight w:val="none"/>
        </w:rPr>
        <w:t>。</w:t>
      </w:r>
    </w:p>
    <w:p w14:paraId="1D4F835A">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color w:val="auto"/>
          <w:highlight w:val="none"/>
          <w:u w:val="single"/>
        </w:rPr>
        <w:t xml:space="preserve">                       </w:t>
      </w:r>
      <w:r>
        <w:rPr>
          <w:rFonts w:hint="eastAsia" w:hAnsi="宋体" w:cs="宋体"/>
          <w:color w:val="auto"/>
          <w:highlight w:val="none"/>
        </w:rPr>
        <w:t>。</w:t>
      </w:r>
    </w:p>
    <w:p w14:paraId="7A1B856B">
      <w:pPr>
        <w:spacing w:line="360" w:lineRule="auto"/>
        <w:ind w:firstLine="420" w:firstLineChars="200"/>
        <w:rPr>
          <w:rFonts w:hint="eastAsia" w:hAnsi="宋体" w:cs="宋体"/>
          <w:color w:val="auto"/>
          <w:kern w:val="0"/>
          <w:highlight w:val="none"/>
          <w:u w:val="singl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r>
        <w:rPr>
          <w:rFonts w:hint="eastAsia" w:hAnsi="宋体" w:cs="宋体"/>
          <w:color w:val="auto"/>
          <w:kern w:val="0"/>
          <w:highlight w:val="none"/>
          <w:u w:val="single"/>
        </w:rPr>
        <w:t>施工现场建筑工人持证率应达到   %。（建议≥15%）</w:t>
      </w:r>
    </w:p>
    <w:p w14:paraId="72B75B5D">
      <w:pPr>
        <w:spacing w:line="360" w:lineRule="auto"/>
        <w:ind w:firstLine="420" w:firstLineChars="200"/>
        <w:rPr>
          <w:color w:val="auto"/>
          <w:kern w:val="0"/>
          <w:highlight w:val="none"/>
        </w:rPr>
      </w:pPr>
      <w:r>
        <w:rPr>
          <w:rFonts w:hint="eastAsia" w:hAnsi="宋体" w:cs="宋体"/>
          <w:color w:val="auto"/>
          <w:kern w:val="0"/>
          <w:highlight w:val="none"/>
          <w:u w:val="single"/>
          <w:lang w:val="en-US" w:eastAsia="zh-CN"/>
        </w:rPr>
        <w:t>持证人员是指持有</w:t>
      </w:r>
      <w:r>
        <w:rPr>
          <w:rFonts w:hint="eastAsia" w:hAnsi="宋体" w:cs="宋体"/>
          <w:color w:val="auto"/>
          <w:kern w:val="0"/>
          <w:highlight w:val="none"/>
          <w:u w:val="single"/>
        </w:rPr>
        <w:t>国家、行业或地方主管部门颁发或认可的职业资格证书或技能等级证书的作业人员。建筑工人持证率=有考勤记录的工人中持有技能证书的人数÷有考勤记录的工人总人数×100%</w:t>
      </w:r>
      <w:r>
        <w:rPr>
          <w:rFonts w:hint="eastAsia" w:hAnsi="宋体" w:cs="宋体"/>
          <w:color w:val="auto"/>
          <w:kern w:val="0"/>
          <w:highlight w:val="none"/>
        </w:rPr>
        <w:t>。</w:t>
      </w:r>
    </w:p>
    <w:p w14:paraId="36F3B43D">
      <w:pPr>
        <w:pStyle w:val="4"/>
        <w:rPr>
          <w:color w:val="auto"/>
          <w:highlight w:val="none"/>
        </w:rPr>
      </w:pPr>
      <w:bookmarkStart w:id="1187" w:name="_Toc596"/>
      <w:bookmarkStart w:id="1188" w:name="_Toc389065274"/>
      <w:bookmarkStart w:id="1189" w:name="_Toc78449796"/>
      <w:bookmarkStart w:id="1190" w:name="_Toc373478355"/>
      <w:bookmarkStart w:id="1191" w:name="_Toc407135210"/>
      <w:bookmarkStart w:id="1192" w:name="_Toc373227708"/>
      <w:bookmarkStart w:id="1193" w:name="_Toc501741485"/>
      <w:bookmarkStart w:id="1194" w:name="_Toc26059"/>
      <w:r>
        <w:rPr>
          <w:color w:val="auto"/>
          <w:highlight w:val="none"/>
        </w:rPr>
        <w:t xml:space="preserve">3.2 </w:t>
      </w:r>
      <w:r>
        <w:rPr>
          <w:rFonts w:hint="eastAsia" w:hAnsi="宋体" w:cs="黑体"/>
          <w:color w:val="auto"/>
          <w:highlight w:val="none"/>
        </w:rPr>
        <w:t>项目经理</w:t>
      </w:r>
      <w:bookmarkEnd w:id="1187"/>
      <w:bookmarkEnd w:id="1188"/>
      <w:bookmarkEnd w:id="1189"/>
      <w:bookmarkEnd w:id="1190"/>
      <w:bookmarkEnd w:id="1191"/>
      <w:bookmarkEnd w:id="1192"/>
      <w:bookmarkEnd w:id="1193"/>
      <w:bookmarkEnd w:id="1194"/>
    </w:p>
    <w:p w14:paraId="41FA0EEB">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434E3C7E">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CCDA568">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2D25913">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1433266">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8BE8652">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488032C">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E9C5FA5">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E8BE1A1">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9B0EEDF">
      <w:pPr>
        <w:spacing w:line="360" w:lineRule="auto"/>
        <w:ind w:firstLine="420" w:firstLineChars="200"/>
        <w:rPr>
          <w:color w:val="auto"/>
          <w:highlight w:val="non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hAnsi="宋体" w:cs="宋体"/>
          <w:color w:val="auto"/>
          <w:highlight w:val="none"/>
        </w:rPr>
        <w:t>。</w:t>
      </w:r>
    </w:p>
    <w:p w14:paraId="29B5DD75">
      <w:pPr>
        <w:spacing w:line="360" w:lineRule="auto"/>
        <w:ind w:firstLine="420" w:firstLineChars="200"/>
        <w:jc w:val="left"/>
        <w:rPr>
          <w:rFonts w:hint="eastAsia"/>
          <w:color w:val="auto"/>
          <w:highlight w:val="none"/>
          <w:u w:val="single"/>
        </w:rPr>
      </w:pPr>
      <w:r>
        <w:rPr>
          <w:rFonts w:hint="eastAsia" w:hAnsi="宋体" w:cs="宋体"/>
          <w:color w:val="auto"/>
          <w:kern w:val="0"/>
          <w:highlight w:val="none"/>
        </w:rPr>
        <w:t>关于项目经理每月在施工现场的时间要求：</w:t>
      </w:r>
      <w:r>
        <w:rPr>
          <w:rFonts w:hint="eastAsia"/>
          <w:color w:val="auto"/>
          <w:highlight w:val="none"/>
          <w:u w:val="single"/>
        </w:rPr>
        <w:t>项目经理应常驻施工现场，且每月在岗带班时间不得少于当月施工时间的   %。（住房城乡建设部《建筑施工企业负责人及项目负责人施工现场带班暂行办法》（建质〔2011〕111号）规定：项目负责人每月带班生产时间不得少于本月施工时间的80%）</w:t>
      </w:r>
    </w:p>
    <w:p w14:paraId="6E681628">
      <w:pPr>
        <w:spacing w:line="360" w:lineRule="auto"/>
        <w:ind w:firstLine="420" w:firstLineChars="200"/>
        <w:jc w:val="left"/>
        <w:rPr>
          <w:rFonts w:hint="eastAsia"/>
          <w:color w:val="auto"/>
          <w:highlight w:val="none"/>
          <w:u w:val="single"/>
        </w:rPr>
      </w:pPr>
      <w:r>
        <w:rPr>
          <w:rFonts w:hint="eastAsia"/>
          <w:color w:val="auto"/>
          <w:highlight w:val="none"/>
          <w:u w:val="single"/>
        </w:rPr>
        <w:t>项目经理未达到到岗时间要求违约责任：项目经理每月到岗时间达不到合同约定时，每少1天，承包人须承担违约金   元/天（人民币）。（项目经理到岗时间以广西建筑工人管理服务信息平台考勤记录为准）</w:t>
      </w:r>
    </w:p>
    <w:p w14:paraId="22E73633">
      <w:pPr>
        <w:spacing w:line="360" w:lineRule="auto"/>
        <w:ind w:firstLine="420" w:firstLineChars="200"/>
        <w:jc w:val="left"/>
        <w:rPr>
          <w:color w:val="auto"/>
          <w:kern w:val="0"/>
          <w:highlight w:val="none"/>
        </w:rPr>
      </w:pPr>
      <w:r>
        <w:rPr>
          <w:rFonts w:hint="eastAsia"/>
          <w:color w:val="auto"/>
          <w:highlight w:val="none"/>
          <w:u w:val="single"/>
        </w:rPr>
        <w:t>项目经理未经批准，擅自离开施工现场的违约责任：承包人须承担违约金   元/天（人民币），并由承包人承担因上述违约行为给发包人造成的一切损失</w:t>
      </w:r>
      <w:r>
        <w:rPr>
          <w:rFonts w:hint="eastAsia"/>
          <w:color w:val="auto"/>
          <w:highlight w:val="none"/>
          <w:u w:val="single"/>
          <w:lang w:eastAsia="zh-CN"/>
        </w:rPr>
        <w:t>。</w:t>
      </w:r>
    </w:p>
    <w:p w14:paraId="27291DF6">
      <w:pPr>
        <w:spacing w:line="360" w:lineRule="auto"/>
        <w:ind w:firstLine="420" w:firstLineChars="200"/>
        <w:rPr>
          <w:color w:val="auto"/>
          <w:highlight w:val="none"/>
          <w:u w:val="single"/>
        </w:rPr>
      </w:pPr>
      <w:r>
        <w:rPr>
          <w:rFonts w:hint="eastAsia" w:hAnsi="宋体" w:cs="宋体"/>
          <w:color w:val="auto"/>
          <w:kern w:val="0"/>
          <w:highlight w:val="none"/>
        </w:rPr>
        <w:t>承包人未提交劳动合同，以及没有为项目经理缴纳社会保险证明的违约责任：</w:t>
      </w:r>
    </w:p>
    <w:p w14:paraId="1D18A785">
      <w:pPr>
        <w:spacing w:line="360" w:lineRule="auto"/>
        <w:rPr>
          <w:color w:val="auto"/>
          <w:kern w:val="0"/>
          <w:highlight w:val="none"/>
        </w:rPr>
      </w:pPr>
      <w:r>
        <w:rPr>
          <w:color w:val="auto"/>
          <w:highlight w:val="none"/>
          <w:u w:val="single"/>
        </w:rPr>
        <w:t xml:space="preserve">      </w:t>
      </w:r>
      <w:r>
        <w:rPr>
          <w:rFonts w:hAnsi="宋体"/>
          <w:color w:val="auto"/>
          <w:highlight w:val="none"/>
          <w:u w:val="single"/>
        </w:rPr>
        <w:t xml:space="preserve">                                                               </w:t>
      </w:r>
      <w:r>
        <w:rPr>
          <w:rFonts w:hint="eastAsia" w:hAnsi="宋体"/>
          <w:color w:val="auto"/>
          <w:highlight w:val="none"/>
          <w:u w:val="single"/>
        </w:rPr>
        <w:t xml:space="preserve">            </w:t>
      </w:r>
      <w:r>
        <w:rPr>
          <w:rFonts w:hint="eastAsia" w:hAnsi="宋体" w:cs="宋体"/>
          <w:color w:val="auto"/>
          <w:highlight w:val="none"/>
        </w:rPr>
        <w:t>。</w:t>
      </w:r>
    </w:p>
    <w:p w14:paraId="7914E526">
      <w:pPr>
        <w:adjustRightInd w:val="0"/>
        <w:snapToGrid w:val="0"/>
        <w:spacing w:line="460" w:lineRule="exact"/>
        <w:ind w:firstLine="0" w:firstLineChars="0"/>
        <w:jc w:val="left"/>
        <w:rPr>
          <w:rFonts w:ascii="Times New Roman" w:hAnsi="Times New Roman" w:eastAsia="宋体" w:cs="Times New Roman"/>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u w:val="single"/>
        </w:rPr>
        <w:t>承包人项目经理必须与承包人投标时所承诺的人员一致，并在</w:t>
      </w:r>
      <w:r>
        <w:rPr>
          <w:color w:val="auto"/>
          <w:highlight w:val="none"/>
          <w:u w:val="single"/>
        </w:rPr>
        <w:t xml:space="preserve">  </w:t>
      </w:r>
      <w:r>
        <w:rPr>
          <w:rFonts w:hint="eastAsia" w:hAnsi="宋体" w:cs="宋体"/>
          <w:color w:val="auto"/>
          <w:highlight w:val="none"/>
          <w:u w:val="single"/>
        </w:rPr>
        <w:t>（开工日期）</w:t>
      </w:r>
      <w:r>
        <w:rPr>
          <w:color w:val="auto"/>
          <w:highlight w:val="none"/>
          <w:u w:val="single"/>
        </w:rPr>
        <w:t xml:space="preserve">  </w:t>
      </w:r>
      <w:r>
        <w:rPr>
          <w:rFonts w:hint="eastAsia" w:hAnsi="宋体" w:cs="宋体"/>
          <w:color w:val="auto"/>
          <w:highlight w:val="none"/>
          <w:u w:val="single"/>
        </w:rPr>
        <w:t>前到</w:t>
      </w:r>
      <w:r>
        <w:rPr>
          <w:rFonts w:hint="default" w:ascii="Times New Roman" w:hAnsi="Times New Roman" w:eastAsia="宋体" w:cs="Times New Roman"/>
          <w:color w:val="auto"/>
          <w:highlight w:val="none"/>
          <w:u w:val="none"/>
        </w:rPr>
        <w:t>任。在监理人向承包人颁发</w:t>
      </w:r>
      <w:r>
        <w:rPr>
          <w:rFonts w:ascii="Times New Roman" w:hAnsi="Times New Roman" w:eastAsia="宋体" w:cs="Times New Roman"/>
          <w:color w:val="auto"/>
          <w:highlight w:val="none"/>
          <w:u w:val="non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（竣工证明材料名称）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none"/>
        </w:rPr>
        <w:t xml:space="preserve"> </w:t>
      </w:r>
      <w:r>
        <w:rPr>
          <w:rFonts w:hint="default" w:ascii="Times New Roman" w:hAnsi="Times New Roman" w:eastAsia="宋体" w:cs="Times New Roman"/>
          <w:color w:val="auto"/>
          <w:highlight w:val="none"/>
          <w:u w:val="none"/>
        </w:rPr>
        <w:t>前，项目经理不得同时兼任其他任何项目的项目经理</w:t>
      </w:r>
      <w:r>
        <w:rPr>
          <w:rFonts w:hint="default" w:ascii="Times New Roman" w:hAnsi="Times New Roman" w:eastAsia="宋体" w:cs="Times New Roman"/>
          <w:color w:val="auto"/>
          <w:kern w:val="2"/>
          <w:highlight w:val="none"/>
          <w:u w:val="none"/>
        </w:rPr>
        <w:t>（</w:t>
      </w:r>
      <w:r>
        <w:rPr>
          <w:rFonts w:hint="default" w:ascii="Times New Roman" w:hAnsi="Times New Roman" w:eastAsia="宋体" w:cs="Times New Roman"/>
          <w:color w:val="auto"/>
          <w:kern w:val="2"/>
          <w:highlight w:val="none"/>
          <w:u w:val="none"/>
          <w:lang w:eastAsia="zh-CN"/>
        </w:rPr>
        <w:t>符合</w:t>
      </w:r>
      <w:r>
        <w:rPr>
          <w:rFonts w:hint="default" w:ascii="Times New Roman" w:hAnsi="Times New Roman" w:eastAsia="宋体" w:cs="Times New Roman"/>
          <w:color w:val="auto"/>
          <w:highlight w:val="none"/>
        </w:rPr>
        <w:t>《广西壮族自治区建筑市场诚信卡管理暂行办法》第十六条第一款及桂建管</w:t>
      </w:r>
      <w:r>
        <w:rPr>
          <w:rFonts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sz w:val="21"/>
          <w:szCs w:val="21"/>
          <w:highlight w:val="none"/>
          <w:u w:val="none"/>
        </w:rPr>
        <w:t>桂建管〔2020〕11号</w:t>
      </w:r>
      <w:r>
        <w:rPr>
          <w:rFonts w:hint="default" w:ascii="Times New Roman" w:hAnsi="Times New Roman" w:eastAsia="宋体" w:cs="Times New Roman"/>
          <w:color w:val="auto"/>
          <w:kern w:val="2"/>
          <w:highlight w:val="none"/>
          <w:u w:val="none"/>
        </w:rPr>
        <w:t>文除外）</w:t>
      </w:r>
      <w:r>
        <w:rPr>
          <w:rFonts w:hint="default" w:ascii="Times New Roman" w:hAnsi="Times New Roman" w:eastAsia="宋体" w:cs="Times New Roman"/>
          <w:color w:val="auto"/>
          <w:highlight w:val="none"/>
          <w:u w:val="none"/>
        </w:rPr>
        <w:t>。未经发包人书面同意，承包人擅自更换项目经理的视为违约，违约金处</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none"/>
        </w:rPr>
        <w:t>元</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人</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次（人民币）</w:t>
      </w:r>
      <w:r>
        <w:rPr>
          <w:rFonts w:hint="default" w:ascii="Times New Roman" w:hAnsi="Times New Roman" w:eastAsia="宋体" w:cs="Times New Roman"/>
          <w:color w:val="auto"/>
          <w:highlight w:val="none"/>
        </w:rPr>
        <w:t>。</w:t>
      </w:r>
    </w:p>
    <w:p w14:paraId="5EB323BF">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u w:val="single"/>
        </w:rPr>
        <w:t>因承包人项目经理不称职，发包人要求调换而未及时调换的，视为承包人违约，必须向发包人交纳</w:t>
      </w:r>
      <w:r>
        <w:rPr>
          <w:rFonts w:hint="eastAsia" w:hAnsi="宋体" w:cs="宋体"/>
          <w:color w:val="auto"/>
          <w:highlight w:val="none"/>
          <w:u w:val="single"/>
          <w:lang w:val="en-US" w:eastAsia="zh-CN"/>
        </w:rPr>
        <w:t>违约</w:t>
      </w:r>
      <w:r>
        <w:rPr>
          <w:rFonts w:hint="eastAsia" w:hAnsi="宋体" w:cs="宋体"/>
          <w:color w:val="auto"/>
          <w:highlight w:val="none"/>
          <w:u w:val="single"/>
        </w:rPr>
        <w:t>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58C720C">
      <w:pPr>
        <w:pStyle w:val="4"/>
        <w:rPr>
          <w:color w:val="auto"/>
          <w:highlight w:val="none"/>
        </w:rPr>
      </w:pPr>
      <w:bookmarkStart w:id="1195" w:name="_Toc407135211"/>
      <w:bookmarkStart w:id="1196" w:name="_Toc389065275"/>
      <w:bookmarkStart w:id="1197" w:name="_Toc1443830486"/>
      <w:bookmarkStart w:id="1198" w:name="_Toc373478356"/>
      <w:bookmarkStart w:id="1199" w:name="_Toc15147"/>
      <w:bookmarkStart w:id="1200" w:name="_Toc78449797"/>
      <w:bookmarkStart w:id="1201" w:name="_Toc373227709"/>
      <w:bookmarkStart w:id="1202" w:name="_Toc24414"/>
      <w:r>
        <w:rPr>
          <w:color w:val="auto"/>
          <w:highlight w:val="none"/>
        </w:rPr>
        <w:t xml:space="preserve">3.3 </w:t>
      </w:r>
      <w:r>
        <w:rPr>
          <w:rFonts w:hint="eastAsia" w:hAnsi="宋体" w:cs="黑体"/>
          <w:color w:val="auto"/>
          <w:highlight w:val="none"/>
        </w:rPr>
        <w:t>承包人人员</w:t>
      </w:r>
      <w:bookmarkEnd w:id="1195"/>
      <w:bookmarkEnd w:id="1196"/>
      <w:bookmarkEnd w:id="1197"/>
      <w:bookmarkEnd w:id="1198"/>
      <w:bookmarkEnd w:id="1199"/>
      <w:bookmarkEnd w:id="1200"/>
      <w:bookmarkEnd w:id="1201"/>
      <w:bookmarkEnd w:id="1202"/>
    </w:p>
    <w:p w14:paraId="33386EEC">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0EB1B540">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08FC09AA">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w:t>
      </w:r>
      <w:r>
        <w:rPr>
          <w:rFonts w:hint="eastAsia" w:hAnsi="宋体" w:cs="宋体"/>
          <w:color w:val="auto"/>
          <w:highlight w:val="none"/>
          <w:u w:val="single"/>
          <w:lang w:val="en-US" w:eastAsia="zh-CN"/>
        </w:rPr>
        <w:t>违约金</w:t>
      </w:r>
      <w:r>
        <w:rPr>
          <w:rFonts w:hint="eastAsia" w:hAnsi="宋体" w:cs="宋体"/>
          <w:color w:val="auto"/>
          <w:highlight w:val="none"/>
          <w:u w:val="single"/>
        </w:rPr>
        <w:t>，</w:t>
      </w:r>
      <w:r>
        <w:rPr>
          <w:rFonts w:hint="eastAsia" w:hAnsi="宋体" w:cs="宋体"/>
          <w:color w:val="auto"/>
          <w:highlight w:val="none"/>
          <w:u w:val="single"/>
          <w:lang w:val="en-US" w:eastAsia="zh-CN"/>
        </w:rPr>
        <w:t>交纳</w:t>
      </w:r>
      <w:r>
        <w:rPr>
          <w:rFonts w:hint="eastAsia" w:hAnsi="宋体" w:cs="宋体"/>
          <w:color w:val="auto"/>
          <w:highlight w:val="none"/>
          <w:u w:val="single"/>
        </w:rPr>
        <w:t>标准：技术负责人</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0D454AA7">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hAnsi="宋体" w:cs="宋体"/>
          <w:color w:val="auto"/>
          <w:highlight w:val="none"/>
        </w:rPr>
        <w:t>。</w:t>
      </w:r>
    </w:p>
    <w:p w14:paraId="2FC87CBA">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项目技术负责人、专职安全生产管理人员及其承诺的其它在场管理人员未经发包人书面同意不准擅自更换，擅自更换项目技术负责人处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违约金；擅自更换专职安全生产管理人员处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违约金；擅自更换其它在场管理人员处</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4A8C2915">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；未经发包人同意，专职安全生产管理人员擅自离岗的，视为承包人违约，发包人有权处违约金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16BDA784">
      <w:pPr>
        <w:pStyle w:val="4"/>
        <w:rPr>
          <w:color w:val="auto"/>
          <w:highlight w:val="none"/>
        </w:rPr>
      </w:pPr>
      <w:bookmarkStart w:id="1203" w:name="_Toc389065276"/>
      <w:bookmarkStart w:id="1204" w:name="_Toc373478357"/>
      <w:bookmarkStart w:id="1205" w:name="_Toc373227710"/>
      <w:bookmarkStart w:id="1206" w:name="_Toc21361"/>
      <w:bookmarkStart w:id="1207" w:name="_Toc2025600126"/>
      <w:bookmarkStart w:id="1208" w:name="_Toc78449798"/>
      <w:bookmarkStart w:id="1209" w:name="_Toc10076"/>
      <w:bookmarkStart w:id="1210" w:name="_Toc407135212"/>
      <w:r>
        <w:rPr>
          <w:color w:val="auto"/>
          <w:highlight w:val="none"/>
        </w:rPr>
        <w:t>3</w:t>
      </w:r>
      <w:bookmarkStart w:id="1211" w:name="_Toc297216151"/>
      <w:bookmarkStart w:id="1212" w:name="_Toc297120459"/>
      <w:bookmarkStart w:id="1213" w:name="_Toc296890987"/>
      <w:bookmarkStart w:id="1214" w:name="_Toc297123492"/>
      <w:bookmarkStart w:id="1215" w:name="_Toc304295523"/>
      <w:bookmarkStart w:id="1216" w:name="_Toc296944498"/>
      <w:bookmarkStart w:id="1217" w:name="_Toc297048345"/>
      <w:bookmarkStart w:id="1218" w:name="_Toc292559364"/>
      <w:bookmarkStart w:id="1219" w:name="_Toc292559869"/>
      <w:bookmarkStart w:id="1220" w:name="_Toc300934945"/>
      <w:bookmarkStart w:id="1221" w:name="_Toc303539102"/>
      <w:bookmarkStart w:id="1222" w:name="_Toc296891199"/>
      <w:bookmarkStart w:id="1223" w:name="_Toc296503159"/>
      <w:bookmarkStart w:id="1224" w:name="_Toc296346660"/>
      <w:bookmarkStart w:id="1225" w:name="_Toc296347158"/>
      <w:bookmarkStart w:id="1226" w:name="_Toc312677988"/>
      <w:r>
        <w:rPr>
          <w:color w:val="auto"/>
          <w:highlight w:val="none"/>
        </w:rPr>
        <w:t xml:space="preserve">.5 </w:t>
      </w:r>
      <w:r>
        <w:rPr>
          <w:rFonts w:hint="eastAsia" w:hAnsi="宋体" w:cs="黑体"/>
          <w:color w:val="auto"/>
          <w:highlight w:val="none"/>
        </w:rPr>
        <w:t>分包</w:t>
      </w:r>
      <w:bookmarkEnd w:id="1203"/>
      <w:bookmarkEnd w:id="1204"/>
      <w:bookmarkEnd w:id="1205"/>
      <w:bookmarkEnd w:id="1206"/>
      <w:bookmarkEnd w:id="1207"/>
      <w:bookmarkEnd w:id="1208"/>
      <w:bookmarkEnd w:id="1209"/>
      <w:bookmarkEnd w:id="1210"/>
    </w:p>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14:paraId="4C31EBFD">
      <w:pPr>
        <w:spacing w:line="360" w:lineRule="auto"/>
        <w:ind w:firstLine="420" w:firstLineChars="200"/>
        <w:rPr>
          <w:color w:val="auto"/>
          <w:highlight w:val="none"/>
        </w:rPr>
      </w:pPr>
      <w:r>
        <w:rPr>
          <w:color w:val="auto"/>
          <w:highlight w:val="none"/>
        </w:rPr>
        <w:t>3</w:t>
      </w:r>
      <w:bookmarkStart w:id="1227" w:name="_Toc296944499"/>
      <w:bookmarkStart w:id="1228" w:name="_Toc296346661"/>
      <w:bookmarkStart w:id="1229" w:name="_Toc292559365"/>
      <w:bookmarkStart w:id="1230" w:name="_Toc292559870"/>
      <w:bookmarkStart w:id="1231" w:name="_Toc296891200"/>
      <w:bookmarkStart w:id="1232" w:name="_Toc312677989"/>
      <w:bookmarkStart w:id="1233" w:name="_Toc296503160"/>
      <w:bookmarkStart w:id="1234" w:name="_Toc296347159"/>
      <w:bookmarkStart w:id="1235" w:name="_Toc318581158"/>
      <w:bookmarkStart w:id="1236" w:name="_Toc303539103"/>
      <w:bookmarkStart w:id="1237" w:name="_Toc297120460"/>
      <w:bookmarkStart w:id="1238" w:name="_Toc300934946"/>
      <w:bookmarkStart w:id="1239" w:name="_Toc297048346"/>
      <w:bookmarkStart w:id="1240" w:name="_Toc297216152"/>
      <w:bookmarkStart w:id="1241" w:name="_Toc297123493"/>
      <w:bookmarkStart w:id="1242" w:name="_Toc304295524"/>
      <w:bookmarkStart w:id="1243" w:name="_Toc296890988"/>
      <w:r>
        <w:rPr>
          <w:color w:val="auto"/>
          <w:highlight w:val="none"/>
        </w:rPr>
        <w:t xml:space="preserve">.5.1 </w:t>
      </w:r>
      <w:r>
        <w:rPr>
          <w:rFonts w:hint="eastAsia" w:hAnsi="宋体" w:cs="宋体"/>
          <w:color w:val="auto"/>
          <w:highlight w:val="none"/>
        </w:rPr>
        <w:t>分包的一般约定</w:t>
      </w:r>
    </w:p>
    <w:p w14:paraId="40584E47">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hAnsi="宋体" w:cs="宋体"/>
          <w:color w:val="auto"/>
          <w:highlight w:val="none"/>
        </w:rPr>
        <w:t>。</w:t>
      </w:r>
    </w:p>
    <w:p w14:paraId="43116BAE">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hAnsi="宋体" w:cs="宋体"/>
          <w:color w:val="auto"/>
          <w:highlight w:val="none"/>
        </w:rPr>
        <w:t>。</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D5FF70C">
      <w:pPr>
        <w:spacing w:line="360" w:lineRule="auto"/>
        <w:ind w:firstLine="420" w:firstLineChars="200"/>
        <w:jc w:val="left"/>
        <w:rPr>
          <w:color w:val="auto"/>
          <w:highlight w:val="none"/>
        </w:rPr>
      </w:pPr>
      <w:r>
        <w:rPr>
          <w:color w:val="auto"/>
          <w:highlight w:val="none"/>
        </w:rPr>
        <w:t>3</w:t>
      </w:r>
      <w:bookmarkStart w:id="1244" w:name="_Toc312677990"/>
      <w:bookmarkStart w:id="1245" w:name="_Toc318581159"/>
      <w:r>
        <w:rPr>
          <w:color w:val="auto"/>
          <w:highlight w:val="none"/>
        </w:rPr>
        <w:t xml:space="preserve">.5.2 </w:t>
      </w:r>
      <w:r>
        <w:rPr>
          <w:rFonts w:hint="eastAsia" w:hAnsi="宋体" w:cs="宋体"/>
          <w:color w:val="auto"/>
          <w:highlight w:val="none"/>
        </w:rPr>
        <w:t>分包的确定</w:t>
      </w:r>
    </w:p>
    <w:p w14:paraId="2A745B53">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hAnsi="宋体" w:cs="宋体"/>
          <w:color w:val="auto"/>
          <w:highlight w:val="none"/>
        </w:rPr>
        <w:t>。</w:t>
      </w:r>
    </w:p>
    <w:p w14:paraId="5BE62426">
      <w:pPr>
        <w:spacing w:line="360" w:lineRule="auto"/>
        <w:ind w:firstLine="420" w:firstLineChars="200"/>
        <w:rPr>
          <w:color w:val="auto"/>
          <w:highlight w:val="none"/>
        </w:rPr>
      </w:pPr>
      <w:r>
        <w:rPr>
          <w:rFonts w:hint="eastAsia" w:hAnsi="宋体" w:cs="宋体"/>
          <w:color w:val="auto"/>
          <w:highlight w:val="none"/>
        </w:rPr>
        <w:t>其他关于分包的约定：</w:t>
      </w:r>
    </w:p>
    <w:p w14:paraId="6F09AF7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3E400C28">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6803D3B9">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619999FE">
      <w:pPr>
        <w:pStyle w:val="21"/>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4CF5E347">
      <w:pPr>
        <w:pStyle w:val="21"/>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0BDD89BA">
      <w:pPr>
        <w:pStyle w:val="21"/>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141C8AB7">
      <w:pPr>
        <w:pStyle w:val="21"/>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5C3FF350">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3845E33F">
      <w:pPr>
        <w:spacing w:line="360" w:lineRule="auto"/>
        <w:ind w:firstLine="420" w:firstLineChars="200"/>
        <w:rPr>
          <w:color w:val="auto"/>
          <w:highlight w:val="none"/>
        </w:rPr>
      </w:pPr>
      <w:r>
        <w:rPr>
          <w:color w:val="auto"/>
          <w:highlight w:val="none"/>
        </w:rPr>
        <w:t xml:space="preserve">3.5.4 </w:t>
      </w:r>
      <w:r>
        <w:rPr>
          <w:rFonts w:hint="eastAsia" w:hAnsi="宋体" w:cs="宋体"/>
          <w:color w:val="auto"/>
          <w:highlight w:val="none"/>
        </w:rPr>
        <w:t>分包合同价款</w:t>
      </w:r>
    </w:p>
    <w:bookmarkEnd w:id="1244"/>
    <w:bookmarkEnd w:id="1245"/>
    <w:p w14:paraId="32045CB7">
      <w:pPr>
        <w:spacing w:line="360" w:lineRule="auto"/>
        <w:ind w:firstLine="420" w:firstLineChars="200"/>
        <w:rPr>
          <w:color w:val="auto"/>
          <w:highlight w:val="none"/>
        </w:rPr>
      </w:pPr>
      <w:bookmarkStart w:id="1246" w:name="_Toc389065277"/>
      <w:bookmarkStart w:id="1247" w:name="_Toc373227711"/>
      <w:bookmarkStart w:id="1248" w:name="_Toc373478358"/>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w:t>
      </w:r>
      <w:r>
        <w:rPr>
          <w:rFonts w:hint="eastAsia" w:hAnsi="宋体" w:cs="宋体"/>
          <w:color w:val="auto"/>
          <w:highlight w:val="none"/>
          <w:u w:val="single"/>
          <w:lang w:val="en-US" w:eastAsia="zh-CN"/>
        </w:rPr>
        <w:t xml:space="preserve"> </w:t>
      </w:r>
      <w:r>
        <w:rPr>
          <w:rFonts w:hint="eastAsia" w:hAnsi="宋体" w:cs="宋体"/>
          <w:color w:val="auto"/>
          <w:highlight w:val="none"/>
          <w:u w:val="single"/>
        </w:rPr>
        <w:t>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1CCF5E5F">
      <w:pPr>
        <w:pStyle w:val="4"/>
        <w:rPr>
          <w:color w:val="auto"/>
          <w:highlight w:val="none"/>
        </w:rPr>
      </w:pPr>
      <w:bookmarkStart w:id="1249" w:name="_Toc11266"/>
      <w:bookmarkStart w:id="1250" w:name="_Toc57329529"/>
      <w:bookmarkStart w:id="1251" w:name="_Toc18329"/>
      <w:bookmarkStart w:id="1252" w:name="_Toc407135213"/>
      <w:bookmarkStart w:id="1253" w:name="_Toc78449799"/>
      <w:r>
        <w:rPr>
          <w:color w:val="auto"/>
          <w:highlight w:val="none"/>
        </w:rPr>
        <w:t xml:space="preserve">3.6 </w:t>
      </w:r>
      <w:r>
        <w:rPr>
          <w:rFonts w:hint="eastAsia" w:cs="黑体"/>
          <w:color w:val="auto"/>
          <w:highlight w:val="none"/>
        </w:rPr>
        <w:t>工程照管与成品、半成品保护</w:t>
      </w:r>
      <w:bookmarkEnd w:id="1246"/>
      <w:bookmarkEnd w:id="1247"/>
      <w:bookmarkEnd w:id="1248"/>
      <w:bookmarkEnd w:id="1249"/>
      <w:bookmarkEnd w:id="1250"/>
      <w:bookmarkEnd w:id="1251"/>
      <w:bookmarkEnd w:id="1252"/>
      <w:bookmarkEnd w:id="1253"/>
    </w:p>
    <w:p w14:paraId="0CF22D3F">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hAnsi="宋体" w:cs="宋体"/>
          <w:color w:val="auto"/>
          <w:kern w:val="0"/>
          <w:highlight w:val="none"/>
        </w:rPr>
        <w:t>。</w:t>
      </w:r>
    </w:p>
    <w:p w14:paraId="77DE97D3">
      <w:pPr>
        <w:pStyle w:val="4"/>
        <w:rPr>
          <w:color w:val="auto"/>
          <w:highlight w:val="none"/>
        </w:rPr>
      </w:pPr>
      <w:bookmarkStart w:id="1254" w:name="_Toc373227712"/>
      <w:bookmarkStart w:id="1255" w:name="_Toc373478359"/>
      <w:bookmarkStart w:id="1256" w:name="_Toc389065278"/>
      <w:bookmarkStart w:id="1257" w:name="_Toc1042049436"/>
      <w:bookmarkStart w:id="1258" w:name="_Toc32164"/>
      <w:bookmarkStart w:id="1259" w:name="_Toc15964"/>
      <w:bookmarkStart w:id="1260" w:name="_Toc78449800"/>
      <w:bookmarkStart w:id="1261" w:name="_Toc407135214"/>
      <w:r>
        <w:rPr>
          <w:color w:val="auto"/>
          <w:highlight w:val="none"/>
        </w:rPr>
        <w:t xml:space="preserve">3.7 </w:t>
      </w:r>
      <w:r>
        <w:rPr>
          <w:rFonts w:hint="eastAsia" w:hAnsi="宋体" w:cs="黑体"/>
          <w:color w:val="auto"/>
          <w:highlight w:val="none"/>
        </w:rPr>
        <w:t>履约</w:t>
      </w:r>
      <w:bookmarkEnd w:id="1254"/>
      <w:bookmarkEnd w:id="1255"/>
      <w:bookmarkEnd w:id="1256"/>
      <w:r>
        <w:rPr>
          <w:rFonts w:hint="eastAsia" w:hAnsi="宋体" w:cs="黑体"/>
          <w:color w:val="auto"/>
          <w:highlight w:val="none"/>
        </w:rPr>
        <w:t>保证金</w:t>
      </w:r>
      <w:bookmarkEnd w:id="1257"/>
      <w:bookmarkEnd w:id="1258"/>
      <w:bookmarkEnd w:id="1259"/>
      <w:bookmarkEnd w:id="1260"/>
      <w:bookmarkEnd w:id="1261"/>
    </w:p>
    <w:p w14:paraId="685BFCC5">
      <w:pPr>
        <w:spacing w:line="360" w:lineRule="auto"/>
        <w:ind w:firstLine="420" w:firstLineChars="200"/>
        <w:jc w:val="left"/>
        <w:rPr>
          <w:rFonts w:hint="eastAsia" w:hAnsi="宋体" w:cs="宋体"/>
          <w:color w:val="auto"/>
          <w:highlight w:val="none"/>
          <w:u w:val="single"/>
        </w:rPr>
      </w:pPr>
      <w:bookmarkStart w:id="1262" w:name="_Toc373227713"/>
      <w:bookmarkStart w:id="1263" w:name="_Toc373478360"/>
      <w:bookmarkStart w:id="1264" w:name="_Toc351203636"/>
      <w:bookmarkStart w:id="1265" w:name="_Toc389065279"/>
      <w:r>
        <w:rPr>
          <w:rFonts w:hint="eastAsia" w:hAnsi="宋体" w:cs="宋体"/>
          <w:color w:val="auto"/>
          <w:highlight w:val="none"/>
        </w:rPr>
        <w:t>承包人提供履约担保的形式、金额及期限的：</w:t>
      </w:r>
      <w:r>
        <w:rPr>
          <w:rFonts w:hint="eastAsia" w:hAnsi="宋体" w:cs="宋体"/>
          <w:color w:val="auto"/>
          <w:highlight w:val="none"/>
          <w:u w:val="single"/>
        </w:rPr>
        <w:t>承包人在收到中标通知书后，须在</w:t>
      </w:r>
      <w:r>
        <w:rPr>
          <w:color w:val="auto"/>
          <w:highlight w:val="none"/>
          <w:u w:val="single"/>
        </w:rPr>
        <w:t xml:space="preserve">    </w:t>
      </w:r>
      <w:r>
        <w:rPr>
          <w:rFonts w:hint="eastAsia" w:hAnsi="宋体" w:cs="宋体"/>
          <w:color w:val="auto"/>
          <w:highlight w:val="none"/>
          <w:u w:val="single"/>
        </w:rPr>
        <w:t>日内向发包人提交合同价款扣除暂列金额、专业工程暂估价</w:t>
      </w:r>
      <w:r>
        <w:rPr>
          <w:rFonts w:hint="eastAsia" w:hAnsi="宋体" w:cs="宋体"/>
          <w:color w:val="auto"/>
          <w:highlight w:val="none"/>
          <w:u w:val="single"/>
          <w:lang w:val="en-US" w:eastAsia="zh-CN"/>
        </w:rPr>
        <w:t>后</w:t>
      </w:r>
      <w:r>
        <w:rPr>
          <w:rFonts w:hint="eastAsia" w:hAnsi="宋体" w:cs="宋体"/>
          <w:color w:val="auto"/>
          <w:highlight w:val="none"/>
          <w:u w:val="single"/>
        </w:rPr>
        <w:t>的</w:t>
      </w:r>
      <w:r>
        <w:rPr>
          <w:color w:val="auto"/>
          <w:highlight w:val="none"/>
          <w:u w:val="single"/>
        </w:rPr>
        <w:t xml:space="preserve">   %</w:t>
      </w:r>
      <w:r>
        <w:rPr>
          <w:rFonts w:hint="eastAsia" w:hAnsi="宋体" w:cs="宋体"/>
          <w:color w:val="auto"/>
          <w:highlight w:val="none"/>
          <w:u w:val="single"/>
        </w:rPr>
        <w:t>的履约担保（格式见合同附件</w:t>
      </w:r>
      <w:r>
        <w:rPr>
          <w:rFonts w:hint="eastAsia" w:hAnsi="宋体"/>
          <w:color w:val="auto"/>
          <w:highlight w:val="none"/>
          <w:u w:val="single"/>
        </w:rPr>
        <w:t>7</w:t>
      </w:r>
      <w:r>
        <w:rPr>
          <w:rFonts w:hint="eastAsia" w:hAnsi="宋体" w:cs="宋体"/>
          <w:color w:val="auto"/>
          <w:highlight w:val="none"/>
          <w:u w:val="single"/>
        </w:rPr>
        <w:t>）。履约担保的有效期应当自本合同生效之日起至发包人签认并由监理人向承包人出具</w:t>
      </w:r>
      <w:r>
        <w:rPr>
          <w:color w:val="auto"/>
          <w:highlight w:val="none"/>
          <w:u w:val="single"/>
        </w:rPr>
        <w:t xml:space="preserve">        </w:t>
      </w:r>
      <w:r>
        <w:rPr>
          <w:rFonts w:hint="eastAsia" w:hAnsi="宋体" w:cs="宋体"/>
          <w:color w:val="auto"/>
          <w:highlight w:val="none"/>
          <w:u w:val="single"/>
        </w:rPr>
        <w:t>（竣工证明材料名称）之日止。如果承包人无法获得一份不带具体截止日期的担保，履约担保中应当有</w:t>
      </w:r>
      <w:r>
        <w:rPr>
          <w:color w:val="auto"/>
          <w:highlight w:val="none"/>
          <w:u w:val="single"/>
        </w:rPr>
        <w:t>“</w:t>
      </w:r>
      <w:r>
        <w:rPr>
          <w:rFonts w:hint="eastAsia" w:hAnsi="宋体" w:cs="宋体"/>
          <w:color w:val="auto"/>
          <w:highlight w:val="none"/>
          <w:u w:val="single"/>
        </w:rPr>
        <w:t>变更工程竣工日期的，保证期间按照变更后的竣工日期做相应调整</w:t>
      </w:r>
      <w:r>
        <w:rPr>
          <w:color w:val="auto"/>
          <w:highlight w:val="none"/>
          <w:u w:val="single"/>
        </w:rPr>
        <w:t>”</w:t>
      </w:r>
      <w:r>
        <w:rPr>
          <w:rFonts w:hint="eastAsia" w:hAnsi="宋体" w:cs="宋体"/>
          <w:color w:val="auto"/>
          <w:highlight w:val="none"/>
          <w:u w:val="single"/>
        </w:rPr>
        <w:t>或类似约定的条款。</w:t>
      </w:r>
    </w:p>
    <w:p w14:paraId="1186D7DB">
      <w:pPr>
        <w:spacing w:line="360" w:lineRule="auto"/>
        <w:ind w:firstLine="420" w:firstLineChars="200"/>
        <w:jc w:val="left"/>
        <w:rPr>
          <w:rFonts w:hint="eastAsia" w:hAnsi="宋体" w:eastAsia="宋体" w:cs="宋体"/>
          <w:color w:val="auto"/>
          <w:highlight w:val="none"/>
          <w:u w:val="single"/>
          <w:lang w:eastAsia="zh-CN"/>
        </w:rPr>
      </w:pP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ascii="Calibri" w:hAnsi="Calibri" w:eastAsia="宋体" w:cs="宋体"/>
          <w:color w:val="auto"/>
          <w:highlight w:val="none"/>
        </w:rPr>
        <w:t>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工程担保保证人应将出具的保函相关信息录入“广西建筑市场监管云”平台（</w:t>
      </w:r>
      <w:r>
        <w:rPr>
          <w:rFonts w:hint="eastAsia" w:hAnsi="宋体" w:cs="宋体"/>
          <w:color w:val="auto"/>
          <w:highlight w:val="none"/>
          <w:u w:val="single"/>
          <w:lang w:eastAsia="zh-CN"/>
        </w:rPr>
        <w:t>https://gxjzsc.gxcic.net）</w:t>
      </w:r>
      <w:r>
        <w:rPr>
          <w:rFonts w:hint="eastAsia" w:hAnsi="宋体" w:cs="宋体"/>
          <w:color w:val="auto"/>
          <w:highlight w:val="none"/>
          <w:u w:val="single"/>
        </w:rPr>
        <w:t>，以实现保函查询及验真功能</w:t>
      </w:r>
      <w:r>
        <w:rPr>
          <w:rFonts w:hint="eastAsia" w:hAnsi="宋体" w:cs="宋体"/>
          <w:color w:val="auto"/>
          <w:highlight w:val="none"/>
          <w:u w:val="single"/>
          <w:lang w:eastAsia="zh-CN"/>
        </w:rPr>
        <w:t>。</w:t>
      </w:r>
    </w:p>
    <w:p w14:paraId="5B16C9BC">
      <w:pPr>
        <w:spacing w:line="360" w:lineRule="auto"/>
        <w:ind w:firstLine="420" w:firstLineChars="200"/>
        <w:rPr>
          <w:color w:val="auto"/>
          <w:highlight w:val="none"/>
          <w:u w:val="single"/>
        </w:rPr>
      </w:pPr>
      <w:r>
        <w:rPr>
          <w:rFonts w:hint="eastAsia" w:hAnsi="宋体" w:cs="宋体"/>
          <w:color w:val="auto"/>
          <w:highlight w:val="none"/>
          <w:u w:val="single"/>
        </w:rPr>
        <w:t>工程竣工验收合格并对验收发现的问题完成整改后的</w:t>
      </w:r>
      <w:r>
        <w:rPr>
          <w:color w:val="auto"/>
          <w:highlight w:val="none"/>
          <w:u w:val="single"/>
        </w:rPr>
        <w:t>7</w:t>
      </w:r>
      <w:r>
        <w:rPr>
          <w:rFonts w:hint="eastAsia" w:hAnsi="宋体" w:cs="宋体"/>
          <w:color w:val="auto"/>
          <w:highlight w:val="none"/>
          <w:u w:val="single"/>
        </w:rPr>
        <w:t>个日历天内，发包人支付履约保证金的</w:t>
      </w:r>
      <w:r>
        <w:rPr>
          <w:color w:val="auto"/>
          <w:highlight w:val="none"/>
          <w:u w:val="single"/>
        </w:rPr>
        <w:t>50%</w:t>
      </w:r>
      <w:r>
        <w:rPr>
          <w:rFonts w:hint="eastAsia" w:hAnsi="宋体" w:cs="宋体"/>
          <w:color w:val="auto"/>
          <w:highlight w:val="none"/>
          <w:u w:val="single"/>
        </w:rPr>
        <w:t>；承包人向发包人完成（施工）竣工资料移交手续后，可向发包人申请退还剩余履约保证金，发包人应在收到申请之日起</w:t>
      </w:r>
      <w:r>
        <w:rPr>
          <w:color w:val="auto"/>
          <w:highlight w:val="none"/>
          <w:u w:val="single"/>
        </w:rPr>
        <w:t>28</w:t>
      </w:r>
      <w:r>
        <w:rPr>
          <w:rFonts w:hint="eastAsia" w:hAnsi="宋体" w:cs="宋体"/>
          <w:color w:val="auto"/>
          <w:highlight w:val="none"/>
          <w:u w:val="single"/>
        </w:rPr>
        <w:t>个日历天内扣减承包人赔偿金和其他应从承包人扣回的款项后，将履约保证金的余额退还给承包人。</w:t>
      </w:r>
    </w:p>
    <w:p w14:paraId="3A8E5444">
      <w:pPr>
        <w:pStyle w:val="3"/>
        <w:rPr>
          <w:color w:val="auto"/>
          <w:highlight w:val="none"/>
        </w:rPr>
      </w:pPr>
      <w:bookmarkStart w:id="1266" w:name="_Toc907912356"/>
      <w:bookmarkStart w:id="1267" w:name="_Toc407135215"/>
      <w:bookmarkStart w:id="1268" w:name="_Toc17369"/>
      <w:bookmarkStart w:id="1269" w:name="_Toc78449801"/>
      <w:r>
        <w:rPr>
          <w:color w:val="auto"/>
          <w:highlight w:val="none"/>
        </w:rPr>
        <w:t>4</w:t>
      </w:r>
      <w:bookmarkStart w:id="1270" w:name="_Toc296944501"/>
      <w:bookmarkStart w:id="1271" w:name="_Toc296503162"/>
      <w:bookmarkStart w:id="1272" w:name="_Toc292559871"/>
      <w:bookmarkStart w:id="1273" w:name="_Toc292559366"/>
      <w:bookmarkStart w:id="1274" w:name="_Toc267251413"/>
      <w:bookmarkStart w:id="1275" w:name="_Toc296346663"/>
      <w:bookmarkStart w:id="1276" w:name="_Toc297120462"/>
      <w:bookmarkStart w:id="1277" w:name="_Toc297048348"/>
      <w:bookmarkStart w:id="1278" w:name="_Toc296891202"/>
      <w:bookmarkStart w:id="1279" w:name="_Toc296890990"/>
      <w:bookmarkStart w:id="1280" w:name="_Toc296347161"/>
      <w:r>
        <w:rPr>
          <w:color w:val="auto"/>
          <w:highlight w:val="none"/>
        </w:rPr>
        <w:t xml:space="preserve">. </w:t>
      </w:r>
      <w:r>
        <w:rPr>
          <w:rFonts w:hint="eastAsia" w:hAnsi="宋体" w:cs="黑体"/>
          <w:color w:val="auto"/>
          <w:highlight w:val="none"/>
        </w:rPr>
        <w:t>监</w:t>
      </w:r>
      <w:bookmarkEnd w:id="1270"/>
      <w:bookmarkEnd w:id="1271"/>
      <w:bookmarkEnd w:id="1272"/>
      <w:bookmarkEnd w:id="1273"/>
      <w:bookmarkEnd w:id="1274"/>
      <w:bookmarkEnd w:id="1275"/>
      <w:bookmarkEnd w:id="1276"/>
      <w:bookmarkEnd w:id="1277"/>
      <w:bookmarkEnd w:id="1278"/>
      <w:bookmarkEnd w:id="1279"/>
      <w:bookmarkEnd w:id="1280"/>
      <w:r>
        <w:rPr>
          <w:rFonts w:hint="eastAsia" w:hAnsi="宋体" w:cs="黑体"/>
          <w:color w:val="auto"/>
          <w:highlight w:val="none"/>
        </w:rPr>
        <w:t>理人</w:t>
      </w:r>
      <w:bookmarkEnd w:id="1262"/>
      <w:bookmarkEnd w:id="1263"/>
      <w:bookmarkEnd w:id="1264"/>
      <w:bookmarkEnd w:id="1265"/>
      <w:bookmarkEnd w:id="1266"/>
      <w:bookmarkEnd w:id="1267"/>
      <w:bookmarkEnd w:id="1268"/>
      <w:bookmarkEnd w:id="1269"/>
    </w:p>
    <w:p w14:paraId="72BDE3A0">
      <w:pPr>
        <w:pStyle w:val="4"/>
        <w:rPr>
          <w:color w:val="auto"/>
          <w:highlight w:val="none"/>
        </w:rPr>
      </w:pPr>
      <w:bookmarkStart w:id="1281" w:name="_Toc1595043148"/>
      <w:bookmarkStart w:id="1282" w:name="_Toc2993"/>
      <w:bookmarkStart w:id="1283" w:name="_Toc78449802"/>
      <w:bookmarkStart w:id="1284" w:name="_Toc373478361"/>
      <w:bookmarkStart w:id="1285" w:name="_Toc407135216"/>
      <w:bookmarkStart w:id="1286" w:name="_Toc21437"/>
      <w:bookmarkStart w:id="1287" w:name="_Toc389065280"/>
      <w:bookmarkStart w:id="1288" w:name="_Toc373227714"/>
      <w:r>
        <w:rPr>
          <w:color w:val="auto"/>
          <w:highlight w:val="none"/>
        </w:rPr>
        <w:t xml:space="preserve">4.1 </w:t>
      </w:r>
      <w:r>
        <w:rPr>
          <w:rFonts w:hint="eastAsia" w:cs="黑体"/>
          <w:color w:val="auto"/>
          <w:highlight w:val="none"/>
        </w:rPr>
        <w:t>监理人的一般规定</w:t>
      </w:r>
      <w:bookmarkEnd w:id="1281"/>
      <w:bookmarkEnd w:id="1282"/>
      <w:bookmarkEnd w:id="1283"/>
      <w:bookmarkEnd w:id="1284"/>
      <w:bookmarkEnd w:id="1285"/>
      <w:bookmarkEnd w:id="1286"/>
      <w:bookmarkEnd w:id="1287"/>
      <w:bookmarkEnd w:id="1288"/>
    </w:p>
    <w:p w14:paraId="0DEE05E7">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hAnsi="宋体" w:cs="宋体"/>
          <w:color w:val="auto"/>
          <w:highlight w:val="none"/>
        </w:rPr>
        <w:t>。</w:t>
      </w:r>
    </w:p>
    <w:p w14:paraId="0F6BA49A">
      <w:pPr>
        <w:spacing w:line="360" w:lineRule="auto"/>
        <w:ind w:firstLine="420" w:firstLineChars="200"/>
        <w:jc w:val="left"/>
        <w:rPr>
          <w:color w:val="auto"/>
          <w:highlight w:val="none"/>
        </w:rPr>
      </w:pPr>
      <w:r>
        <w:rPr>
          <w:rFonts w:hint="eastAsia" w:hAnsi="宋体" w:cs="宋体"/>
          <w:color w:val="auto"/>
          <w:highlight w:val="none"/>
        </w:rPr>
        <w:t>关于监理人的监理权限：</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30B8210E">
      <w:pPr>
        <w:spacing w:line="360" w:lineRule="auto"/>
        <w:ind w:firstLine="420" w:firstLineChars="200"/>
        <w:rPr>
          <w:color w:val="auto"/>
          <w:highlight w:val="none"/>
          <w:u w:val="singl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p>
    <w:p w14:paraId="102979BE">
      <w:pPr>
        <w:spacing w:line="360" w:lineRule="auto"/>
        <w:rPr>
          <w:color w:val="auto"/>
          <w:highlight w:val="none"/>
        </w:rPr>
      </w:pPr>
      <w:r>
        <w:rPr>
          <w:color w:val="auto"/>
          <w:highlight w:val="none"/>
          <w:u w:val="single"/>
        </w:rPr>
        <w:t xml:space="preserve">                                                                                </w:t>
      </w:r>
      <w:r>
        <w:rPr>
          <w:rFonts w:hint="eastAsia" w:hAnsi="宋体" w:cs="宋体"/>
          <w:color w:val="auto"/>
          <w:highlight w:val="none"/>
        </w:rPr>
        <w:t>。</w:t>
      </w:r>
    </w:p>
    <w:p w14:paraId="71EA54FF">
      <w:pPr>
        <w:pStyle w:val="4"/>
        <w:rPr>
          <w:color w:val="auto"/>
          <w:highlight w:val="none"/>
        </w:rPr>
      </w:pPr>
      <w:bookmarkStart w:id="1289" w:name="_Toc386397261"/>
      <w:bookmarkStart w:id="1290" w:name="_Toc389065281"/>
      <w:bookmarkStart w:id="1291" w:name="_Toc16747"/>
      <w:bookmarkStart w:id="1292" w:name="_Toc407135217"/>
      <w:bookmarkStart w:id="1293" w:name="_Toc78449803"/>
      <w:bookmarkStart w:id="1294" w:name="_Toc9467"/>
      <w:bookmarkStart w:id="1295" w:name="_Toc373478362"/>
      <w:bookmarkStart w:id="1296" w:name="_Toc373227715"/>
      <w:r>
        <w:rPr>
          <w:color w:val="auto"/>
          <w:highlight w:val="none"/>
        </w:rPr>
        <w:t xml:space="preserve">4.2 </w:t>
      </w:r>
      <w:r>
        <w:rPr>
          <w:rFonts w:hint="eastAsia" w:hAnsi="宋体" w:cs="黑体"/>
          <w:color w:val="auto"/>
          <w:highlight w:val="none"/>
        </w:rPr>
        <w:t>监理人员</w:t>
      </w:r>
      <w:bookmarkEnd w:id="1289"/>
      <w:bookmarkEnd w:id="1290"/>
      <w:bookmarkEnd w:id="1291"/>
      <w:bookmarkEnd w:id="1292"/>
      <w:bookmarkEnd w:id="1293"/>
      <w:bookmarkEnd w:id="1294"/>
      <w:bookmarkEnd w:id="1295"/>
      <w:bookmarkEnd w:id="1296"/>
    </w:p>
    <w:p w14:paraId="0809B24C">
      <w:pPr>
        <w:spacing w:line="360" w:lineRule="auto"/>
        <w:ind w:firstLine="420" w:firstLineChars="200"/>
        <w:rPr>
          <w:color w:val="auto"/>
          <w:highlight w:val="none"/>
        </w:rPr>
      </w:pPr>
      <w:r>
        <w:rPr>
          <w:rFonts w:hint="eastAsia" w:hAnsi="宋体" w:cs="宋体"/>
          <w:color w:val="auto"/>
          <w:highlight w:val="none"/>
        </w:rPr>
        <w:t>总监理工程师：</w:t>
      </w:r>
    </w:p>
    <w:p w14:paraId="74B073F4">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3B99449">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3D23255">
      <w:pPr>
        <w:spacing w:line="360" w:lineRule="auto"/>
        <w:ind w:firstLine="420" w:firstLineChars="200"/>
        <w:rPr>
          <w:rFonts w:hAnsi="宋体"/>
          <w:color w:val="auto"/>
          <w:highlight w:val="none"/>
        </w:rPr>
      </w:pPr>
      <w:r>
        <w:rPr>
          <w:rFonts w:hAnsi="宋体"/>
          <w:color w:val="auto"/>
          <w:highlight w:val="none"/>
        </w:rPr>
        <w:t>监理工程师注册证书号：</w:t>
      </w:r>
      <w:r>
        <w:rPr>
          <w:rFonts w:hAnsi="宋体"/>
          <w:color w:val="auto"/>
          <w:highlight w:val="none"/>
          <w:u w:val="single"/>
        </w:rPr>
        <w:t></w:t>
      </w:r>
      <w:r>
        <w:rPr>
          <w:rFonts w:hint="eastAsia" w:hAnsi="宋体"/>
          <w:color w:val="auto"/>
          <w:highlight w:val="none"/>
          <w:u w:val="single"/>
        </w:rPr>
        <w:t xml:space="preserve">         </w:t>
      </w:r>
      <w:r>
        <w:rPr>
          <w:rFonts w:hAnsi="宋体"/>
          <w:color w:val="auto"/>
          <w:highlight w:val="none"/>
          <w:u w:val="single"/>
        </w:rPr>
        <w:t></w:t>
      </w:r>
      <w:r>
        <w:rPr>
          <w:rFonts w:hAnsi="宋体"/>
          <w:color w:val="auto"/>
          <w:highlight w:val="none"/>
        </w:rPr>
        <w:t>；</w:t>
      </w:r>
    </w:p>
    <w:p w14:paraId="1C77228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01F12EE">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FDC147C">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E207D3A">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0AFCC09">
      <w:pPr>
        <w:pStyle w:val="4"/>
        <w:rPr>
          <w:color w:val="auto"/>
          <w:highlight w:val="none"/>
        </w:rPr>
      </w:pPr>
      <w:bookmarkStart w:id="1297" w:name="_Toc373227716"/>
      <w:bookmarkStart w:id="1298" w:name="_Toc30189"/>
      <w:bookmarkStart w:id="1299" w:name="_Toc539923186"/>
      <w:bookmarkStart w:id="1300" w:name="_Toc29998"/>
      <w:bookmarkStart w:id="1301" w:name="_Toc389065282"/>
      <w:bookmarkStart w:id="1302" w:name="_Toc407135218"/>
      <w:bookmarkStart w:id="1303" w:name="_Toc78449804"/>
      <w:bookmarkStart w:id="1304" w:name="_Toc373478363"/>
      <w:r>
        <w:rPr>
          <w:color w:val="auto"/>
          <w:highlight w:val="none"/>
        </w:rPr>
        <w:t xml:space="preserve">4.4 </w:t>
      </w:r>
      <w:r>
        <w:rPr>
          <w:rFonts w:hint="eastAsia" w:hAnsi="宋体" w:cs="黑体"/>
          <w:color w:val="auto"/>
          <w:highlight w:val="none"/>
        </w:rPr>
        <w:t>商定或确定</w:t>
      </w:r>
      <w:bookmarkEnd w:id="1297"/>
      <w:bookmarkEnd w:id="1298"/>
      <w:bookmarkEnd w:id="1299"/>
      <w:bookmarkEnd w:id="1300"/>
      <w:bookmarkEnd w:id="1301"/>
      <w:bookmarkEnd w:id="1302"/>
      <w:bookmarkEnd w:id="1303"/>
      <w:bookmarkEnd w:id="1304"/>
    </w:p>
    <w:p w14:paraId="65F6D346">
      <w:pPr>
        <w:spacing w:line="360" w:lineRule="auto"/>
        <w:ind w:firstLine="420" w:firstLineChars="200"/>
        <w:rPr>
          <w:color w:val="auto"/>
          <w:highlight w:val="none"/>
        </w:rPr>
      </w:pPr>
      <w:bookmarkStart w:id="1305" w:name="_Toc267251418"/>
      <w:r>
        <w:rPr>
          <w:rFonts w:hint="eastAsia" w:hAnsi="宋体" w:cs="宋体"/>
          <w:color w:val="auto"/>
          <w:highlight w:val="none"/>
        </w:rPr>
        <w:t>在发包人和承包人不能通过协商达成一致意见时，发包人授权监理人对以下事项进行确定：</w:t>
      </w:r>
    </w:p>
    <w:p w14:paraId="38E33FE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1</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2E40B676">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2</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08129E44">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3</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eastAsia="zh-CN"/>
        </w:rPr>
        <w:t>.</w:t>
      </w:r>
    </w:p>
    <w:p w14:paraId="4C134DAE">
      <w:pPr>
        <w:pStyle w:val="3"/>
        <w:rPr>
          <w:color w:val="auto"/>
          <w:highlight w:val="none"/>
        </w:rPr>
      </w:pPr>
      <w:bookmarkStart w:id="1306" w:name="_Toc78449805"/>
      <w:bookmarkStart w:id="1307" w:name="_Toc373227717"/>
      <w:bookmarkStart w:id="1308" w:name="_Toc389065283"/>
      <w:bookmarkStart w:id="1309" w:name="_Toc7948"/>
      <w:bookmarkStart w:id="1310" w:name="_Toc373478364"/>
      <w:bookmarkStart w:id="1311" w:name="_Toc1603077308"/>
      <w:bookmarkStart w:id="1312" w:name="_Toc351203637"/>
      <w:bookmarkStart w:id="1313" w:name="_Toc407135219"/>
      <w:r>
        <w:rPr>
          <w:color w:val="auto"/>
          <w:highlight w:val="none"/>
        </w:rPr>
        <w:t>5</w:t>
      </w:r>
      <w:bookmarkEnd w:id="1305"/>
      <w:bookmarkStart w:id="1314" w:name="_Toc292559367"/>
      <w:bookmarkStart w:id="1315" w:name="_Toc296503163"/>
      <w:bookmarkStart w:id="1316" w:name="_Toc296347162"/>
      <w:bookmarkStart w:id="1317" w:name="_Toc296890991"/>
      <w:bookmarkStart w:id="1318" w:name="_Toc292559872"/>
      <w:bookmarkStart w:id="1319" w:name="_Toc296891203"/>
      <w:bookmarkStart w:id="1320" w:name="_Toc297120463"/>
      <w:bookmarkStart w:id="1321" w:name="_Toc296944502"/>
      <w:bookmarkStart w:id="1322" w:name="_Toc296346664"/>
      <w:bookmarkStart w:id="1323" w:name="_Toc297048349"/>
      <w:r>
        <w:rPr>
          <w:color w:val="auto"/>
          <w:highlight w:val="none"/>
        </w:rPr>
        <w:t xml:space="preserve">. </w:t>
      </w:r>
      <w:r>
        <w:rPr>
          <w:rFonts w:hint="eastAsia" w:hAnsi="宋体" w:cs="黑体"/>
          <w:color w:val="auto"/>
          <w:highlight w:val="none"/>
        </w:rPr>
        <w:t>工程质量</w:t>
      </w:r>
      <w:bookmarkEnd w:id="1306"/>
      <w:bookmarkEnd w:id="1307"/>
      <w:bookmarkEnd w:id="1308"/>
      <w:bookmarkEnd w:id="1309"/>
      <w:bookmarkEnd w:id="1310"/>
      <w:bookmarkEnd w:id="1311"/>
      <w:bookmarkEnd w:id="1312"/>
      <w:bookmarkEnd w:id="1313"/>
    </w:p>
    <w:p w14:paraId="7A338E81">
      <w:pPr>
        <w:pStyle w:val="4"/>
        <w:rPr>
          <w:color w:val="auto"/>
          <w:highlight w:val="none"/>
        </w:rPr>
      </w:pPr>
      <w:bookmarkStart w:id="1324" w:name="_Toc407135220"/>
      <w:bookmarkStart w:id="1325" w:name="_Toc78449806"/>
      <w:bookmarkStart w:id="1326" w:name="_Toc373478365"/>
      <w:bookmarkStart w:id="1327" w:name="_Toc14510"/>
      <w:bookmarkStart w:id="1328" w:name="_Toc373227718"/>
      <w:bookmarkStart w:id="1329" w:name="_Toc389065284"/>
      <w:bookmarkStart w:id="1330" w:name="_Toc30160"/>
      <w:bookmarkStart w:id="1331" w:name="_Toc1835421345"/>
      <w:r>
        <w:rPr>
          <w:color w:val="auto"/>
          <w:highlight w:val="none"/>
        </w:rPr>
        <w:t xml:space="preserve">5.1 </w:t>
      </w:r>
      <w:r>
        <w:rPr>
          <w:rFonts w:hint="eastAsia" w:hAnsi="宋体" w:cs="黑体"/>
          <w:color w:val="auto"/>
          <w:highlight w:val="none"/>
        </w:rPr>
        <w:t>质量要求</w:t>
      </w:r>
      <w:bookmarkEnd w:id="1324"/>
      <w:bookmarkEnd w:id="1325"/>
      <w:bookmarkEnd w:id="1326"/>
      <w:bookmarkEnd w:id="1327"/>
      <w:bookmarkEnd w:id="1328"/>
      <w:bookmarkEnd w:id="1329"/>
      <w:bookmarkEnd w:id="1330"/>
      <w:bookmarkEnd w:id="1331"/>
    </w:p>
    <w:p w14:paraId="0220A0E0">
      <w:pPr>
        <w:spacing w:line="360" w:lineRule="auto"/>
        <w:ind w:firstLine="420" w:firstLineChars="200"/>
        <w:jc w:val="left"/>
        <w:rPr>
          <w:color w:val="auto"/>
          <w:highlight w:val="none"/>
          <w:u w:val="single"/>
        </w:rPr>
      </w:pPr>
      <w:r>
        <w:rPr>
          <w:color w:val="auto"/>
          <w:highlight w:val="none"/>
        </w:rPr>
        <w:t>5</w:t>
      </w:r>
      <w:bookmarkStart w:id="1332" w:name="_Toc304295527"/>
      <w:bookmarkStart w:id="1333" w:name="_Toc297123496"/>
      <w:bookmarkStart w:id="1334" w:name="_Toc300934949"/>
      <w:bookmarkStart w:id="1335" w:name="_Toc318581164"/>
      <w:bookmarkStart w:id="1336" w:name="_Toc297216155"/>
      <w:bookmarkStart w:id="1337" w:name="_Toc303539106"/>
      <w:bookmarkStart w:id="1338" w:name="_Toc312677997"/>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hAnsi="宋体" w:cs="宋体"/>
          <w:color w:val="auto"/>
          <w:highlight w:val="none"/>
        </w:rPr>
        <w:t>。</w:t>
      </w:r>
    </w:p>
    <w:p w14:paraId="597CE54B">
      <w:pPr>
        <w:spacing w:line="360" w:lineRule="auto"/>
        <w:ind w:firstLine="420" w:firstLineChars="200"/>
        <w:jc w:val="left"/>
        <w:rPr>
          <w:color w:val="auto"/>
          <w:highlight w:val="none"/>
        </w:rPr>
      </w:pPr>
      <w:r>
        <w:rPr>
          <w:rFonts w:hint="eastAsia" w:hAnsi="宋体" w:cs="宋体"/>
          <w:color w:val="auto"/>
          <w:highlight w:val="none"/>
        </w:rPr>
        <w:t>关于工程奖项的约定：</w:t>
      </w:r>
      <w:r>
        <w:rPr>
          <w:color w:val="auto"/>
          <w:highlight w:val="none"/>
        </w:rPr>
        <w:t xml:space="preserve"> </w:t>
      </w:r>
      <w:r>
        <w:rPr>
          <w:rFonts w:hint="eastAsia"/>
          <w:color w:val="auto"/>
          <w:highlight w:val="none"/>
        </w:rPr>
        <w:t>如果</w:t>
      </w:r>
      <w:r>
        <w:rPr>
          <w:color w:val="auto"/>
          <w:highlight w:val="none"/>
        </w:rPr>
        <w:t>工程获得</w:t>
      </w:r>
      <w:r>
        <w:rPr>
          <w:rFonts w:hint="eastAsia"/>
          <w:color w:val="auto"/>
          <w:highlight w:val="none"/>
          <w:u w:val="single"/>
        </w:rPr>
        <w:t xml:space="preserve">             （奖项名称）</w:t>
      </w:r>
      <w:r>
        <w:rPr>
          <w:rFonts w:hint="eastAsia"/>
          <w:color w:val="auto"/>
          <w:highlight w:val="none"/>
        </w:rPr>
        <w:t>，</w:t>
      </w:r>
      <w:r>
        <w:rPr>
          <w:color w:val="auto"/>
          <w:highlight w:val="none"/>
        </w:rPr>
        <w:t>给予</w:t>
      </w:r>
      <w:r>
        <w:rPr>
          <w:rFonts w:hint="eastAsia"/>
          <w:color w:val="auto"/>
          <w:highlight w:val="none"/>
        </w:rPr>
        <w:t>承包人</w:t>
      </w:r>
      <w:r>
        <w:rPr>
          <w:color w:val="auto"/>
          <w:highlight w:val="none"/>
        </w:rPr>
        <w:t>合同价</w:t>
      </w:r>
      <w:r>
        <w:rPr>
          <w:rFonts w:hint="eastAsia"/>
          <w:color w:val="auto"/>
          <w:highlight w:val="none"/>
          <w:u w:val="single"/>
        </w:rPr>
        <w:t xml:space="preserve">   </w:t>
      </w:r>
      <w:r>
        <w:rPr>
          <w:color w:val="auto"/>
          <w:highlight w:val="none"/>
        </w:rPr>
        <w:t>%的奖励</w:t>
      </w:r>
      <w:r>
        <w:rPr>
          <w:rFonts w:hint="eastAsia" w:hAnsi="宋体" w:cs="宋体"/>
          <w:color w:val="auto"/>
          <w:highlight w:val="none"/>
        </w:rPr>
        <w:t>。（建设单位创建优质工程的，鼓励按我区</w:t>
      </w:r>
      <w:r>
        <w:rPr>
          <w:rFonts w:hint="eastAsia" w:hAnsi="宋体" w:cs="宋体"/>
          <w:color w:val="auto"/>
          <w:highlight w:val="none"/>
          <w:lang w:eastAsia="zh-CN"/>
        </w:rPr>
        <w:t>建设工程计价规定在暂列金额表中计</w:t>
      </w:r>
      <w:r>
        <w:rPr>
          <w:rFonts w:hint="eastAsia" w:hAnsi="宋体" w:cs="宋体"/>
          <w:color w:val="auto"/>
          <w:highlight w:val="none"/>
        </w:rPr>
        <w:t>列工程优质费。）</w:t>
      </w:r>
    </w:p>
    <w:p w14:paraId="3ED4B762">
      <w:pPr>
        <w:spacing w:line="360" w:lineRule="auto"/>
        <w:ind w:firstLine="420" w:firstLineChars="200"/>
        <w:jc w:val="left"/>
        <w:rPr>
          <w:color w:val="auto"/>
          <w:highlight w:val="none"/>
        </w:rPr>
      </w:pPr>
    </w:p>
    <w:p w14:paraId="5C83A875">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6AC3BA70">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w:t>
      </w:r>
      <w:r>
        <w:rPr>
          <w:rFonts w:hint="eastAsia" w:hAnsi="宋体" w:cs="宋体"/>
          <w:color w:val="auto"/>
          <w:highlight w:val="none"/>
          <w:lang w:eastAsia="zh-CN"/>
        </w:rPr>
        <w:t>商定</w:t>
      </w:r>
      <w:r>
        <w:rPr>
          <w:rFonts w:hint="eastAsia" w:hAnsi="宋体" w:cs="宋体"/>
          <w:color w:val="auto"/>
          <w:highlight w:val="none"/>
        </w:rPr>
        <w:t>时限内修改后按上述</w:t>
      </w:r>
      <w:r>
        <w:rPr>
          <w:rFonts w:hint="eastAsia" w:hAnsi="宋体" w:cs="宋体"/>
          <w:color w:val="auto"/>
          <w:highlight w:val="none"/>
          <w:lang w:eastAsia="zh-CN"/>
        </w:rPr>
        <w:t>顺序</w:t>
      </w:r>
      <w:r>
        <w:rPr>
          <w:rFonts w:hint="eastAsia" w:hAnsi="宋体" w:cs="宋体"/>
          <w:color w:val="auto"/>
          <w:highlight w:val="none"/>
        </w:rPr>
        <w:t>重新验收。</w:t>
      </w:r>
    </w:p>
    <w:p w14:paraId="63B096E4">
      <w:pPr>
        <w:spacing w:line="360" w:lineRule="auto"/>
        <w:ind w:firstLine="420" w:firstLineChars="200"/>
        <w:jc w:val="left"/>
        <w:rPr>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hAnsi="宋体" w:cs="宋体"/>
          <w:color w:val="auto"/>
          <w:highlight w:val="none"/>
        </w:rPr>
        <w:t>小时提交书面延期要求。</w:t>
      </w:r>
    </w:p>
    <w:p w14:paraId="18B2A5B5">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hAnsi="宋体" w:cs="宋体"/>
          <w:color w:val="auto"/>
          <w:highlight w:val="none"/>
        </w:rPr>
        <w:t>小时。</w:t>
      </w:r>
    </w:p>
    <w:p w14:paraId="051C8430">
      <w:pPr>
        <w:pStyle w:val="3"/>
        <w:rPr>
          <w:color w:val="auto"/>
          <w:highlight w:val="none"/>
        </w:rPr>
      </w:pPr>
      <w:bookmarkStart w:id="1339" w:name="_Toc373227719"/>
      <w:bookmarkStart w:id="1340" w:name="_Toc407135221"/>
      <w:bookmarkStart w:id="1341" w:name="_Toc703841976"/>
      <w:bookmarkStart w:id="1342" w:name="_Toc78449807"/>
      <w:bookmarkStart w:id="1343" w:name="_Toc12794"/>
      <w:bookmarkStart w:id="1344" w:name="_Toc389065285"/>
      <w:bookmarkStart w:id="1345" w:name="_Toc373478366"/>
      <w:bookmarkStart w:id="1346" w:name="_Toc351203638"/>
      <w:r>
        <w:rPr>
          <w:color w:val="auto"/>
          <w:highlight w:val="none"/>
        </w:rPr>
        <w:t xml:space="preserve">6. </w:t>
      </w:r>
      <w:r>
        <w:rPr>
          <w:rFonts w:hint="eastAsia" w:cs="黑体"/>
          <w:color w:val="auto"/>
          <w:highlight w:val="none"/>
        </w:rPr>
        <w:t>安全文明施工与环境保护</w:t>
      </w:r>
      <w:bookmarkEnd w:id="1339"/>
      <w:bookmarkEnd w:id="1340"/>
      <w:bookmarkEnd w:id="1341"/>
      <w:bookmarkEnd w:id="1342"/>
      <w:bookmarkEnd w:id="1343"/>
      <w:bookmarkEnd w:id="1344"/>
      <w:bookmarkEnd w:id="1345"/>
      <w:bookmarkEnd w:id="1346"/>
    </w:p>
    <w:p w14:paraId="4F196221">
      <w:pPr>
        <w:pStyle w:val="4"/>
        <w:rPr>
          <w:color w:val="auto"/>
          <w:highlight w:val="none"/>
        </w:rPr>
      </w:pPr>
      <w:bookmarkStart w:id="1347" w:name="_Toc29946"/>
      <w:bookmarkStart w:id="1348" w:name="_Toc389065286"/>
      <w:bookmarkStart w:id="1349" w:name="_Toc373478367"/>
      <w:bookmarkStart w:id="1350" w:name="_Toc373227720"/>
      <w:bookmarkStart w:id="1351" w:name="_Toc78449808"/>
      <w:bookmarkStart w:id="1352" w:name="_Toc407135222"/>
      <w:bookmarkStart w:id="1353" w:name="_Toc180514231"/>
      <w:bookmarkStart w:id="1354" w:name="_Toc9202"/>
      <w:r>
        <w:rPr>
          <w:color w:val="auto"/>
          <w:highlight w:val="none"/>
        </w:rPr>
        <w:t xml:space="preserve">6.1 </w:t>
      </w:r>
      <w:r>
        <w:rPr>
          <w:rFonts w:hint="eastAsia" w:cs="黑体"/>
          <w:color w:val="auto"/>
          <w:highlight w:val="none"/>
        </w:rPr>
        <w:t>安全文明施工</w:t>
      </w:r>
      <w:bookmarkEnd w:id="1347"/>
      <w:bookmarkEnd w:id="1348"/>
      <w:bookmarkEnd w:id="1349"/>
      <w:bookmarkEnd w:id="1350"/>
      <w:bookmarkEnd w:id="1351"/>
      <w:bookmarkEnd w:id="1352"/>
      <w:bookmarkEnd w:id="1353"/>
      <w:bookmarkEnd w:id="1354"/>
    </w:p>
    <w:p w14:paraId="77159686">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hAnsi="宋体" w:cs="宋体"/>
          <w:color w:val="auto"/>
          <w:highlight w:val="none"/>
        </w:rPr>
        <w:t>。</w:t>
      </w:r>
    </w:p>
    <w:p w14:paraId="680B87A3">
      <w:pPr>
        <w:spacing w:line="360" w:lineRule="auto"/>
        <w:ind w:firstLine="420" w:firstLineChars="200"/>
        <w:jc w:val="left"/>
        <w:rPr>
          <w:color w:val="auto"/>
          <w:highlight w:val="none"/>
        </w:rPr>
      </w:pPr>
      <w:r>
        <w:rPr>
          <w:rFonts w:hint="eastAsia" w:hAnsi="宋体" w:cs="宋体"/>
          <w:color w:val="auto"/>
          <w:highlight w:val="none"/>
        </w:rPr>
        <w:t>关于安全文明施工奖项的约定：</w:t>
      </w:r>
      <w:r>
        <w:rPr>
          <w:color w:val="auto"/>
          <w:highlight w:val="none"/>
          <w:u w:val="single"/>
        </w:rPr>
        <w:t xml:space="preserve">                                 </w:t>
      </w:r>
      <w:r>
        <w:rPr>
          <w:rFonts w:hint="eastAsia" w:hAnsi="宋体" w:cs="宋体"/>
          <w:color w:val="auto"/>
          <w:highlight w:val="none"/>
        </w:rPr>
        <w:t>。</w:t>
      </w:r>
    </w:p>
    <w:p w14:paraId="5E9C3935">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2813850B">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hAnsi="宋体" w:cs="宋体"/>
          <w:color w:val="auto"/>
          <w:highlight w:val="none"/>
        </w:rPr>
        <w:t>。</w:t>
      </w:r>
    </w:p>
    <w:p w14:paraId="569DC3BF">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26204351">
      <w:pPr>
        <w:spacing w:line="360" w:lineRule="auto"/>
        <w:ind w:firstLine="420" w:firstLineChars="200"/>
        <w:jc w:val="left"/>
        <w:rPr>
          <w:b/>
          <w:bCs/>
          <w:color w:val="auto"/>
          <w:highlight w:val="none"/>
          <w:u w:val="single"/>
        </w:rPr>
      </w:pPr>
      <w:r>
        <w:rPr>
          <w:rFonts w:hint="eastAsia" w:hAnsi="宋体" w:cs="宋体"/>
          <w:color w:val="auto"/>
          <w:highlight w:val="none"/>
        </w:rPr>
        <w:t>合同当事人对文明施工的要求：</w:t>
      </w:r>
      <w:r>
        <w:rPr>
          <w:color w:val="auto"/>
          <w:highlight w:val="none"/>
          <w:u w:val="single"/>
        </w:rPr>
        <w:t xml:space="preserve">                                                </w:t>
      </w:r>
    </w:p>
    <w:p w14:paraId="0DCF1172">
      <w:pPr>
        <w:spacing w:line="360" w:lineRule="auto"/>
        <w:jc w:val="left"/>
        <w:rPr>
          <w:color w:val="auto"/>
          <w:highlight w:val="none"/>
        </w:rPr>
      </w:pPr>
      <w:r>
        <w:rPr>
          <w:color w:val="auto"/>
          <w:highlight w:val="none"/>
          <w:u w:val="single"/>
        </w:rPr>
        <w:t xml:space="preserve">                                                                           </w:t>
      </w:r>
      <w:r>
        <w:rPr>
          <w:rFonts w:hint="eastAsia" w:cs="宋体"/>
          <w:color w:val="auto"/>
          <w:highlight w:val="none"/>
        </w:rPr>
        <w:t>。</w:t>
      </w:r>
    </w:p>
    <w:p w14:paraId="2B8B3F3D">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3273DEDA">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w:t>
      </w:r>
      <w:r>
        <w:rPr>
          <w:rFonts w:hint="eastAsia" w:hAnsi="宋体" w:cs="宋体"/>
          <w:color w:val="auto"/>
          <w:kern w:val="0"/>
          <w:highlight w:val="none"/>
          <w:lang w:eastAsia="zh-CN"/>
        </w:rPr>
        <w:t>安全生产费</w:t>
      </w:r>
      <w:r>
        <w:rPr>
          <w:rFonts w:hAnsi="宋体"/>
          <w:color w:val="auto"/>
          <w:kern w:val="0"/>
          <w:highlight w:val="none"/>
          <w:u w:val="single"/>
        </w:rPr>
        <w:t xml:space="preserve">           </w:t>
      </w:r>
      <w:r>
        <w:rPr>
          <w:rFonts w:hint="eastAsia" w:hAnsi="宋体" w:cs="宋体"/>
          <w:color w:val="auto"/>
          <w:kern w:val="0"/>
          <w:highlight w:val="none"/>
        </w:rPr>
        <w:t>元。</w:t>
      </w:r>
    </w:p>
    <w:p w14:paraId="4BE88917">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s="宋体"/>
          <w:color w:val="auto"/>
          <w:kern w:val="0"/>
          <w:highlight w:val="none"/>
        </w:rPr>
        <w:t>市相关规定执行。</w:t>
      </w:r>
    </w:p>
    <w:p w14:paraId="1B4F3914">
      <w:pPr>
        <w:autoSpaceDE/>
        <w:autoSpaceDN/>
        <w:adjustRightInd/>
        <w:spacing w:line="40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cs="宋体"/>
          <w:color w:val="auto"/>
          <w:kern w:val="0"/>
          <w:highlight w:val="none"/>
        </w:rPr>
        <w:t>在本合同签订后</w:t>
      </w:r>
      <w:r>
        <w:rPr>
          <w:color w:val="auto"/>
          <w:kern w:val="0"/>
          <w:highlight w:val="none"/>
        </w:rPr>
        <w:t xml:space="preserve">    </w:t>
      </w:r>
      <w:r>
        <w:rPr>
          <w:rFonts w:hint="eastAsia" w:cs="宋体"/>
          <w:color w:val="auto"/>
          <w:kern w:val="0"/>
          <w:highlight w:val="none"/>
        </w:rPr>
        <w:t>个工作日内，预付安全</w:t>
      </w:r>
      <w:r>
        <w:rPr>
          <w:rFonts w:hint="default" w:cs="宋体"/>
          <w:color w:val="auto"/>
          <w:kern w:val="0"/>
          <w:highlight w:val="none"/>
          <w:lang w:val="en"/>
        </w:rPr>
        <w:t>生产费</w:t>
      </w:r>
      <w:r>
        <w:rPr>
          <w:rFonts w:hint="eastAsia" w:cs="宋体"/>
          <w:color w:val="auto"/>
          <w:kern w:val="0"/>
          <w:highlight w:val="none"/>
        </w:rPr>
        <w:t>总额的   %</w:t>
      </w:r>
      <w:r>
        <w:rPr>
          <w:rFonts w:hint="eastAsia" w:cs="宋体"/>
          <w:color w:val="auto"/>
          <w:kern w:val="0"/>
          <w:highlight w:val="none"/>
          <w:lang w:eastAsia="zh-CN"/>
        </w:rPr>
        <w:t>。实际投入安全生产费超过安全生产</w:t>
      </w:r>
      <w:r>
        <w:rPr>
          <w:rFonts w:hint="eastAsia" w:cs="宋体"/>
          <w:color w:val="auto"/>
          <w:kern w:val="0"/>
          <w:highlight w:val="none"/>
        </w:rPr>
        <w:t>费预付款</w:t>
      </w:r>
      <w:r>
        <w:rPr>
          <w:rFonts w:hint="eastAsia" w:cs="宋体"/>
          <w:color w:val="auto"/>
          <w:kern w:val="0"/>
          <w:highlight w:val="none"/>
          <w:lang w:eastAsia="zh-CN"/>
        </w:rPr>
        <w:t>后</w:t>
      </w:r>
      <w:r>
        <w:rPr>
          <w:rFonts w:hint="default" w:cs="宋体"/>
          <w:color w:val="auto"/>
          <w:kern w:val="0"/>
          <w:highlight w:val="none"/>
          <w:lang w:val="en" w:eastAsia="zh-CN"/>
        </w:rPr>
        <w:t>，</w:t>
      </w:r>
      <w:r>
        <w:rPr>
          <w:rFonts w:hint="eastAsia" w:cs="宋体"/>
          <w:color w:val="auto"/>
          <w:kern w:val="0"/>
          <w:highlight w:val="none"/>
          <w:lang w:eastAsia="zh-CN"/>
        </w:rPr>
        <w:t>承包人把实际发生的安全生产费（附相关凭证）报发包人和监理人审核，安全生产费与工程进度款同期支付。</w:t>
      </w:r>
      <w:r>
        <w:rPr>
          <w:rFonts w:hint="default" w:ascii="Times New Roman" w:hAnsi="Times New Roman" w:cs="Times New Roman"/>
          <w:color w:val="auto"/>
          <w:kern w:val="0"/>
          <w:szCs w:val="21"/>
          <w:highlight w:val="none"/>
          <w:shd w:val="clear" w:color="auto" w:fill="FFFFFF"/>
        </w:rPr>
        <w:t>工程施工完成后安全生产费尚有结余的，结余部分由建设单位收回。施工单位将安全生产费用使用情况定期报告建设单位和监理单位，并提供相应的材料接受建设行政主管部门对此事项监管。</w:t>
      </w:r>
      <w:r>
        <w:rPr>
          <w:rFonts w:hint="eastAsia" w:cs="宋体"/>
          <w:color w:val="auto"/>
          <w:kern w:val="0"/>
          <w:highlight w:val="none"/>
          <w:lang w:eastAsia="zh-CN"/>
        </w:rPr>
        <w:t>安全生产费支付申请（核准）表详见附件</w:t>
      </w:r>
      <w:r>
        <w:rPr>
          <w:rFonts w:hint="eastAsia" w:cs="宋体"/>
          <w:color w:val="auto"/>
          <w:kern w:val="0"/>
          <w:highlight w:val="none"/>
          <w:lang w:val="en-US" w:eastAsia="zh-CN"/>
        </w:rPr>
        <w:t>15</w:t>
      </w:r>
      <w:r>
        <w:rPr>
          <w:rFonts w:hint="eastAsia" w:hAnsi="宋体" w:cs="宋体"/>
          <w:color w:val="auto"/>
          <w:kern w:val="0"/>
          <w:highlight w:val="none"/>
        </w:rPr>
        <w:t>。</w:t>
      </w:r>
    </w:p>
    <w:p w14:paraId="3A7752F5">
      <w:pPr>
        <w:autoSpaceDE w:val="0"/>
        <w:autoSpaceDN w:val="0"/>
        <w:adjustRightInd w:val="0"/>
        <w:spacing w:line="360" w:lineRule="auto"/>
        <w:ind w:firstLine="420" w:firstLineChars="200"/>
        <w:jc w:val="left"/>
        <w:rPr>
          <w:rFonts w:hAnsi="宋体" w:cs="宋体"/>
          <w:color w:val="auto"/>
          <w:kern w:val="0"/>
          <w:highlight w:val="none"/>
        </w:rPr>
      </w:pPr>
    </w:p>
    <w:p w14:paraId="415F6152">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（4）建设单位按规定将安全生产费转入施工单位设立的安全生产费用专户。</w:t>
      </w:r>
    </w:p>
    <w:p w14:paraId="2ADA3414">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（5）工程施工完成后安全生产费尚有结余的，结余部分由建设单位收回。</w:t>
      </w:r>
    </w:p>
    <w:p w14:paraId="7EE43CD4">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（6）安全生产费用专户：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公司安全生产费用专户。账号：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w:t>
      </w:r>
    </w:p>
    <w:p w14:paraId="46A9C872">
      <w:pPr>
        <w:pStyle w:val="4"/>
        <w:rPr>
          <w:color w:val="auto"/>
          <w:highlight w:val="none"/>
        </w:rPr>
      </w:pPr>
      <w:bookmarkStart w:id="1355" w:name="_Toc25382"/>
      <w:bookmarkStart w:id="1356" w:name="_Toc1922268668"/>
      <w:bookmarkStart w:id="1357" w:name="_Toc11917"/>
      <w:bookmarkStart w:id="1358" w:name="_Toc78449809"/>
      <w:bookmarkStart w:id="1359" w:name="_Toc389065287"/>
      <w:bookmarkStart w:id="1360" w:name="_Toc407135223"/>
      <w:bookmarkStart w:id="1361" w:name="_Toc373478368"/>
      <w:bookmarkStart w:id="1362" w:name="_Toc373227721"/>
      <w:r>
        <w:rPr>
          <w:color w:val="auto"/>
          <w:highlight w:val="none"/>
        </w:rPr>
        <w:t xml:space="preserve">6.3 </w:t>
      </w:r>
      <w:r>
        <w:rPr>
          <w:rFonts w:hint="eastAsia" w:hAnsi="宋体" w:cs="黑体"/>
          <w:color w:val="auto"/>
          <w:highlight w:val="none"/>
        </w:rPr>
        <w:t>环境保护</w:t>
      </w:r>
      <w:bookmarkEnd w:id="1355"/>
      <w:bookmarkEnd w:id="1356"/>
      <w:bookmarkEnd w:id="1357"/>
      <w:bookmarkEnd w:id="1358"/>
      <w:bookmarkEnd w:id="1359"/>
      <w:bookmarkEnd w:id="1360"/>
      <w:bookmarkEnd w:id="1361"/>
      <w:bookmarkEnd w:id="1362"/>
    </w:p>
    <w:p w14:paraId="1EEC7B51">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4C7A5CFB">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1332"/>
    <w:bookmarkEnd w:id="1333"/>
    <w:bookmarkEnd w:id="1334"/>
    <w:bookmarkEnd w:id="1335"/>
    <w:bookmarkEnd w:id="1336"/>
    <w:bookmarkEnd w:id="1337"/>
    <w:bookmarkEnd w:id="1338"/>
    <w:p w14:paraId="413A452C">
      <w:pPr>
        <w:pStyle w:val="3"/>
        <w:rPr>
          <w:color w:val="auto"/>
          <w:highlight w:val="none"/>
        </w:rPr>
      </w:pPr>
      <w:bookmarkStart w:id="1363" w:name="_Toc1408286886"/>
      <w:bookmarkStart w:id="1364" w:name="_Toc373478369"/>
      <w:bookmarkStart w:id="1365" w:name="_Toc351203639"/>
      <w:bookmarkStart w:id="1366" w:name="_Toc407135224"/>
      <w:bookmarkStart w:id="1367" w:name="_Toc389065288"/>
      <w:bookmarkStart w:id="1368" w:name="_Toc78449810"/>
      <w:bookmarkStart w:id="1369" w:name="_Toc373227722"/>
      <w:bookmarkStart w:id="1370" w:name="_Toc6691"/>
      <w:r>
        <w:rPr>
          <w:color w:val="auto"/>
          <w:highlight w:val="none"/>
        </w:rPr>
        <w:t xml:space="preserve">7. </w:t>
      </w:r>
      <w:r>
        <w:rPr>
          <w:rFonts w:hint="eastAsia" w:cs="黑体"/>
          <w:color w:val="auto"/>
          <w:highlight w:val="none"/>
        </w:rPr>
        <w:t>工期和进度</w:t>
      </w:r>
      <w:bookmarkEnd w:id="1363"/>
      <w:bookmarkEnd w:id="1364"/>
      <w:bookmarkEnd w:id="1365"/>
      <w:bookmarkEnd w:id="1366"/>
      <w:bookmarkEnd w:id="1367"/>
      <w:bookmarkEnd w:id="1368"/>
      <w:bookmarkEnd w:id="1369"/>
      <w:bookmarkEnd w:id="1370"/>
    </w:p>
    <w:p w14:paraId="208BB25D">
      <w:pPr>
        <w:pStyle w:val="4"/>
        <w:rPr>
          <w:color w:val="auto"/>
          <w:highlight w:val="none"/>
        </w:rPr>
      </w:pPr>
      <w:bookmarkStart w:id="1371" w:name="_Toc373478370"/>
      <w:bookmarkStart w:id="1372" w:name="_Toc15244"/>
      <w:bookmarkStart w:id="1373" w:name="_Toc407135225"/>
      <w:bookmarkStart w:id="1374" w:name="_Toc373227723"/>
      <w:bookmarkStart w:id="1375" w:name="_Toc78449811"/>
      <w:bookmarkStart w:id="1376" w:name="_Toc1194482517"/>
      <w:bookmarkStart w:id="1377" w:name="_Toc389065289"/>
      <w:bookmarkStart w:id="1378" w:name="_Toc28686"/>
      <w:r>
        <w:rPr>
          <w:color w:val="auto"/>
          <w:highlight w:val="none"/>
        </w:rPr>
        <w:t xml:space="preserve">7.1 </w:t>
      </w:r>
      <w:r>
        <w:rPr>
          <w:rFonts w:hint="eastAsia" w:cs="黑体"/>
          <w:color w:val="auto"/>
          <w:highlight w:val="none"/>
        </w:rPr>
        <w:t>施工组织设计</w:t>
      </w:r>
      <w:bookmarkEnd w:id="1371"/>
      <w:bookmarkEnd w:id="1372"/>
      <w:bookmarkEnd w:id="1373"/>
      <w:bookmarkEnd w:id="1374"/>
      <w:bookmarkEnd w:id="1375"/>
      <w:bookmarkEnd w:id="1376"/>
      <w:bookmarkEnd w:id="1377"/>
      <w:bookmarkEnd w:id="1378"/>
    </w:p>
    <w:p w14:paraId="6511244D">
      <w:pPr>
        <w:autoSpaceDE w:val="0"/>
        <w:autoSpaceDN w:val="0"/>
        <w:adjustRightInd w:val="0"/>
        <w:spacing w:line="360" w:lineRule="auto"/>
        <w:ind w:firstLine="420" w:firstLineChars="200"/>
        <w:jc w:val="left"/>
        <w:rPr>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hAnsi="宋体" w:cs="宋体"/>
          <w:color w:val="auto"/>
          <w:highlight w:val="none"/>
        </w:rPr>
        <w:t>。</w:t>
      </w:r>
    </w:p>
    <w:p w14:paraId="0C343AFB">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782D344D">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hAnsi="宋体" w:cs="宋体"/>
          <w:color w:val="auto"/>
          <w:highlight w:val="none"/>
        </w:rPr>
        <w:t>。</w:t>
      </w:r>
    </w:p>
    <w:p w14:paraId="52A64572">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hAnsi="宋体" w:cs="宋体"/>
          <w:color w:val="auto"/>
          <w:highlight w:val="none"/>
        </w:rPr>
        <w:t>。</w:t>
      </w:r>
    </w:p>
    <w:p w14:paraId="3A09C5F4">
      <w:pPr>
        <w:pStyle w:val="4"/>
        <w:rPr>
          <w:color w:val="auto"/>
          <w:highlight w:val="none"/>
        </w:rPr>
      </w:pPr>
      <w:bookmarkStart w:id="1379" w:name="_Toc78449812"/>
      <w:bookmarkStart w:id="1380" w:name="_Toc373227724"/>
      <w:bookmarkStart w:id="1381" w:name="_Toc373478371"/>
      <w:bookmarkStart w:id="1382" w:name="_Toc10208"/>
      <w:bookmarkStart w:id="1383" w:name="_Toc407135226"/>
      <w:bookmarkStart w:id="1384" w:name="_Toc22439"/>
      <w:bookmarkStart w:id="1385" w:name="_Toc1393005721"/>
      <w:bookmarkStart w:id="1386" w:name="_Toc389065290"/>
      <w:r>
        <w:rPr>
          <w:color w:val="auto"/>
          <w:highlight w:val="none"/>
        </w:rPr>
        <w:t>7</w:t>
      </w:r>
      <w:bookmarkStart w:id="1387" w:name="_Toc297123514"/>
      <w:bookmarkStart w:id="1388" w:name="_Toc300934966"/>
      <w:bookmarkStart w:id="1389" w:name="_Toc312678005"/>
      <w:bookmarkStart w:id="1390" w:name="_Toc304295541"/>
      <w:bookmarkStart w:id="1391" w:name="_Toc303539123"/>
      <w:bookmarkStart w:id="1392" w:name="_Toc297216173"/>
      <w:bookmarkStart w:id="1393" w:name="_Toc312677479"/>
      <w:r>
        <w:rPr>
          <w:color w:val="auto"/>
          <w:highlight w:val="none"/>
        </w:rPr>
        <w:t xml:space="preserve">.2 </w:t>
      </w:r>
      <w:r>
        <w:rPr>
          <w:rFonts w:hint="eastAsia" w:cs="黑体"/>
          <w:color w:val="auto"/>
          <w:highlight w:val="none"/>
        </w:rPr>
        <w:t>施工进度计划</w:t>
      </w:r>
      <w:bookmarkEnd w:id="1379"/>
      <w:bookmarkEnd w:id="1380"/>
      <w:bookmarkEnd w:id="1381"/>
      <w:bookmarkEnd w:id="1382"/>
      <w:bookmarkEnd w:id="1383"/>
      <w:bookmarkEnd w:id="1384"/>
      <w:bookmarkEnd w:id="1385"/>
      <w:bookmarkEnd w:id="1386"/>
    </w:p>
    <w:p w14:paraId="62696549">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7D9AAA96">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hAnsi="宋体" w:cs="宋体"/>
          <w:color w:val="auto"/>
          <w:highlight w:val="none"/>
        </w:rPr>
        <w:t>。</w:t>
      </w:r>
    </w:p>
    <w:p w14:paraId="3A3101BC">
      <w:pPr>
        <w:pStyle w:val="4"/>
        <w:rPr>
          <w:color w:val="auto"/>
          <w:highlight w:val="none"/>
        </w:rPr>
      </w:pPr>
      <w:bookmarkStart w:id="1394" w:name="_Toc373227725"/>
      <w:bookmarkStart w:id="1395" w:name="_Toc423062567"/>
      <w:bookmarkStart w:id="1396" w:name="_Toc2280"/>
      <w:bookmarkStart w:id="1397" w:name="_Toc389065291"/>
      <w:bookmarkStart w:id="1398" w:name="_Toc407135227"/>
      <w:bookmarkStart w:id="1399" w:name="_Toc18437"/>
      <w:bookmarkStart w:id="1400" w:name="_Toc78449813"/>
      <w:bookmarkStart w:id="1401" w:name="_Toc373478372"/>
      <w:r>
        <w:rPr>
          <w:color w:val="auto"/>
          <w:highlight w:val="none"/>
        </w:rPr>
        <w:t xml:space="preserve">7.3 </w:t>
      </w:r>
      <w:r>
        <w:rPr>
          <w:rFonts w:hint="eastAsia" w:cs="黑体"/>
          <w:color w:val="auto"/>
          <w:highlight w:val="none"/>
        </w:rPr>
        <w:t>开工</w:t>
      </w:r>
      <w:bookmarkEnd w:id="1394"/>
      <w:bookmarkEnd w:id="1395"/>
      <w:bookmarkEnd w:id="1396"/>
      <w:bookmarkEnd w:id="1397"/>
      <w:bookmarkEnd w:id="1398"/>
      <w:bookmarkEnd w:id="1399"/>
      <w:bookmarkEnd w:id="1400"/>
      <w:bookmarkEnd w:id="1401"/>
    </w:p>
    <w:p w14:paraId="281B3607">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0BB7D7BC">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hAnsi="宋体" w:cs="宋体"/>
          <w:color w:val="auto"/>
          <w:highlight w:val="none"/>
        </w:rPr>
        <w:t>。</w:t>
      </w:r>
    </w:p>
    <w:p w14:paraId="12DC83AC">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hAnsi="宋体" w:cs="宋体"/>
          <w:color w:val="auto"/>
          <w:highlight w:val="none"/>
        </w:rPr>
        <w:t>。</w:t>
      </w:r>
    </w:p>
    <w:p w14:paraId="69D499D4">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hAnsi="宋体" w:cs="宋体"/>
          <w:color w:val="auto"/>
          <w:highlight w:val="none"/>
        </w:rPr>
        <w:t>。</w:t>
      </w:r>
    </w:p>
    <w:p w14:paraId="0529BF2B">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23748589">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1387"/>
    <w:bookmarkEnd w:id="1388"/>
    <w:bookmarkEnd w:id="1389"/>
    <w:bookmarkEnd w:id="1390"/>
    <w:bookmarkEnd w:id="1391"/>
    <w:bookmarkEnd w:id="1392"/>
    <w:bookmarkEnd w:id="1393"/>
    <w:p w14:paraId="2F0720C4">
      <w:pPr>
        <w:pStyle w:val="4"/>
        <w:rPr>
          <w:color w:val="auto"/>
          <w:highlight w:val="none"/>
        </w:rPr>
      </w:pPr>
      <w:bookmarkStart w:id="1402" w:name="_Toc373227726"/>
      <w:bookmarkStart w:id="1403" w:name="_Toc78449814"/>
      <w:bookmarkStart w:id="1404" w:name="_Toc389065292"/>
      <w:bookmarkStart w:id="1405" w:name="_Toc407135228"/>
      <w:bookmarkStart w:id="1406" w:name="_Toc741356765"/>
      <w:bookmarkStart w:id="1407" w:name="_Toc373478373"/>
      <w:bookmarkStart w:id="1408" w:name="_Toc4105"/>
      <w:bookmarkStart w:id="1409" w:name="_Toc6094"/>
      <w:r>
        <w:rPr>
          <w:color w:val="auto"/>
          <w:highlight w:val="none"/>
        </w:rPr>
        <w:t xml:space="preserve">7.4 </w:t>
      </w:r>
      <w:r>
        <w:rPr>
          <w:rFonts w:hint="eastAsia" w:hAnsi="宋体" w:cs="黑体"/>
          <w:color w:val="auto"/>
          <w:highlight w:val="none"/>
        </w:rPr>
        <w:t>测量放线</w:t>
      </w:r>
      <w:bookmarkEnd w:id="1402"/>
      <w:bookmarkEnd w:id="1403"/>
      <w:bookmarkEnd w:id="1404"/>
      <w:bookmarkEnd w:id="1405"/>
      <w:bookmarkEnd w:id="1406"/>
      <w:bookmarkEnd w:id="1407"/>
      <w:bookmarkEnd w:id="1408"/>
      <w:bookmarkEnd w:id="1409"/>
    </w:p>
    <w:p w14:paraId="67FDA713">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69750639">
      <w:pPr>
        <w:spacing w:line="360" w:lineRule="auto"/>
        <w:jc w:val="left"/>
        <w:rPr>
          <w:color w:val="auto"/>
          <w:highlight w:val="none"/>
          <w:u w:val="single"/>
        </w:rPr>
      </w:pPr>
      <w:r>
        <w:rPr>
          <w:color w:val="auto"/>
          <w:highlight w:val="none"/>
          <w:u w:val="single"/>
        </w:rPr>
        <w:t xml:space="preserve">                             </w:t>
      </w:r>
      <w:r>
        <w:rPr>
          <w:rFonts w:hint="eastAsia" w:hAnsi="宋体" w:cs="宋体"/>
          <w:color w:val="auto"/>
          <w:highlight w:val="none"/>
        </w:rPr>
        <w:t>。</w:t>
      </w:r>
    </w:p>
    <w:p w14:paraId="1332C407">
      <w:pPr>
        <w:pStyle w:val="4"/>
        <w:rPr>
          <w:color w:val="auto"/>
          <w:highlight w:val="none"/>
        </w:rPr>
      </w:pPr>
      <w:bookmarkStart w:id="1410" w:name="_Toc28909"/>
      <w:bookmarkStart w:id="1411" w:name="_Toc78449815"/>
      <w:bookmarkStart w:id="1412" w:name="_Toc407135229"/>
      <w:bookmarkStart w:id="1413" w:name="_Toc14585"/>
      <w:bookmarkStart w:id="1414" w:name="_Toc373478374"/>
      <w:bookmarkStart w:id="1415" w:name="_Toc1417437583"/>
      <w:bookmarkStart w:id="1416" w:name="_Toc373227727"/>
      <w:bookmarkStart w:id="1417" w:name="_Toc389065293"/>
      <w:r>
        <w:rPr>
          <w:color w:val="auto"/>
          <w:highlight w:val="none"/>
        </w:rPr>
        <w:t>7</w:t>
      </w:r>
      <w:bookmarkStart w:id="1418" w:name="_Toc297216175"/>
      <w:bookmarkStart w:id="1419" w:name="_Toc304295546"/>
      <w:bookmarkStart w:id="1420" w:name="_Toc300934968"/>
      <w:bookmarkStart w:id="1421" w:name="_Toc312678010"/>
      <w:bookmarkStart w:id="1422" w:name="_Toc297123516"/>
      <w:bookmarkStart w:id="1423" w:name="_Toc303539125"/>
      <w:bookmarkStart w:id="1424" w:name="_Toc312677484"/>
      <w:r>
        <w:rPr>
          <w:color w:val="auto"/>
          <w:highlight w:val="none"/>
        </w:rPr>
        <w:t xml:space="preserve">.5 </w:t>
      </w:r>
      <w:r>
        <w:rPr>
          <w:rFonts w:hint="eastAsia" w:hAnsi="宋体" w:cs="黑体"/>
          <w:color w:val="auto"/>
          <w:highlight w:val="none"/>
        </w:rPr>
        <w:t>工期延误</w:t>
      </w:r>
      <w:bookmarkEnd w:id="1410"/>
      <w:bookmarkEnd w:id="1411"/>
      <w:bookmarkEnd w:id="1412"/>
      <w:bookmarkEnd w:id="1413"/>
      <w:bookmarkEnd w:id="1414"/>
      <w:bookmarkEnd w:id="1415"/>
      <w:bookmarkEnd w:id="1416"/>
      <w:bookmarkEnd w:id="1417"/>
    </w:p>
    <w:bookmarkEnd w:id="1418"/>
    <w:bookmarkEnd w:id="1419"/>
    <w:bookmarkEnd w:id="1420"/>
    <w:bookmarkEnd w:id="1421"/>
    <w:bookmarkEnd w:id="1422"/>
    <w:bookmarkEnd w:id="1423"/>
    <w:bookmarkEnd w:id="1424"/>
    <w:p w14:paraId="32DB5E31">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173D75C7">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cs="宋体"/>
          <w:color w:val="auto"/>
          <w:highlight w:val="none"/>
          <w:u w:val="single"/>
          <w:lang w:eastAsia="zh-CN"/>
        </w:rPr>
        <w:t>见专用条款</w:t>
      </w:r>
      <w:r>
        <w:rPr>
          <w:rFonts w:hint="eastAsia" w:ascii="宋体" w:hAnsi="宋体" w:cs="宋体"/>
          <w:color w:val="auto"/>
          <w:highlight w:val="none"/>
          <w:u w:val="single"/>
          <w:lang w:val="en-US" w:eastAsia="zh-CN"/>
        </w:rPr>
        <w:t>19.6条</w:t>
      </w:r>
      <w:r>
        <w:rPr>
          <w:rFonts w:hAnsi="宋体"/>
          <w:color w:val="auto"/>
          <w:highlight w:val="none"/>
        </w:rPr>
        <w:t xml:space="preserve"> </w:t>
      </w:r>
      <w:r>
        <w:rPr>
          <w:rFonts w:hint="eastAsia" w:hAnsi="宋体" w:cs="宋体"/>
          <w:color w:val="auto"/>
          <w:highlight w:val="none"/>
        </w:rPr>
        <w:t>。</w:t>
      </w:r>
    </w:p>
    <w:p w14:paraId="3CE2ADF5">
      <w:pPr>
        <w:spacing w:line="360" w:lineRule="auto"/>
        <w:ind w:firstLine="420" w:firstLineChars="200"/>
        <w:jc w:val="left"/>
        <w:rPr>
          <w:color w:val="auto"/>
          <w:highlight w:val="none"/>
        </w:rPr>
      </w:pPr>
      <w:r>
        <w:rPr>
          <w:color w:val="auto"/>
          <w:highlight w:val="none"/>
        </w:rPr>
        <w:t>7</w:t>
      </w:r>
      <w:bookmarkStart w:id="1425" w:name="_Toc318581169"/>
      <w:bookmarkStart w:id="1426" w:name="_Toc312678012"/>
      <w:bookmarkStart w:id="1427" w:name="_Toc312677486"/>
      <w:bookmarkStart w:id="1428" w:name="_Toc303539127"/>
      <w:bookmarkStart w:id="1429" w:name="_Toc297216177"/>
      <w:bookmarkStart w:id="1430" w:name="_Toc300934970"/>
      <w:bookmarkStart w:id="1431" w:name="_Toc297123518"/>
      <w:bookmarkStart w:id="1432" w:name="_Toc304295548"/>
      <w:r>
        <w:rPr>
          <w:color w:val="auto"/>
          <w:highlight w:val="none"/>
        </w:rPr>
        <w:t xml:space="preserve">.5.2 </w:t>
      </w:r>
      <w:r>
        <w:rPr>
          <w:rFonts w:hint="eastAsia" w:hAnsi="宋体" w:cs="宋体"/>
          <w:color w:val="auto"/>
          <w:highlight w:val="none"/>
        </w:rPr>
        <w:t>因承包人原因导致工期延误</w:t>
      </w:r>
    </w:p>
    <w:bookmarkEnd w:id="1425"/>
    <w:bookmarkEnd w:id="1426"/>
    <w:bookmarkEnd w:id="1427"/>
    <w:p w14:paraId="0B95701B">
      <w:pPr>
        <w:spacing w:line="360" w:lineRule="auto"/>
        <w:ind w:firstLine="420" w:firstLineChars="200"/>
        <w:jc w:val="left"/>
        <w:rPr>
          <w:color w:val="auto"/>
          <w:highlight w:val="none"/>
        </w:rPr>
      </w:pPr>
      <w:r>
        <w:rPr>
          <w:rFonts w:hint="eastAsia" w:hAnsi="宋体" w:cs="宋体"/>
          <w:color w:val="auto"/>
          <w:highlight w:val="none"/>
        </w:rPr>
        <w:t>因</w:t>
      </w:r>
      <w:bookmarkStart w:id="1433" w:name="_Toc312678013"/>
      <w:bookmarkStart w:id="1434" w:name="_Toc318581170"/>
      <w:bookmarkStart w:id="1435" w:name="_Toc312677487"/>
      <w:r>
        <w:rPr>
          <w:rFonts w:hint="eastAsia" w:hAnsi="宋体" w:cs="宋体"/>
          <w:color w:val="auto"/>
          <w:highlight w:val="none"/>
        </w:rPr>
        <w:t>承包人原因造成工期延误，逾期竣工违约金的计算方法为：</w:t>
      </w:r>
      <w:r>
        <w:rPr>
          <w:rFonts w:hint="eastAsia" w:ascii="宋体" w:hAnsi="宋体" w:cs="宋体"/>
          <w:color w:val="auto"/>
          <w:highlight w:val="none"/>
          <w:u w:val="single"/>
        </w:rPr>
        <w:t>按逾期竣工的单项工程</w:t>
      </w:r>
      <w:r>
        <w:rPr>
          <w:rFonts w:hint="eastAsia" w:ascii="宋体" w:hAnsi="宋体" w:cs="宋体"/>
          <w:color w:val="auto"/>
          <w:highlight w:val="none"/>
          <w:u w:val="single"/>
          <w:lang w:val="en-US" w:eastAsia="zh-CN"/>
        </w:rPr>
        <w:t>处违约金</w:t>
      </w:r>
      <w:r>
        <w:rPr>
          <w:rFonts w:hint="eastAsia" w:ascii="宋体" w:hAnsi="宋体" w:cs="宋体"/>
          <w:color w:val="auto"/>
          <w:highlight w:val="none"/>
          <w:u w:val="single"/>
        </w:rPr>
        <w:t>，每延误一天</w:t>
      </w:r>
      <w:r>
        <w:rPr>
          <w:rFonts w:hint="eastAsia" w:ascii="宋体" w:hAnsi="宋体" w:cs="宋体"/>
          <w:color w:val="auto"/>
          <w:highlight w:val="none"/>
          <w:u w:val="single"/>
          <w:lang w:eastAsia="zh-CN"/>
        </w:rPr>
        <w:t>，</w:t>
      </w:r>
      <w:r>
        <w:rPr>
          <w:rFonts w:hint="eastAsia" w:ascii="宋体" w:hAnsi="宋体" w:cs="宋体"/>
          <w:color w:val="auto"/>
          <w:highlight w:val="none"/>
          <w:u w:val="single"/>
        </w:rPr>
        <w:t>按单项工程应支付给承包人的结算造价的万分之</w:t>
      </w:r>
      <w:r>
        <w:rPr>
          <w:rFonts w:ascii="宋体" w:hAnsi="宋体" w:cs="宋体"/>
          <w:color w:val="auto"/>
          <w:highlight w:val="none"/>
          <w:u w:val="single"/>
        </w:rPr>
        <w:t xml:space="preserve">   </w:t>
      </w:r>
      <w:r>
        <w:rPr>
          <w:rFonts w:hint="eastAsia" w:ascii="宋体" w:hAnsi="宋体" w:cs="宋体"/>
          <w:color w:val="auto"/>
          <w:highlight w:val="none"/>
          <w:u w:val="single"/>
        </w:rPr>
        <w:t>处</w:t>
      </w:r>
      <w:r>
        <w:rPr>
          <w:rFonts w:hint="eastAsia" w:ascii="宋体" w:hAnsi="宋体" w:cs="宋体"/>
          <w:color w:val="auto"/>
          <w:highlight w:val="none"/>
          <w:u w:val="single"/>
          <w:lang w:val="en-US" w:eastAsia="zh-CN"/>
        </w:rPr>
        <w:t>以违约金</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违约金</w:t>
      </w:r>
      <w:r>
        <w:rPr>
          <w:rFonts w:hint="eastAsia" w:ascii="宋体" w:hAnsi="宋体" w:cs="宋体"/>
          <w:color w:val="auto"/>
          <w:highlight w:val="none"/>
          <w:u w:val="single"/>
        </w:rPr>
        <w:t>直接从结算款中扣除。</w:t>
      </w:r>
      <w:r>
        <w:rPr>
          <w:rFonts w:hint="eastAsia" w:hAnsi="宋体" w:cs="宋体"/>
          <w:color w:val="auto"/>
          <w:highlight w:val="none"/>
          <w:u w:val="single"/>
        </w:rPr>
        <w:t>误期时间从规定竣工日期起直到实际竣工日期的天数（扣除发包人批准顺延的工期）。</w:t>
      </w:r>
      <w:bookmarkEnd w:id="1428"/>
      <w:bookmarkEnd w:id="1429"/>
      <w:bookmarkEnd w:id="1430"/>
      <w:bookmarkEnd w:id="1431"/>
      <w:bookmarkEnd w:id="1432"/>
      <w:bookmarkEnd w:id="1433"/>
      <w:bookmarkEnd w:id="1434"/>
      <w:bookmarkEnd w:id="1435"/>
      <w:r>
        <w:rPr>
          <w:rFonts w:hint="eastAsia" w:hAnsi="宋体" w:cs="宋体"/>
          <w:color w:val="auto"/>
          <w:highlight w:val="none"/>
        </w:rPr>
        <w:t>因承包人原因造成工期延误，逾</w:t>
      </w:r>
      <w:bookmarkStart w:id="1436" w:name="_Toc318581171"/>
      <w:bookmarkStart w:id="1437" w:name="_Toc312678014"/>
      <w:r>
        <w:rPr>
          <w:rFonts w:hint="eastAsia" w:hAnsi="宋体" w:cs="宋体"/>
          <w:color w:val="auto"/>
          <w:highlight w:val="none"/>
        </w:rPr>
        <w:t>期竣工违约金的上限：</w:t>
      </w:r>
      <w:r>
        <w:rPr>
          <w:rFonts w:hint="eastAsia" w:ascii="宋体" w:hAnsi="宋体" w:cs="宋体"/>
          <w:color w:val="auto"/>
          <w:highlight w:val="none"/>
          <w:u w:val="single"/>
        </w:rPr>
        <w:t>逾期竣工的单项工程结算造价</w:t>
      </w:r>
      <w:r>
        <w:rPr>
          <w:rFonts w:hint="eastAsia" w:hAnsi="宋体" w:cs="宋体"/>
          <w:color w:val="auto"/>
          <w:highlight w:val="none"/>
          <w:u w:val="single"/>
        </w:rPr>
        <w:t>的</w:t>
      </w:r>
      <w:r>
        <w:rPr>
          <w:color w:val="auto"/>
          <w:highlight w:val="none"/>
          <w:u w:val="single"/>
        </w:rPr>
        <w:t xml:space="preserve">    %</w:t>
      </w:r>
      <w:r>
        <w:rPr>
          <w:rFonts w:hint="eastAsia" w:hAnsi="宋体" w:cs="宋体"/>
          <w:color w:val="auto"/>
          <w:highlight w:val="none"/>
        </w:rPr>
        <w:t>。</w:t>
      </w:r>
    </w:p>
    <w:bookmarkEnd w:id="1436"/>
    <w:bookmarkEnd w:id="1437"/>
    <w:p w14:paraId="17613787">
      <w:pPr>
        <w:pStyle w:val="4"/>
        <w:rPr>
          <w:color w:val="auto"/>
          <w:highlight w:val="none"/>
        </w:rPr>
      </w:pPr>
      <w:bookmarkStart w:id="1438" w:name="_Toc407135230"/>
      <w:bookmarkStart w:id="1439" w:name="_Toc19613"/>
      <w:bookmarkStart w:id="1440" w:name="_Toc2644"/>
      <w:bookmarkStart w:id="1441" w:name="_Toc78449816"/>
      <w:bookmarkStart w:id="1442" w:name="_Toc1954543271"/>
      <w:bookmarkStart w:id="1443" w:name="_Toc373227728"/>
      <w:bookmarkStart w:id="1444" w:name="_Toc389065294"/>
      <w:bookmarkStart w:id="1445" w:name="_Toc373478375"/>
      <w:r>
        <w:rPr>
          <w:color w:val="auto"/>
          <w:highlight w:val="none"/>
        </w:rPr>
        <w:t>7</w:t>
      </w:r>
      <w:bookmarkStart w:id="1446" w:name="_Toc300934971"/>
      <w:bookmarkStart w:id="1447" w:name="_Toc312678015"/>
      <w:bookmarkStart w:id="1448" w:name="_Toc304295549"/>
      <w:bookmarkStart w:id="1449" w:name="_Toc303539128"/>
      <w:bookmarkStart w:id="1450" w:name="_Toc297123519"/>
      <w:bookmarkStart w:id="1451" w:name="_Toc297216178"/>
      <w:r>
        <w:rPr>
          <w:color w:val="auto"/>
          <w:highlight w:val="none"/>
        </w:rPr>
        <w:t xml:space="preserve">.6 </w:t>
      </w:r>
      <w:r>
        <w:rPr>
          <w:rFonts w:hint="eastAsia" w:cs="黑体"/>
          <w:color w:val="auto"/>
          <w:highlight w:val="none"/>
        </w:rPr>
        <w:t>不</w:t>
      </w:r>
      <w:bookmarkEnd w:id="1446"/>
      <w:bookmarkEnd w:id="1447"/>
      <w:bookmarkEnd w:id="1448"/>
      <w:bookmarkEnd w:id="1449"/>
      <w:bookmarkEnd w:id="1450"/>
      <w:bookmarkEnd w:id="1451"/>
      <w:r>
        <w:rPr>
          <w:rFonts w:hint="eastAsia" w:cs="黑体"/>
          <w:color w:val="auto"/>
          <w:highlight w:val="none"/>
        </w:rPr>
        <w:t>利物质条件</w:t>
      </w:r>
      <w:bookmarkEnd w:id="1438"/>
      <w:bookmarkEnd w:id="1439"/>
      <w:bookmarkEnd w:id="1440"/>
      <w:bookmarkEnd w:id="1441"/>
      <w:bookmarkEnd w:id="1442"/>
      <w:bookmarkEnd w:id="1443"/>
      <w:bookmarkEnd w:id="1444"/>
      <w:bookmarkEnd w:id="1445"/>
    </w:p>
    <w:p w14:paraId="5373DBE2">
      <w:pPr>
        <w:spacing w:line="360" w:lineRule="auto"/>
        <w:ind w:firstLine="420" w:firstLineChars="200"/>
        <w:jc w:val="left"/>
        <w:rPr>
          <w:color w:val="auto"/>
          <w:highlight w:val="none"/>
          <w:u w:val="single"/>
        </w:rPr>
      </w:pPr>
      <w:bookmarkStart w:id="1452" w:name="_Toc303539129"/>
      <w:bookmarkStart w:id="1453" w:name="_Toc304295550"/>
      <w:bookmarkStart w:id="1454" w:name="_Toc312678016"/>
      <w:bookmarkStart w:id="1455" w:name="_Toc297216179"/>
      <w:bookmarkStart w:id="1456" w:name="_Toc318581172"/>
      <w:bookmarkStart w:id="1457" w:name="_Toc297123520"/>
      <w:bookmarkStart w:id="1458" w:name="_Toc300934972"/>
      <w:r>
        <w:rPr>
          <w:rFonts w:hint="eastAsia" w:hAnsi="宋体" w:cs="宋体"/>
          <w:color w:val="auto"/>
          <w:highlight w:val="none"/>
        </w:rPr>
        <w:t>不利物质条件的其他情形和有关约定：</w:t>
      </w:r>
      <w:r>
        <w:rPr>
          <w:color w:val="auto"/>
          <w:highlight w:val="none"/>
          <w:u w:val="single"/>
        </w:rPr>
        <w:t xml:space="preserve">                    </w:t>
      </w:r>
      <w:r>
        <w:rPr>
          <w:rFonts w:hint="eastAsia" w:hAnsi="宋体" w:cs="宋体"/>
          <w:color w:val="auto"/>
          <w:highlight w:val="none"/>
        </w:rPr>
        <w:t>。</w:t>
      </w:r>
    </w:p>
    <w:bookmarkEnd w:id="1452"/>
    <w:bookmarkEnd w:id="1453"/>
    <w:bookmarkEnd w:id="1454"/>
    <w:bookmarkEnd w:id="1455"/>
    <w:bookmarkEnd w:id="1456"/>
    <w:bookmarkEnd w:id="1457"/>
    <w:bookmarkEnd w:id="1458"/>
    <w:p w14:paraId="0C2E8977">
      <w:pPr>
        <w:pStyle w:val="4"/>
        <w:rPr>
          <w:color w:val="auto"/>
          <w:highlight w:val="none"/>
        </w:rPr>
      </w:pPr>
      <w:bookmarkStart w:id="1459" w:name="_Toc851880484"/>
      <w:bookmarkStart w:id="1460" w:name="_Toc23270"/>
      <w:bookmarkStart w:id="1461" w:name="_Toc373227729"/>
      <w:bookmarkStart w:id="1462" w:name="_Toc1120"/>
      <w:bookmarkStart w:id="1463" w:name="_Toc373478376"/>
      <w:bookmarkStart w:id="1464" w:name="_Toc407135231"/>
      <w:bookmarkStart w:id="1465" w:name="_Toc389065295"/>
      <w:bookmarkStart w:id="1466" w:name="_Toc78449817"/>
      <w:r>
        <w:rPr>
          <w:color w:val="auto"/>
          <w:highlight w:val="none"/>
        </w:rPr>
        <w:t>7</w:t>
      </w:r>
      <w:bookmarkStart w:id="1467" w:name="_Toc300934973"/>
      <w:bookmarkStart w:id="1468" w:name="_Toc297216180"/>
      <w:bookmarkStart w:id="1469" w:name="_Toc303539130"/>
      <w:bookmarkStart w:id="1470" w:name="_Toc312678017"/>
      <w:bookmarkStart w:id="1471" w:name="_Toc297123521"/>
      <w:bookmarkStart w:id="1472" w:name="_Toc304295551"/>
      <w:r>
        <w:rPr>
          <w:color w:val="auto"/>
          <w:highlight w:val="none"/>
        </w:rPr>
        <w:t xml:space="preserve">.7 </w:t>
      </w:r>
      <w:r>
        <w:rPr>
          <w:rFonts w:hint="eastAsia" w:cs="黑体"/>
          <w:color w:val="auto"/>
          <w:highlight w:val="none"/>
        </w:rPr>
        <w:t>异常恶劣的气候条件</w:t>
      </w:r>
      <w:bookmarkEnd w:id="1459"/>
      <w:bookmarkEnd w:id="1460"/>
      <w:bookmarkEnd w:id="1461"/>
      <w:bookmarkEnd w:id="1462"/>
      <w:bookmarkEnd w:id="1463"/>
      <w:bookmarkEnd w:id="1464"/>
      <w:bookmarkEnd w:id="1465"/>
      <w:bookmarkEnd w:id="1466"/>
    </w:p>
    <w:bookmarkEnd w:id="1467"/>
    <w:bookmarkEnd w:id="1468"/>
    <w:bookmarkEnd w:id="1469"/>
    <w:bookmarkEnd w:id="1470"/>
    <w:bookmarkEnd w:id="1471"/>
    <w:bookmarkEnd w:id="1472"/>
    <w:p w14:paraId="4A50103D">
      <w:pPr>
        <w:spacing w:line="360" w:lineRule="auto"/>
        <w:ind w:firstLine="420" w:firstLineChars="200"/>
        <w:jc w:val="left"/>
        <w:rPr>
          <w:color w:val="auto"/>
          <w:highlight w:val="none"/>
        </w:rPr>
      </w:pPr>
      <w:r>
        <w:rPr>
          <w:rFonts w:hint="eastAsia" w:hAnsi="宋体" w:cs="宋体"/>
          <w:color w:val="auto"/>
          <w:highlight w:val="none"/>
        </w:rPr>
        <w:t>发包人和承包人同意以下情形视为异常恶劣的气候条件：</w:t>
      </w:r>
    </w:p>
    <w:p w14:paraId="64A6D854">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1</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73B4B07A">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2</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7664F803">
      <w:pPr>
        <w:spacing w:line="360" w:lineRule="auto"/>
        <w:ind w:firstLine="420" w:firstLineChars="200"/>
        <w:jc w:val="left"/>
        <w:rPr>
          <w:color w:val="auto"/>
          <w:highlight w:val="none"/>
        </w:rPr>
      </w:pPr>
      <w:r>
        <w:rPr>
          <w:rFonts w:hint="eastAsia" w:hAnsi="宋体" w:cs="宋体"/>
          <w:color w:val="auto"/>
          <w:highlight w:val="none"/>
          <w:lang w:eastAsia="zh-CN"/>
        </w:rPr>
        <w:t>(</w:t>
      </w:r>
      <w:r>
        <w:rPr>
          <w:color w:val="auto"/>
          <w:highlight w:val="none"/>
        </w:rPr>
        <w:t>3</w:t>
      </w:r>
      <w:r>
        <w:rPr>
          <w:rFonts w:hint="eastAsia"/>
          <w:color w:val="auto"/>
          <w:highlight w:val="none"/>
          <w:lang w:eastAsia="zh-CN"/>
        </w:rPr>
        <w:t>)</w:t>
      </w:r>
      <w:r>
        <w:rPr>
          <w:color w:val="auto"/>
          <w:highlight w:val="none"/>
          <w:u w:val="single"/>
        </w:rPr>
        <w:t xml:space="preserve">                                           </w:t>
      </w:r>
      <w:r>
        <w:rPr>
          <w:rFonts w:hint="eastAsia"/>
          <w:color w:val="auto"/>
          <w:highlight w:val="none"/>
          <w:u w:val="single"/>
          <w:lang w:eastAsia="zh-CN"/>
        </w:rPr>
        <w:t>.</w:t>
      </w:r>
    </w:p>
    <w:p w14:paraId="69EE97FF">
      <w:pPr>
        <w:pStyle w:val="4"/>
        <w:rPr>
          <w:color w:val="auto"/>
          <w:highlight w:val="none"/>
          <w:lang w:val="en-US"/>
        </w:rPr>
      </w:pPr>
      <w:bookmarkStart w:id="1473" w:name="_Toc373227730"/>
      <w:bookmarkStart w:id="1474" w:name="_Toc78449818"/>
      <w:bookmarkStart w:id="1475" w:name="_Toc389065296"/>
      <w:bookmarkStart w:id="1476" w:name="_Toc373478377"/>
      <w:bookmarkStart w:id="1477" w:name="_Toc26066"/>
      <w:bookmarkStart w:id="1478" w:name="_Toc13996"/>
      <w:bookmarkStart w:id="1479" w:name="_Toc657185480"/>
      <w:bookmarkStart w:id="1480" w:name="_Toc407135232"/>
      <w:r>
        <w:rPr>
          <w:color w:val="auto"/>
          <w:highlight w:val="none"/>
          <w:lang w:val="en-US"/>
        </w:rPr>
        <w:t xml:space="preserve">7.9 </w:t>
      </w:r>
      <w:r>
        <w:rPr>
          <w:rFonts w:hint="eastAsia" w:hAnsi="宋体" w:cs="黑体"/>
          <w:color w:val="auto"/>
          <w:highlight w:val="none"/>
        </w:rPr>
        <w:t>提前竣工</w:t>
      </w:r>
      <w:bookmarkEnd w:id="1473"/>
      <w:bookmarkEnd w:id="1474"/>
      <w:bookmarkEnd w:id="1475"/>
      <w:bookmarkEnd w:id="1476"/>
      <w:bookmarkEnd w:id="1477"/>
      <w:bookmarkEnd w:id="1478"/>
      <w:bookmarkEnd w:id="1479"/>
      <w:bookmarkEnd w:id="1480"/>
    </w:p>
    <w:p w14:paraId="38BAAABC">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hAnsi="宋体" w:cs="宋体"/>
          <w:color w:val="auto"/>
          <w:highlight w:val="none"/>
        </w:rPr>
        <w:t>。</w:t>
      </w:r>
    </w:p>
    <w:p w14:paraId="42362758">
      <w:pPr>
        <w:pStyle w:val="3"/>
        <w:rPr>
          <w:color w:val="auto"/>
          <w:highlight w:val="none"/>
        </w:rPr>
      </w:pPr>
      <w:bookmarkStart w:id="1481" w:name="_Toc78449819"/>
      <w:bookmarkStart w:id="1482" w:name="_Toc373227731"/>
      <w:bookmarkStart w:id="1483" w:name="_Toc407135233"/>
      <w:bookmarkStart w:id="1484" w:name="_Toc351203640"/>
      <w:bookmarkStart w:id="1485" w:name="_Toc373478378"/>
      <w:bookmarkStart w:id="1486" w:name="_Toc389065297"/>
      <w:bookmarkStart w:id="1487" w:name="_Toc17641"/>
      <w:bookmarkStart w:id="1488" w:name="_Toc1302158431"/>
      <w:r>
        <w:rPr>
          <w:color w:val="auto"/>
          <w:highlight w:val="none"/>
        </w:rPr>
        <w:t xml:space="preserve">8. </w:t>
      </w:r>
      <w:r>
        <w:rPr>
          <w:rFonts w:hint="eastAsia" w:cs="黑体"/>
          <w:color w:val="auto"/>
          <w:highlight w:val="none"/>
        </w:rPr>
        <w:t>材料与设备</w:t>
      </w:r>
      <w:bookmarkEnd w:id="1481"/>
      <w:bookmarkEnd w:id="1482"/>
      <w:bookmarkEnd w:id="1483"/>
      <w:bookmarkEnd w:id="1484"/>
      <w:bookmarkEnd w:id="1485"/>
      <w:bookmarkEnd w:id="1486"/>
      <w:bookmarkEnd w:id="1487"/>
      <w:bookmarkEnd w:id="1488"/>
    </w:p>
    <w:bookmarkEnd w:id="1314"/>
    <w:bookmarkEnd w:id="1315"/>
    <w:bookmarkEnd w:id="1316"/>
    <w:bookmarkEnd w:id="1317"/>
    <w:bookmarkEnd w:id="1318"/>
    <w:bookmarkEnd w:id="1319"/>
    <w:bookmarkEnd w:id="1320"/>
    <w:bookmarkEnd w:id="1321"/>
    <w:bookmarkEnd w:id="1322"/>
    <w:bookmarkEnd w:id="1323"/>
    <w:p w14:paraId="196136B9">
      <w:pPr>
        <w:pStyle w:val="4"/>
        <w:rPr>
          <w:color w:val="auto"/>
          <w:highlight w:val="none"/>
        </w:rPr>
      </w:pPr>
      <w:bookmarkStart w:id="1489" w:name="_Toc373227732"/>
      <w:bookmarkStart w:id="1490" w:name="_Toc295"/>
      <w:bookmarkStart w:id="1491" w:name="_Toc407135234"/>
      <w:bookmarkStart w:id="1492" w:name="_Toc373478379"/>
      <w:bookmarkStart w:id="1493" w:name="_Toc389065298"/>
      <w:bookmarkStart w:id="1494" w:name="_Toc78449820"/>
      <w:bookmarkStart w:id="1495" w:name="_Toc1743"/>
      <w:bookmarkStart w:id="1496" w:name="_Toc1119561048"/>
      <w:r>
        <w:rPr>
          <w:color w:val="auto"/>
          <w:highlight w:val="none"/>
        </w:rPr>
        <w:t xml:space="preserve">8.2 </w:t>
      </w:r>
      <w:r>
        <w:rPr>
          <w:rFonts w:hint="eastAsia" w:cs="黑体"/>
          <w:color w:val="auto"/>
          <w:highlight w:val="none"/>
        </w:rPr>
        <w:t>承包人采购材料与工程设备</w:t>
      </w:r>
      <w:bookmarkEnd w:id="1489"/>
      <w:bookmarkEnd w:id="1490"/>
      <w:bookmarkEnd w:id="1491"/>
      <w:bookmarkEnd w:id="1492"/>
      <w:bookmarkEnd w:id="1493"/>
      <w:bookmarkEnd w:id="1494"/>
      <w:bookmarkEnd w:id="1495"/>
      <w:bookmarkEnd w:id="1496"/>
    </w:p>
    <w:p w14:paraId="665C6863">
      <w:pPr>
        <w:autoSpaceDE w:val="0"/>
        <w:autoSpaceDN w:val="0"/>
        <w:adjustRightInd w:val="0"/>
        <w:spacing w:line="360" w:lineRule="auto"/>
        <w:ind w:firstLine="420" w:firstLineChars="200"/>
        <w:jc w:val="left"/>
        <w:rPr>
          <w:rFonts w:hint="eastAsia" w:cs="宋体"/>
          <w:color w:val="auto"/>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bookmarkStart w:id="1497" w:name="_Toc373478380"/>
      <w:bookmarkStart w:id="1498" w:name="_Toc373227733"/>
      <w:bookmarkStart w:id="1499" w:name="_Toc389065299"/>
    </w:p>
    <w:p w14:paraId="2375CDC8">
      <w:pPr>
        <w:autoSpaceDE w:val="0"/>
        <w:autoSpaceDN w:val="0"/>
        <w:adjustRightInd w:val="0"/>
        <w:spacing w:line="360" w:lineRule="auto"/>
        <w:ind w:firstLine="420" w:firstLineChars="200"/>
        <w:jc w:val="left"/>
        <w:rPr>
          <w:rFonts w:cs="宋体"/>
          <w:color w:val="auto"/>
          <w:highlight w:val="none"/>
        </w:rPr>
      </w:pPr>
      <w:r>
        <w:rPr>
          <w:rFonts w:hint="eastAsia" w:cs="宋体"/>
          <w:color w:val="auto"/>
          <w:highlight w:val="none"/>
        </w:rPr>
        <w:t>对发包人在招标时有“参照或相当于</w:t>
      </w:r>
      <w:r>
        <w:rPr>
          <w:color w:val="auto"/>
          <w:highlight w:val="none"/>
        </w:rPr>
        <w:t>**</w:t>
      </w:r>
      <w:r>
        <w:rPr>
          <w:rFonts w:hint="eastAsia" w:cs="宋体"/>
          <w:color w:val="auto"/>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063B9BA8">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禁止使用松木、松木包装材料设备、种子、苗木、花卉及繁殖材料。</w:t>
      </w:r>
    </w:p>
    <w:p w14:paraId="5838C380">
      <w:pPr>
        <w:pStyle w:val="4"/>
        <w:rPr>
          <w:color w:val="auto"/>
          <w:highlight w:val="none"/>
        </w:rPr>
      </w:pPr>
      <w:bookmarkStart w:id="1500" w:name="_Toc407135235"/>
      <w:bookmarkStart w:id="1501" w:name="_Toc800965933"/>
      <w:bookmarkStart w:id="1502" w:name="_Toc10054"/>
      <w:bookmarkStart w:id="1503" w:name="_Toc14200"/>
      <w:bookmarkStart w:id="1504" w:name="_Toc78449821"/>
      <w:r>
        <w:rPr>
          <w:color w:val="auto"/>
          <w:highlight w:val="none"/>
        </w:rPr>
        <w:t>8</w:t>
      </w:r>
      <w:bookmarkStart w:id="1505" w:name="_Toc297120467"/>
      <w:bookmarkStart w:id="1506" w:name="_Toc300934979"/>
      <w:bookmarkStart w:id="1507" w:name="_Toc297216186"/>
      <w:bookmarkStart w:id="1508" w:name="_Toc280868654"/>
      <w:bookmarkStart w:id="1509" w:name="_Toc296503167"/>
      <w:bookmarkStart w:id="1510" w:name="_Toc297123527"/>
      <w:bookmarkStart w:id="1511" w:name="_Toc312677493"/>
      <w:bookmarkStart w:id="1512" w:name="_Toc296346668"/>
      <w:bookmarkStart w:id="1513" w:name="_Toc296944506"/>
      <w:bookmarkStart w:id="1514" w:name="_Toc304295556"/>
      <w:bookmarkStart w:id="1515" w:name="_Toc292559372"/>
      <w:bookmarkStart w:id="1516" w:name="_Toc296347166"/>
      <w:bookmarkStart w:id="1517" w:name="_Toc296890995"/>
      <w:bookmarkStart w:id="1518" w:name="_Toc312678019"/>
      <w:bookmarkStart w:id="1519" w:name="_Toc296891207"/>
      <w:bookmarkStart w:id="1520" w:name="_Toc292559877"/>
      <w:bookmarkStart w:id="1521" w:name="_Toc297048353"/>
      <w:bookmarkStart w:id="1522" w:name="_Toc303539136"/>
      <w:bookmarkStart w:id="1523" w:name="_Toc280868655"/>
      <w:bookmarkStart w:id="1524" w:name="_Toc280868656"/>
      <w:bookmarkStart w:id="1525" w:name="_Toc267251424"/>
      <w:r>
        <w:rPr>
          <w:color w:val="auto"/>
          <w:highlight w:val="none"/>
        </w:rPr>
        <w:t xml:space="preserve">.4 </w:t>
      </w:r>
      <w:r>
        <w:rPr>
          <w:rFonts w:hint="eastAsia" w:cs="黑体"/>
          <w:color w:val="auto"/>
          <w:highlight w:val="none"/>
        </w:rPr>
        <w:t>材料与工程设备的保管与使用</w:t>
      </w:r>
      <w:bookmarkEnd w:id="1497"/>
      <w:bookmarkEnd w:id="1498"/>
      <w:bookmarkEnd w:id="1499"/>
      <w:bookmarkEnd w:id="1500"/>
      <w:bookmarkEnd w:id="1501"/>
      <w:bookmarkEnd w:id="1502"/>
      <w:bookmarkEnd w:id="1503"/>
      <w:bookmarkEnd w:id="1504"/>
    </w:p>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14:paraId="0535FBE0">
      <w:pPr>
        <w:spacing w:line="360" w:lineRule="auto"/>
        <w:ind w:firstLine="420" w:firstLineChars="200"/>
        <w:jc w:val="left"/>
        <w:rPr>
          <w:color w:val="auto"/>
          <w:highlight w:val="none"/>
          <w:u w:val="single"/>
        </w:rPr>
      </w:pPr>
      <w:r>
        <w:rPr>
          <w:color w:val="auto"/>
          <w:highlight w:val="none"/>
        </w:rPr>
        <w:t>8</w:t>
      </w:r>
      <w:bookmarkStart w:id="1526" w:name="_Toc292559373"/>
      <w:bookmarkStart w:id="1527" w:name="_Toc292559878"/>
      <w:bookmarkStart w:id="1528" w:name="_Toc296890996"/>
      <w:bookmarkStart w:id="1529" w:name="_Toc318581173"/>
      <w:bookmarkStart w:id="1530" w:name="_Toc300934980"/>
      <w:bookmarkStart w:id="1531" w:name="_Toc303539137"/>
      <w:bookmarkStart w:id="1532" w:name="_Toc296944507"/>
      <w:bookmarkStart w:id="1533" w:name="_Toc297048354"/>
      <w:bookmarkStart w:id="1534" w:name="_Toc296347167"/>
      <w:bookmarkStart w:id="1535" w:name="_Toc297216187"/>
      <w:bookmarkStart w:id="1536" w:name="_Toc297123528"/>
      <w:bookmarkStart w:id="1537" w:name="_Toc296891208"/>
      <w:bookmarkStart w:id="1538" w:name="_Toc297120468"/>
      <w:bookmarkStart w:id="1539" w:name="_Toc296346669"/>
      <w:bookmarkStart w:id="1540" w:name="_Toc304295557"/>
      <w:bookmarkStart w:id="1541" w:name="_Toc296503168"/>
      <w:bookmarkStart w:id="1542" w:name="_Toc312677494"/>
      <w:bookmarkStart w:id="1543" w:name="_Toc312678020"/>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hAnsi="宋体" w:cs="宋体"/>
          <w:color w:val="auto"/>
          <w:highlight w:val="none"/>
        </w:rPr>
        <w:t>。</w:t>
      </w:r>
    </w:p>
    <w:bookmarkEnd w:id="1526"/>
    <w:bookmarkEnd w:id="1527"/>
    <w:p w14:paraId="5900920D">
      <w:pPr>
        <w:pStyle w:val="4"/>
        <w:rPr>
          <w:color w:val="auto"/>
          <w:highlight w:val="none"/>
        </w:rPr>
      </w:pPr>
      <w:bookmarkStart w:id="1544" w:name="_Toc78449822"/>
      <w:bookmarkStart w:id="1545" w:name="_Toc373227734"/>
      <w:bookmarkStart w:id="1546" w:name="_Toc13223"/>
      <w:bookmarkStart w:id="1547" w:name="_Toc18522"/>
      <w:bookmarkStart w:id="1548" w:name="_Toc373478381"/>
      <w:bookmarkStart w:id="1549" w:name="_Toc389065300"/>
      <w:bookmarkStart w:id="1550" w:name="_Toc125914831"/>
      <w:bookmarkStart w:id="1551" w:name="_Toc407135236"/>
      <w:r>
        <w:rPr>
          <w:color w:val="auto"/>
          <w:highlight w:val="none"/>
        </w:rPr>
        <w:t xml:space="preserve">8.6 </w:t>
      </w:r>
      <w:r>
        <w:rPr>
          <w:rFonts w:hint="eastAsia" w:hAnsi="宋体" w:cs="黑体"/>
          <w:color w:val="auto"/>
          <w:highlight w:val="none"/>
        </w:rPr>
        <w:t>样品</w:t>
      </w:r>
      <w:bookmarkEnd w:id="1544"/>
      <w:bookmarkEnd w:id="1545"/>
      <w:bookmarkEnd w:id="1546"/>
      <w:bookmarkEnd w:id="1547"/>
      <w:bookmarkEnd w:id="1548"/>
      <w:bookmarkEnd w:id="1549"/>
      <w:bookmarkEnd w:id="1550"/>
      <w:bookmarkEnd w:id="1551"/>
    </w:p>
    <w:p w14:paraId="57F49549">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172CCA32">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77D2BA8F">
      <w:pPr>
        <w:pStyle w:val="4"/>
        <w:rPr>
          <w:color w:val="auto"/>
          <w:highlight w:val="none"/>
        </w:rPr>
      </w:pPr>
      <w:bookmarkStart w:id="1552" w:name="_Toc407135237"/>
      <w:bookmarkStart w:id="1553" w:name="_Toc373478382"/>
      <w:bookmarkStart w:id="1554" w:name="_Toc78449823"/>
      <w:bookmarkStart w:id="1555" w:name="_Toc23716"/>
      <w:bookmarkStart w:id="1556" w:name="_Toc373227735"/>
      <w:bookmarkStart w:id="1557" w:name="_Toc1049576644"/>
      <w:bookmarkStart w:id="1558" w:name="_Toc389065301"/>
      <w:bookmarkStart w:id="1559" w:name="_Toc32490"/>
      <w:r>
        <w:rPr>
          <w:color w:val="auto"/>
          <w:highlight w:val="none"/>
        </w:rPr>
        <w:t xml:space="preserve">8.8 </w:t>
      </w:r>
      <w:r>
        <w:rPr>
          <w:rFonts w:hint="eastAsia" w:cs="黑体"/>
          <w:color w:val="auto"/>
          <w:highlight w:val="none"/>
        </w:rPr>
        <w:t>施工设备和临时设施</w:t>
      </w:r>
      <w:bookmarkEnd w:id="1552"/>
      <w:bookmarkEnd w:id="1553"/>
      <w:bookmarkEnd w:id="1554"/>
      <w:bookmarkEnd w:id="1555"/>
      <w:bookmarkEnd w:id="1556"/>
      <w:bookmarkEnd w:id="1557"/>
      <w:bookmarkEnd w:id="1558"/>
      <w:bookmarkEnd w:id="1559"/>
    </w:p>
    <w:p w14:paraId="77AE4E7A">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155C182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52983EFA">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08113577">
      <w:pPr>
        <w:autoSpaceDE w:val="0"/>
        <w:autoSpaceDN w:val="0"/>
        <w:adjustRightInd w:val="0"/>
        <w:spacing w:line="360" w:lineRule="auto"/>
        <w:ind w:firstLine="420" w:firstLineChars="200"/>
        <w:jc w:val="left"/>
        <w:rPr>
          <w:color w:val="auto"/>
          <w:highlight w:val="none"/>
          <w:u w:val="single"/>
        </w:rPr>
      </w:pPr>
      <w:r>
        <w:rPr>
          <w:rFonts w:hAnsi="宋体"/>
          <w:color w:val="auto"/>
          <w:highlight w:val="none"/>
          <w:u w:val="single"/>
        </w:rPr>
        <w:t xml:space="preserve">                                                                               </w:t>
      </w:r>
    </w:p>
    <w:p w14:paraId="1131C603">
      <w:pPr>
        <w:autoSpaceDE w:val="0"/>
        <w:autoSpaceDN w:val="0"/>
        <w:adjustRightInd w:val="0"/>
        <w:spacing w:line="360" w:lineRule="auto"/>
        <w:ind w:firstLine="420" w:firstLineChars="200"/>
        <w:jc w:val="left"/>
        <w:rPr>
          <w:color w:val="auto"/>
          <w:highlight w:val="none"/>
          <w:u w:val="single"/>
        </w:rPr>
      </w:pPr>
      <w:r>
        <w:rPr>
          <w:rFonts w:hAnsi="宋体"/>
          <w:color w:val="auto"/>
          <w:highlight w:val="none"/>
          <w:u w:val="single"/>
        </w:rPr>
        <w:t xml:space="preserve">                                                                               </w:t>
      </w:r>
    </w:p>
    <w:p w14:paraId="162E4E18">
      <w:pPr>
        <w:autoSpaceDE w:val="0"/>
        <w:autoSpaceDN w:val="0"/>
        <w:adjustRightInd w:val="0"/>
        <w:spacing w:line="360" w:lineRule="auto"/>
        <w:ind w:firstLine="420" w:firstLineChars="200"/>
        <w:jc w:val="left"/>
        <w:rPr>
          <w:color w:val="auto"/>
          <w:highlight w:val="none"/>
        </w:rPr>
      </w:pPr>
      <w:r>
        <w:rPr>
          <w:rFonts w:hAnsi="宋体"/>
          <w:color w:val="auto"/>
          <w:highlight w:val="none"/>
          <w:u w:val="single"/>
        </w:rPr>
        <w:t xml:space="preserve">                                                                           </w:t>
      </w:r>
      <w:r>
        <w:rPr>
          <w:color w:val="auto"/>
          <w:highlight w:val="none"/>
        </w:rPr>
        <w:t xml:space="preserve">8.8.2 </w:t>
      </w:r>
      <w:r>
        <w:rPr>
          <w:rFonts w:hint="eastAsia" w:hAnsi="宋体" w:cs="宋体"/>
          <w:color w:val="auto"/>
          <w:highlight w:val="none"/>
        </w:rPr>
        <w:t>发包人提供的施工设备和临时设施</w:t>
      </w:r>
    </w:p>
    <w:p w14:paraId="7A4924AC">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w:t>
      </w:r>
      <w:r>
        <w:rPr>
          <w:color w:val="auto"/>
          <w:highlight w:val="none"/>
          <w:u w:val="single"/>
        </w:rPr>
        <w:t xml:space="preserve">                                         </w:t>
      </w:r>
      <w:r>
        <w:rPr>
          <w:rFonts w:hint="eastAsia" w:hAnsi="宋体" w:cs="宋体"/>
          <w:color w:val="auto"/>
          <w:highlight w:val="none"/>
        </w:rPr>
        <w:t>。</w:t>
      </w:r>
    </w:p>
    <w:p w14:paraId="0D29074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发包人提供的施工设备和临时设施的运行、维护、拆除、清运费用的承担人：</w:t>
      </w:r>
      <w:r>
        <w:rPr>
          <w:color w:val="auto"/>
          <w:highlight w:val="none"/>
          <w:u w:val="single"/>
        </w:rPr>
        <w:t xml:space="preserve">          </w:t>
      </w:r>
      <w:r>
        <w:rPr>
          <w:rFonts w:hint="eastAsia" w:hAnsi="宋体" w:cs="宋体"/>
          <w:color w:val="auto"/>
          <w:highlight w:val="none"/>
        </w:rPr>
        <w:t>。</w:t>
      </w:r>
    </w:p>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14:paraId="6198B864">
      <w:pPr>
        <w:pStyle w:val="3"/>
        <w:rPr>
          <w:color w:val="auto"/>
          <w:highlight w:val="none"/>
        </w:rPr>
      </w:pPr>
      <w:bookmarkStart w:id="1560" w:name="_Toc27203"/>
      <w:bookmarkStart w:id="1561" w:name="_Toc407135238"/>
      <w:bookmarkStart w:id="1562" w:name="_Toc389065302"/>
      <w:bookmarkStart w:id="1563" w:name="_Toc351203641"/>
      <w:bookmarkStart w:id="1564" w:name="_Toc78449824"/>
      <w:bookmarkStart w:id="1565" w:name="_Toc373478383"/>
      <w:bookmarkStart w:id="1566" w:name="_Toc373227736"/>
      <w:bookmarkStart w:id="1567" w:name="_Toc2039161841"/>
      <w:r>
        <w:rPr>
          <w:color w:val="auto"/>
          <w:highlight w:val="none"/>
        </w:rPr>
        <w:t>9</w:t>
      </w:r>
      <w:bookmarkEnd w:id="1523"/>
      <w:bookmarkEnd w:id="1524"/>
      <w:bookmarkEnd w:id="1525"/>
      <w:bookmarkStart w:id="1568" w:name="_Toc297123533"/>
      <w:bookmarkStart w:id="1569" w:name="_Toc312678021"/>
      <w:bookmarkStart w:id="1570" w:name="_Toc300934982"/>
      <w:bookmarkStart w:id="1571" w:name="_Toc312677495"/>
      <w:bookmarkStart w:id="1572" w:name="_Toc304295559"/>
      <w:bookmarkStart w:id="1573" w:name="_Toc297216192"/>
      <w:bookmarkStart w:id="1574" w:name="_Toc303539139"/>
      <w:bookmarkStart w:id="1575" w:name="_Toc296347172"/>
      <w:bookmarkStart w:id="1576" w:name="_Toc296944512"/>
      <w:bookmarkStart w:id="1577" w:name="_Toc267251427"/>
      <w:bookmarkStart w:id="1578" w:name="_Toc297048359"/>
      <w:bookmarkStart w:id="1579" w:name="_Toc292559378"/>
      <w:bookmarkStart w:id="1580" w:name="_Toc292559883"/>
      <w:bookmarkStart w:id="1581" w:name="_Toc297120473"/>
      <w:bookmarkStart w:id="1582" w:name="_Toc267251428"/>
      <w:bookmarkStart w:id="1583" w:name="_Toc296891213"/>
      <w:bookmarkStart w:id="1584" w:name="_Toc296891001"/>
      <w:bookmarkStart w:id="1585" w:name="_Toc296503173"/>
      <w:bookmarkStart w:id="1586" w:name="_Toc296346674"/>
      <w:r>
        <w:rPr>
          <w:color w:val="auto"/>
          <w:highlight w:val="none"/>
        </w:rPr>
        <w:t xml:space="preserve">. </w:t>
      </w:r>
      <w:r>
        <w:rPr>
          <w:rFonts w:hint="eastAsia" w:cs="黑体"/>
          <w:color w:val="auto"/>
          <w:highlight w:val="none"/>
        </w:rPr>
        <w:t>试验与检验</w:t>
      </w:r>
      <w:bookmarkEnd w:id="1560"/>
      <w:bookmarkEnd w:id="1561"/>
      <w:bookmarkEnd w:id="1562"/>
      <w:bookmarkEnd w:id="1563"/>
      <w:bookmarkEnd w:id="1564"/>
      <w:bookmarkEnd w:id="1565"/>
      <w:bookmarkEnd w:id="1566"/>
      <w:bookmarkEnd w:id="1567"/>
    </w:p>
    <w:bookmarkEnd w:id="1568"/>
    <w:bookmarkEnd w:id="1569"/>
    <w:bookmarkEnd w:id="1570"/>
    <w:bookmarkEnd w:id="1571"/>
    <w:bookmarkEnd w:id="1572"/>
    <w:bookmarkEnd w:id="1573"/>
    <w:bookmarkEnd w:id="1574"/>
    <w:p w14:paraId="35B83539">
      <w:pPr>
        <w:pStyle w:val="4"/>
        <w:rPr>
          <w:color w:val="auto"/>
          <w:highlight w:val="none"/>
        </w:rPr>
      </w:pPr>
      <w:bookmarkStart w:id="1587" w:name="_Toc373227737"/>
      <w:bookmarkStart w:id="1588" w:name="_Toc21547"/>
      <w:bookmarkStart w:id="1589" w:name="_Toc1307315193"/>
      <w:bookmarkStart w:id="1590" w:name="_Toc9671"/>
      <w:bookmarkStart w:id="1591" w:name="_Toc78449825"/>
      <w:bookmarkStart w:id="1592" w:name="_Toc389065303"/>
      <w:bookmarkStart w:id="1593" w:name="_Toc407135239"/>
      <w:bookmarkStart w:id="1594" w:name="_Toc373478384"/>
      <w:r>
        <w:rPr>
          <w:color w:val="auto"/>
          <w:highlight w:val="none"/>
        </w:rPr>
        <w:t>9</w:t>
      </w:r>
      <w:bookmarkStart w:id="1595" w:name="_Toc303539140"/>
      <w:bookmarkStart w:id="1596" w:name="_Toc297216193"/>
      <w:bookmarkStart w:id="1597" w:name="_Toc312677496"/>
      <w:bookmarkStart w:id="1598" w:name="_Toc297123534"/>
      <w:bookmarkStart w:id="1599" w:name="_Toc312678022"/>
      <w:bookmarkStart w:id="1600" w:name="_Toc300934983"/>
      <w:bookmarkStart w:id="1601" w:name="_Toc304295560"/>
      <w:r>
        <w:rPr>
          <w:color w:val="auto"/>
          <w:highlight w:val="none"/>
        </w:rPr>
        <w:t xml:space="preserve">.1 </w:t>
      </w:r>
      <w:r>
        <w:rPr>
          <w:rFonts w:hint="eastAsia" w:cs="黑体"/>
          <w:color w:val="auto"/>
          <w:highlight w:val="none"/>
        </w:rPr>
        <w:t>试验设备与试验人员</w:t>
      </w:r>
      <w:bookmarkEnd w:id="1587"/>
      <w:bookmarkEnd w:id="1588"/>
      <w:bookmarkEnd w:id="1589"/>
      <w:bookmarkEnd w:id="1590"/>
      <w:bookmarkEnd w:id="1591"/>
      <w:bookmarkEnd w:id="1592"/>
      <w:bookmarkEnd w:id="1593"/>
      <w:bookmarkEnd w:id="1594"/>
    </w:p>
    <w:bookmarkEnd w:id="1595"/>
    <w:bookmarkEnd w:id="1596"/>
    <w:bookmarkEnd w:id="1597"/>
    <w:bookmarkEnd w:id="1598"/>
    <w:bookmarkEnd w:id="1599"/>
    <w:bookmarkEnd w:id="1600"/>
    <w:bookmarkEnd w:id="1601"/>
    <w:p w14:paraId="23FAD3F5">
      <w:pPr>
        <w:spacing w:line="360" w:lineRule="auto"/>
        <w:ind w:firstLine="420" w:firstLineChars="200"/>
        <w:jc w:val="left"/>
        <w:rPr>
          <w:color w:val="auto"/>
          <w:highlight w:val="none"/>
        </w:rPr>
      </w:pPr>
      <w:r>
        <w:rPr>
          <w:color w:val="auto"/>
          <w:highlight w:val="none"/>
        </w:rPr>
        <w:t>9</w:t>
      </w:r>
      <w:bookmarkStart w:id="1602" w:name="_Toc297123535"/>
      <w:bookmarkStart w:id="1603" w:name="_Toc304295561"/>
      <w:bookmarkStart w:id="1604" w:name="_Toc297216194"/>
      <w:bookmarkStart w:id="1605" w:name="_Toc312677497"/>
      <w:bookmarkStart w:id="1606" w:name="_Toc312678023"/>
      <w:bookmarkStart w:id="1607" w:name="_Toc303539141"/>
      <w:bookmarkStart w:id="1608" w:name="_Toc300934984"/>
      <w:bookmarkStart w:id="1609" w:name="_Toc318581174"/>
      <w:r>
        <w:rPr>
          <w:color w:val="auto"/>
          <w:highlight w:val="none"/>
        </w:rPr>
        <w:t xml:space="preserve">.1.2 </w:t>
      </w:r>
      <w:r>
        <w:rPr>
          <w:rFonts w:hint="eastAsia" w:hAnsi="宋体" w:cs="宋体"/>
          <w:color w:val="auto"/>
          <w:highlight w:val="none"/>
        </w:rPr>
        <w:t>试验设备</w:t>
      </w:r>
    </w:p>
    <w:p w14:paraId="65D66D13">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1602"/>
      <w:bookmarkEnd w:id="1603"/>
      <w:bookmarkEnd w:id="1604"/>
      <w:bookmarkEnd w:id="1605"/>
      <w:bookmarkEnd w:id="1606"/>
      <w:bookmarkEnd w:id="1607"/>
      <w:bookmarkEnd w:id="1608"/>
      <w:bookmarkStart w:id="1610" w:name="_Toc312678024"/>
      <w:bookmarkStart w:id="1611" w:name="_Toc304295562"/>
      <w:bookmarkStart w:id="1612" w:name="_Toc303539142"/>
      <w:bookmarkStart w:id="1613" w:name="_Toc312677498"/>
      <w:bookmarkStart w:id="1614" w:name="_Toc300934985"/>
      <w:bookmarkStart w:id="1615" w:name="_Toc297216195"/>
      <w:bookmarkStart w:id="1616" w:name="_Toc297123536"/>
      <w:r>
        <w:rPr>
          <w:color w:val="auto"/>
          <w:highlight w:val="none"/>
          <w:u w:val="single"/>
        </w:rPr>
        <w:t xml:space="preserve">                           </w:t>
      </w:r>
      <w:r>
        <w:rPr>
          <w:rFonts w:hint="eastAsia" w:hAnsi="宋体" w:cs="宋体"/>
          <w:color w:val="auto"/>
          <w:highlight w:val="none"/>
        </w:rPr>
        <w:t>。</w:t>
      </w:r>
    </w:p>
    <w:p w14:paraId="1C07DD29">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hAnsi="宋体" w:cs="宋体"/>
          <w:color w:val="auto"/>
          <w:highlight w:val="none"/>
        </w:rPr>
        <w:t>。</w:t>
      </w:r>
    </w:p>
    <w:p w14:paraId="298FDDC3">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hAnsi="宋体" w:cs="宋体"/>
          <w:color w:val="auto"/>
          <w:highlight w:val="none"/>
        </w:rPr>
        <w:t>。</w:t>
      </w:r>
    </w:p>
    <w:p w14:paraId="785F647F">
      <w:pPr>
        <w:pStyle w:val="4"/>
        <w:rPr>
          <w:color w:val="auto"/>
          <w:highlight w:val="none"/>
        </w:rPr>
      </w:pPr>
      <w:bookmarkStart w:id="1617" w:name="_Toc389065304"/>
      <w:bookmarkStart w:id="1618" w:name="_Toc23780"/>
      <w:bookmarkStart w:id="1619" w:name="_Toc78449826"/>
      <w:bookmarkStart w:id="1620" w:name="_Toc373227738"/>
      <w:bookmarkStart w:id="1621" w:name="_Toc407135240"/>
      <w:bookmarkStart w:id="1622" w:name="_Toc373478385"/>
      <w:bookmarkStart w:id="1623" w:name="_Toc2012255079"/>
      <w:bookmarkStart w:id="1624" w:name="_Toc14975"/>
      <w:r>
        <w:rPr>
          <w:color w:val="auto"/>
          <w:highlight w:val="none"/>
        </w:rPr>
        <w:t xml:space="preserve">9.4 </w:t>
      </w:r>
      <w:r>
        <w:rPr>
          <w:rFonts w:hint="eastAsia" w:hAnsi="宋体" w:cs="黑体"/>
          <w:color w:val="auto"/>
          <w:highlight w:val="none"/>
        </w:rPr>
        <w:t>现场工艺试验</w:t>
      </w:r>
      <w:bookmarkEnd w:id="1617"/>
      <w:bookmarkEnd w:id="1618"/>
      <w:bookmarkEnd w:id="1619"/>
      <w:bookmarkEnd w:id="1620"/>
      <w:bookmarkEnd w:id="1621"/>
      <w:bookmarkEnd w:id="1622"/>
      <w:bookmarkEnd w:id="1623"/>
      <w:bookmarkEnd w:id="1624"/>
      <w:r>
        <w:rPr>
          <w:color w:val="auto"/>
          <w:highlight w:val="none"/>
        </w:rPr>
        <w:t xml:space="preserve"> </w:t>
      </w:r>
    </w:p>
    <w:p w14:paraId="1C54966E">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hAnsi="宋体" w:cs="宋体"/>
          <w:color w:val="auto"/>
          <w:highlight w:val="none"/>
        </w:rPr>
        <w:t>。</w:t>
      </w:r>
    </w:p>
    <w:p w14:paraId="3FCA9034">
      <w:pPr>
        <w:pStyle w:val="4"/>
        <w:rPr>
          <w:color w:val="auto"/>
          <w:highlight w:val="none"/>
        </w:rPr>
      </w:pPr>
      <w:bookmarkStart w:id="1625" w:name="_Toc9920"/>
      <w:bookmarkStart w:id="1626" w:name="_Toc13096"/>
      <w:bookmarkStart w:id="1627" w:name="_Toc407135241"/>
      <w:bookmarkStart w:id="1628" w:name="_Toc78449827"/>
      <w:bookmarkStart w:id="1629" w:name="_Toc393419678"/>
      <w:bookmarkStart w:id="1630" w:name="OLE_LINK1"/>
      <w:r>
        <w:rPr>
          <w:color w:val="auto"/>
          <w:highlight w:val="none"/>
        </w:rPr>
        <w:t xml:space="preserve">9.5 </w:t>
      </w:r>
      <w:r>
        <w:rPr>
          <w:rFonts w:hint="eastAsia" w:hAnsi="宋体" w:cs="黑体"/>
          <w:color w:val="auto"/>
          <w:highlight w:val="none"/>
        </w:rPr>
        <w:t>检验费用</w:t>
      </w:r>
      <w:bookmarkEnd w:id="1625"/>
      <w:bookmarkEnd w:id="1626"/>
      <w:bookmarkEnd w:id="1627"/>
      <w:bookmarkEnd w:id="1628"/>
      <w:bookmarkEnd w:id="1629"/>
    </w:p>
    <w:p w14:paraId="003F40D9">
      <w:pPr>
        <w:spacing w:line="360" w:lineRule="auto"/>
        <w:ind w:firstLine="411" w:firstLineChars="196"/>
        <w:rPr>
          <w:color w:val="auto"/>
          <w:highlight w:val="none"/>
        </w:rPr>
      </w:pPr>
      <w:r>
        <w:rPr>
          <w:rFonts w:hint="eastAsia" w:hAnsi="宋体" w:cs="宋体"/>
          <w:color w:val="auto"/>
          <w:highlight w:val="none"/>
        </w:rPr>
        <w:t>根据《建设工程质量检测管理办法》（住房和城乡建设部令第57号）以及《广西壮族自治区建设工程质量检测管理规定》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1609"/>
    <w:bookmarkEnd w:id="1610"/>
    <w:bookmarkEnd w:id="1611"/>
    <w:bookmarkEnd w:id="1612"/>
    <w:bookmarkEnd w:id="1613"/>
    <w:bookmarkEnd w:id="1614"/>
    <w:bookmarkEnd w:id="1615"/>
    <w:bookmarkEnd w:id="1616"/>
    <w:bookmarkEnd w:id="1630"/>
    <w:p w14:paraId="08B9AE7E">
      <w:pPr>
        <w:pStyle w:val="3"/>
        <w:rPr>
          <w:color w:val="auto"/>
          <w:highlight w:val="none"/>
        </w:rPr>
      </w:pPr>
      <w:bookmarkStart w:id="1631" w:name="_Toc603662032"/>
      <w:bookmarkStart w:id="1632" w:name="_Toc351203642"/>
      <w:bookmarkStart w:id="1633" w:name="_Toc373227739"/>
      <w:bookmarkStart w:id="1634" w:name="_Toc78449828"/>
      <w:bookmarkStart w:id="1635" w:name="_Toc407135242"/>
      <w:bookmarkStart w:id="1636" w:name="_Toc389065305"/>
      <w:bookmarkStart w:id="1637" w:name="_Toc373478386"/>
      <w:bookmarkStart w:id="1638" w:name="_Toc8753"/>
      <w:r>
        <w:rPr>
          <w:color w:val="auto"/>
          <w:highlight w:val="none"/>
        </w:rPr>
        <w:t>1</w:t>
      </w:r>
      <w:bookmarkEnd w:id="1575"/>
      <w:bookmarkEnd w:id="1576"/>
      <w:bookmarkEnd w:id="1577"/>
      <w:bookmarkEnd w:id="1578"/>
      <w:bookmarkEnd w:id="1579"/>
      <w:bookmarkEnd w:id="1580"/>
      <w:bookmarkEnd w:id="1581"/>
      <w:bookmarkEnd w:id="1582"/>
      <w:bookmarkEnd w:id="1583"/>
      <w:bookmarkEnd w:id="1584"/>
      <w:bookmarkEnd w:id="1585"/>
      <w:bookmarkEnd w:id="1586"/>
      <w:bookmarkStart w:id="1639" w:name="_Toc292559903"/>
      <w:bookmarkStart w:id="1640" w:name="_Toc297120493"/>
      <w:bookmarkStart w:id="1641" w:name="_Toc292559398"/>
      <w:bookmarkStart w:id="1642" w:name="_Toc297216199"/>
      <w:bookmarkStart w:id="1643" w:name="_Toc297123540"/>
      <w:bookmarkStart w:id="1644" w:name="_Toc296891233"/>
      <w:bookmarkStart w:id="1645" w:name="_Toc296347192"/>
      <w:bookmarkStart w:id="1646" w:name="_Toc296503193"/>
      <w:bookmarkStart w:id="1647" w:name="_Toc304295566"/>
      <w:bookmarkStart w:id="1648" w:name="_Toc297048379"/>
      <w:bookmarkStart w:id="1649" w:name="_Toc303539146"/>
      <w:bookmarkStart w:id="1650" w:name="_Toc296944532"/>
      <w:bookmarkStart w:id="1651" w:name="_Toc296346694"/>
      <w:bookmarkStart w:id="1652" w:name="_Toc300934989"/>
      <w:bookmarkStart w:id="1653" w:name="_Toc296891021"/>
      <w:bookmarkStart w:id="1654" w:name="_Toc312678025"/>
      <w:bookmarkStart w:id="1655" w:name="_Toc312677499"/>
      <w:bookmarkStart w:id="1656" w:name="_Toc267251437"/>
      <w:bookmarkStart w:id="1657" w:name="_Toc267251441"/>
      <w:bookmarkStart w:id="1658" w:name="_Toc267251433"/>
      <w:bookmarkStart w:id="1659" w:name="_Toc267251440"/>
      <w:bookmarkStart w:id="1660" w:name="_Toc267251439"/>
      <w:bookmarkStart w:id="1661" w:name="_Toc267251435"/>
      <w:bookmarkStart w:id="1662" w:name="_Toc267251442"/>
      <w:r>
        <w:rPr>
          <w:color w:val="auto"/>
          <w:highlight w:val="none"/>
        </w:rPr>
        <w:t xml:space="preserve">0. </w:t>
      </w:r>
      <w:r>
        <w:rPr>
          <w:rFonts w:hint="eastAsia" w:hAnsi="宋体" w:cs="黑体"/>
          <w:color w:val="auto"/>
          <w:highlight w:val="none"/>
        </w:rPr>
        <w:t>变更</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bookmarkEnd w:id="1654"/>
    <w:bookmarkEnd w:id="1655"/>
    <w:p w14:paraId="403ACFF5">
      <w:pPr>
        <w:pStyle w:val="4"/>
        <w:rPr>
          <w:color w:val="auto"/>
          <w:highlight w:val="none"/>
        </w:rPr>
      </w:pPr>
      <w:bookmarkStart w:id="1663" w:name="_Toc407135243"/>
      <w:bookmarkStart w:id="1664" w:name="_Toc78449829"/>
      <w:bookmarkStart w:id="1665" w:name="_Toc7595"/>
      <w:bookmarkStart w:id="1666" w:name="_Toc28913"/>
      <w:bookmarkStart w:id="1667" w:name="_Toc389065306"/>
      <w:bookmarkStart w:id="1668" w:name="_Toc373227740"/>
      <w:bookmarkStart w:id="1669" w:name="_Toc373478387"/>
      <w:bookmarkStart w:id="1670" w:name="_Toc1890371558"/>
      <w:r>
        <w:rPr>
          <w:color w:val="auto"/>
          <w:highlight w:val="none"/>
        </w:rPr>
        <w:t>1</w:t>
      </w:r>
      <w:bookmarkStart w:id="1671" w:name="_Toc296347193"/>
      <w:bookmarkStart w:id="1672" w:name="_Toc297120494"/>
      <w:bookmarkStart w:id="1673" w:name="_Toc303539147"/>
      <w:bookmarkStart w:id="1674" w:name="_Toc297123541"/>
      <w:bookmarkStart w:id="1675" w:name="_Toc296891234"/>
      <w:bookmarkStart w:id="1676" w:name="_Toc297048380"/>
      <w:bookmarkStart w:id="1677" w:name="_Toc300934990"/>
      <w:bookmarkStart w:id="1678" w:name="_Toc292559399"/>
      <w:bookmarkStart w:id="1679" w:name="_Toc292559904"/>
      <w:bookmarkStart w:id="1680" w:name="_Toc312678026"/>
      <w:bookmarkStart w:id="1681" w:name="_Toc297216200"/>
      <w:bookmarkStart w:id="1682" w:name="_Toc296503194"/>
      <w:bookmarkStart w:id="1683" w:name="_Toc296944533"/>
      <w:bookmarkStart w:id="1684" w:name="_Toc296346695"/>
      <w:bookmarkStart w:id="1685" w:name="_Toc296891022"/>
      <w:bookmarkStart w:id="1686" w:name="_Toc312677500"/>
      <w:bookmarkStart w:id="1687" w:name="_Toc304295567"/>
      <w:r>
        <w:rPr>
          <w:color w:val="auto"/>
          <w:highlight w:val="none"/>
        </w:rPr>
        <w:t xml:space="preserve">0.1 </w:t>
      </w:r>
      <w:r>
        <w:rPr>
          <w:rFonts w:hint="eastAsia" w:hAnsi="宋体" w:cs="黑体"/>
          <w:color w:val="auto"/>
          <w:highlight w:val="none"/>
        </w:rPr>
        <w:t>变更的范围</w:t>
      </w:r>
      <w:bookmarkEnd w:id="1663"/>
      <w:bookmarkEnd w:id="1664"/>
      <w:bookmarkEnd w:id="1665"/>
      <w:bookmarkEnd w:id="1666"/>
      <w:bookmarkEnd w:id="1667"/>
      <w:bookmarkEnd w:id="1668"/>
      <w:bookmarkEnd w:id="1669"/>
      <w:bookmarkEnd w:id="1670"/>
    </w:p>
    <w:p w14:paraId="57319D31">
      <w:pPr>
        <w:spacing w:line="360" w:lineRule="auto"/>
        <w:ind w:firstLine="426"/>
        <w:jc w:val="left"/>
        <w:rPr>
          <w:color w:val="auto"/>
          <w:highlight w:val="none"/>
        </w:rPr>
      </w:pPr>
      <w:r>
        <w:rPr>
          <w:rFonts w:hint="eastAsia" w:hAnsi="宋体" w:cs="宋体"/>
          <w:color w:val="auto"/>
          <w:highlight w:val="none"/>
        </w:rPr>
        <w:t>关于变更的范围的约定：</w:t>
      </w:r>
      <w:r>
        <w:rPr>
          <w:rFonts w:hint="eastAsia" w:ascii="宋体" w:hAnsi="宋体" w:eastAsia="宋体" w:cs="宋体"/>
          <w:color w:val="auto"/>
          <w:highlight w:val="none"/>
          <w:lang w:val="zh-TW" w:eastAsia="zh-TW"/>
        </w:rPr>
        <w:t>经发包人批准的对合同工程工作内容、合同图纸、合同规范、位置与尺寸、施工顺序与时间、施工条件、合同条款或其他特征等的改变。包括对合同工程的增加、减少、取消、替代和使用材料等的改变。</w:t>
      </w:r>
    </w:p>
    <w:p w14:paraId="2FFFFB8E">
      <w:pPr>
        <w:pStyle w:val="4"/>
        <w:rPr>
          <w:color w:val="auto"/>
          <w:highlight w:val="none"/>
        </w:rPr>
      </w:pPr>
      <w:bookmarkStart w:id="1688" w:name="_Toc373227741"/>
      <w:bookmarkStart w:id="1689" w:name="_Toc28657"/>
      <w:bookmarkStart w:id="1690" w:name="_Toc407135244"/>
      <w:bookmarkStart w:id="1691" w:name="_Toc31852"/>
      <w:bookmarkStart w:id="1692" w:name="_Toc389065307"/>
      <w:bookmarkStart w:id="1693" w:name="_Toc373478388"/>
      <w:bookmarkStart w:id="1694" w:name="_Toc78449830"/>
      <w:bookmarkStart w:id="1695" w:name="_Toc450749207"/>
      <w:r>
        <w:rPr>
          <w:color w:val="auto"/>
          <w:highlight w:val="none"/>
        </w:rPr>
        <w:t xml:space="preserve">10.3 </w:t>
      </w:r>
      <w:r>
        <w:rPr>
          <w:rFonts w:hint="eastAsia" w:hAnsi="宋体" w:cs="黑体"/>
          <w:color w:val="auto"/>
          <w:highlight w:val="none"/>
        </w:rPr>
        <w:t>变更程序</w:t>
      </w:r>
      <w:bookmarkEnd w:id="1688"/>
      <w:bookmarkEnd w:id="1689"/>
      <w:bookmarkEnd w:id="1690"/>
      <w:bookmarkEnd w:id="1691"/>
      <w:bookmarkEnd w:id="1692"/>
      <w:bookmarkEnd w:id="1693"/>
      <w:bookmarkEnd w:id="1694"/>
      <w:bookmarkEnd w:id="1695"/>
    </w:p>
    <w:p w14:paraId="18AA5C61">
      <w:pPr>
        <w:pStyle w:val="21"/>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4A84874D">
      <w:pPr>
        <w:pStyle w:val="21"/>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w:t>
      </w:r>
      <w:r>
        <w:rPr>
          <w:rFonts w:hint="eastAsia" w:ascii="Times New Roman" w:hAnsi="宋体"/>
          <w:bCs/>
          <w:color w:val="auto"/>
          <w:sz w:val="21"/>
          <w:szCs w:val="21"/>
          <w:highlight w:val="none"/>
          <w:lang w:val="en-US" w:eastAsia="zh-CN"/>
        </w:rPr>
        <w:t>零星</w:t>
      </w:r>
      <w:r>
        <w:rPr>
          <w:rFonts w:hint="eastAsia" w:ascii="Times New Roman" w:hAnsi="宋体"/>
          <w:bCs/>
          <w:color w:val="auto"/>
          <w:sz w:val="21"/>
          <w:szCs w:val="21"/>
          <w:highlight w:val="none"/>
        </w:rPr>
        <w:t>签证，按各市政府或相关部门的规定办理。属不可抗力（自然灾害、突发事件等）造成变更的，按特事特办原则予以办理。</w:t>
      </w:r>
    </w:p>
    <w:p w14:paraId="42318A24">
      <w:pPr>
        <w:pStyle w:val="21"/>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0D5A8464">
      <w:pPr>
        <w:pStyle w:val="21"/>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2DA4A739">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rPr>
        <w:t xml:space="preserve"> </w:t>
      </w:r>
    </w:p>
    <w:p w14:paraId="7B48E914">
      <w:pPr>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p w14:paraId="0251C4B0">
      <w:pPr>
        <w:pStyle w:val="4"/>
        <w:rPr>
          <w:color w:val="auto"/>
          <w:highlight w:val="none"/>
        </w:rPr>
      </w:pPr>
      <w:bookmarkStart w:id="1696" w:name="_Toc389065308"/>
      <w:bookmarkStart w:id="1697" w:name="_Toc1645711468"/>
      <w:bookmarkStart w:id="1698" w:name="_Toc407135245"/>
      <w:bookmarkStart w:id="1699" w:name="_Toc78449831"/>
      <w:bookmarkStart w:id="1700" w:name="_Toc373478389"/>
      <w:bookmarkStart w:id="1701" w:name="_Toc3998"/>
      <w:bookmarkStart w:id="1702" w:name="_Toc508"/>
      <w:bookmarkStart w:id="1703" w:name="_Toc373227742"/>
      <w:r>
        <w:rPr>
          <w:color w:val="auto"/>
          <w:highlight w:val="none"/>
        </w:rPr>
        <w:t xml:space="preserve">10.4 </w:t>
      </w:r>
      <w:r>
        <w:rPr>
          <w:rFonts w:hint="eastAsia" w:hAnsi="宋体" w:cs="黑体"/>
          <w:color w:val="auto"/>
          <w:highlight w:val="none"/>
        </w:rPr>
        <w:t>变更估价</w:t>
      </w:r>
      <w:bookmarkEnd w:id="1696"/>
      <w:bookmarkEnd w:id="1697"/>
      <w:bookmarkEnd w:id="1698"/>
      <w:bookmarkEnd w:id="1699"/>
      <w:bookmarkEnd w:id="1700"/>
      <w:bookmarkEnd w:id="1701"/>
      <w:bookmarkEnd w:id="1702"/>
      <w:bookmarkEnd w:id="1703"/>
    </w:p>
    <w:p w14:paraId="5777554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.1 因工程变更引起分部分项工程项目清单的清单项目增加或减少的，按以下确定综合单价，调整合同价格：</w:t>
      </w:r>
    </w:p>
    <w:p w14:paraId="574F4A7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（1）相同施工条件下实施相同项目特征的清单项目</w:t>
      </w:r>
      <w:r>
        <w:rPr>
          <w:rFonts w:hint="eastAsia" w:hAnsi="宋体" w:cs="宋体"/>
          <w:color w:val="auto"/>
          <w:kern w:val="0"/>
          <w:highlight w:val="none"/>
          <w:lang w:eastAsia="zh-CN"/>
        </w:rPr>
        <w:t>合同单价调整按照</w:t>
      </w:r>
      <w:r>
        <w:rPr>
          <w:rFonts w:hint="eastAsia" w:hAnsi="宋体" w:cs="宋体"/>
          <w:color w:val="auto"/>
          <w:kern w:val="0"/>
          <w:highlight w:val="none"/>
          <w:lang w:val="en-US" w:eastAsia="zh-CN"/>
        </w:rPr>
        <w:t>1.13约定执行。</w:t>
      </w:r>
    </w:p>
    <w:p w14:paraId="3FCE385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（2）相同施工条件下实施类似项目特征的清单项目或类似施工条件下实施相同项目特征的清单项目，采用类似清单项目的合同单价换算调整后的综合单价；</w:t>
      </w:r>
    </w:p>
    <w:p w14:paraId="116E3E2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（3）相同施工条件下实施不同项目特征的清单项目或不同施工条件下实施相同项目特征的清单项目，依据工程实施情况，结合类似项目的合同单价计价规则及报价水平，由发承包双方协商确定合理的综合单价；</w:t>
      </w:r>
    </w:p>
    <w:p w14:paraId="45E6BA1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（4）不同施工条件下实施不同项目特征的清单项目，依据工程实施情况，结合同类工程类似清单项目的综合单价，由发承包双方协商确定市场合理的综合单价；</w:t>
      </w:r>
    </w:p>
    <w:p w14:paraId="64CF4E5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（5）因减少或取消清单项目的工程变更显著改变了实施中的工程施工条件，由发承包双方根据实施工程的具体情况、市场价格、合同单价计价规则及报价水平协商确定工程变更的综合单价。</w:t>
      </w:r>
    </w:p>
    <w:p w14:paraId="633C0CF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（6）发包人提供的材料变更为承包人负责采购的，相应分部分项工程项目清单变更后的综合单价按下式计算：综合单价=合同单价+已确认材料价格×(1+损耗率</w:t>
      </w:r>
      <w:r>
        <w:rPr>
          <w:rFonts w:hint="eastAsia" w:hAnsi="宋体" w:cs="宋体"/>
          <w:color w:val="auto"/>
          <w:kern w:val="0"/>
          <w:highlight w:val="none"/>
          <w:lang w:eastAsia="zh-CN"/>
        </w:rPr>
        <w:t>）</w:t>
      </w:r>
      <w:r>
        <w:rPr>
          <w:rFonts w:hint="eastAsia" w:hAnsi="宋体" w:cs="宋体"/>
          <w:color w:val="auto"/>
          <w:kern w:val="0"/>
          <w:highlight w:val="none"/>
        </w:rPr>
        <w:t>×（1+增值税税率）</w:t>
      </w:r>
    </w:p>
    <w:p w14:paraId="33D769C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（7）承包人提供的材料变更为发包人提供的，相关合同清单项目综合单价中包含的材料费、增值税等应予扣除，综合单价中所含的其他费用不作调整，扣除后的清单项目单价应为该清单项目的安装综合单价。</w:t>
      </w:r>
    </w:p>
    <w:p w14:paraId="7016DAC2">
      <w:pPr>
        <w:spacing w:line="360" w:lineRule="auto"/>
        <w:ind w:firstLine="0" w:firstLineChars="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2</w:t>
      </w:r>
      <w:r>
        <w:rPr>
          <w:rFonts w:hint="eastAsia" w:hAnsi="宋体" w:cs="宋体"/>
          <w:color w:val="auto"/>
          <w:kern w:val="0"/>
          <w:highlight w:val="none"/>
        </w:rPr>
        <w:t xml:space="preserve"> </w:t>
      </w:r>
      <w:r>
        <w:rPr>
          <w:rFonts w:hint="eastAsia" w:hAnsi="宋体" w:cs="宋体"/>
          <w:color w:val="auto"/>
          <w:kern w:val="0"/>
          <w:highlight w:val="none"/>
          <w:lang w:eastAsia="zh-CN"/>
        </w:rPr>
        <w:t>因</w:t>
      </w:r>
      <w:r>
        <w:rPr>
          <w:rFonts w:hint="eastAsia" w:hAnsi="宋体" w:cs="宋体"/>
          <w:color w:val="auto"/>
          <w:kern w:val="0"/>
          <w:highlight w:val="none"/>
        </w:rPr>
        <w:t>工程变更或发包人责任事件引起合同工期实质性延长或缩短的，按以下公式计算合同工期影响的措施项目调增（减）价格：</w:t>
      </w:r>
    </w:p>
    <w:p w14:paraId="1D80B1E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措施项目调增（减）价格＝延长（缩短）工期×措施项目中期运行费用/合同工期</w:t>
      </w:r>
    </w:p>
    <w:p w14:paraId="2243F64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措施项目中期运行费用——按本合同《措施项目费用分拆表》计算合同清单中所有受影响措施项目的中期运行费用。</w:t>
      </w:r>
    </w:p>
    <w:p w14:paraId="7242204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3</w:t>
      </w:r>
      <w:r>
        <w:rPr>
          <w:rFonts w:hint="eastAsia" w:hAnsi="宋体" w:cs="宋体"/>
          <w:color w:val="auto"/>
          <w:kern w:val="0"/>
          <w:highlight w:val="none"/>
        </w:rPr>
        <w:t xml:space="preserve"> 为完成工程变更而需增加的额外措施项目费用应按以下约定计算：</w:t>
      </w:r>
    </w:p>
    <w:p w14:paraId="3E30DE5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完成工程变更所需增加设置的临时设施，按实际发生临时设施的类型、数量及使用时间进行计量，由发承包双方协商确定的合理价格进行计价。</w:t>
      </w:r>
    </w:p>
    <w:p w14:paraId="005FECB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工程变更涉及合同工程范围、工期、质量、合同规范等实质性内容变化并引起措施项目发生改变时，发承包双方的不利一方提出调整措施项目费的，应详细说明与原方案措施项目对比的变化情况，并按照本合同11.1的约定提出调整措施项目费。拟实施的方案经发承包双方确认后执行的，应按本合同第 11.5.3 条、第11.5.4条的约定调整措施项目费。</w:t>
      </w:r>
    </w:p>
    <w:p w14:paraId="3CD43DD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5</w:t>
      </w:r>
      <w:r>
        <w:rPr>
          <w:rFonts w:hint="eastAsia" w:hAnsi="宋体" w:cs="宋体"/>
          <w:color w:val="auto"/>
          <w:kern w:val="0"/>
          <w:highlight w:val="none"/>
        </w:rPr>
        <w:t xml:space="preserve"> 非承包人原因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24CED972">
      <w:pPr>
        <w:spacing w:line="360" w:lineRule="auto"/>
        <w:ind w:firstLine="420" w:firstLineChars="200"/>
        <w:jc w:val="left"/>
        <w:rPr>
          <w:rFonts w:hint="eastAsia" w:cs="宋体"/>
          <w:color w:val="auto"/>
          <w:highlight w:val="none"/>
          <w:u w:val="singl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6</w:t>
      </w:r>
      <w:r>
        <w:rPr>
          <w:rFonts w:hint="eastAsia" w:hAnsi="宋体" w:cs="宋体"/>
          <w:color w:val="auto"/>
          <w:kern w:val="0"/>
          <w:highlight w:val="none"/>
        </w:rPr>
        <w:t xml:space="preserve"> 完成合同签订的工程，承包人对合同图纸进行优化设计时，引发实际施工图纸改变合同图纸已明确的设计内容，按工程变更执行。承包人对合同图纸进行深化设计时仅进行细化、补充和完善，不改变合同图纸已明确的设计内容，合同价格不做调整</w:t>
      </w:r>
      <w:r>
        <w:rPr>
          <w:rFonts w:hint="eastAsia" w:hAnsi="宋体" w:cs="宋体"/>
          <w:color w:val="auto"/>
          <w:kern w:val="0"/>
          <w:highlight w:val="none"/>
          <w:lang w:eastAsia="zh-CN"/>
        </w:rPr>
        <w:t>.</w:t>
      </w:r>
      <w:r>
        <w:rPr>
          <w:rFonts w:hint="eastAsia" w:hAnsi="宋体" w:cs="宋体"/>
          <w:color w:val="auto"/>
          <w:kern w:val="0"/>
          <w:highlight w:val="none"/>
        </w:rPr>
        <w:t>若深化设计改变合同图纸已明确的设计内容的，引起合同价格增加的，不予调整，引起合同价格减少的，应予调整。</w:t>
      </w:r>
      <w:r>
        <w:rPr>
          <w:rFonts w:hint="eastAsia" w:cs="宋体"/>
          <w:color w:val="auto"/>
          <w:highlight w:val="none"/>
          <w:u w:val="single"/>
          <w:lang w:val="en-US" w:eastAsia="zh-CN"/>
        </w:rPr>
        <w:t>10.4.7</w:t>
      </w: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w:t>
      </w:r>
      <w:r>
        <w:rPr>
          <w:rFonts w:hint="eastAsia"/>
          <w:color w:val="auto"/>
          <w:highlight w:val="none"/>
          <w:u w:val="single"/>
          <w:lang w:val="en-US" w:eastAsia="zh-CN"/>
        </w:rPr>
        <w:t>.13</w:t>
      </w:r>
      <w:r>
        <w:rPr>
          <w:rFonts w:hint="eastAsia" w:cs="宋体"/>
          <w:color w:val="auto"/>
          <w:highlight w:val="none"/>
          <w:u w:val="single"/>
        </w:rPr>
        <w:t>工程量清单</w:t>
      </w:r>
      <w:r>
        <w:rPr>
          <w:rFonts w:hint="eastAsia" w:cs="宋体"/>
          <w:color w:val="auto"/>
          <w:highlight w:val="none"/>
          <w:u w:val="single"/>
          <w:lang w:eastAsia="zh-CN"/>
        </w:rPr>
        <w:t>缺陷引起的价格调整</w:t>
      </w:r>
      <w:r>
        <w:rPr>
          <w:rFonts w:hint="eastAsia" w:cs="宋体"/>
          <w:color w:val="auto"/>
          <w:highlight w:val="none"/>
          <w:u w:val="single"/>
        </w:rPr>
        <w:t>”执行。</w:t>
      </w:r>
    </w:p>
    <w:p w14:paraId="24372428">
      <w:pPr>
        <w:pStyle w:val="4"/>
        <w:rPr>
          <w:color w:val="auto"/>
          <w:highlight w:val="none"/>
        </w:rPr>
      </w:pPr>
      <w:bookmarkStart w:id="1704" w:name="_Toc2996"/>
      <w:bookmarkStart w:id="1705" w:name="_Toc389065309"/>
      <w:bookmarkStart w:id="1706" w:name="_Toc650800266"/>
      <w:bookmarkStart w:id="1707" w:name="_Toc407135246"/>
      <w:bookmarkStart w:id="1708" w:name="_Toc373478390"/>
      <w:bookmarkStart w:id="1709" w:name="_Toc27214"/>
      <w:bookmarkStart w:id="1710" w:name="_Toc78449832"/>
      <w:bookmarkStart w:id="1711" w:name="_Toc373227743"/>
      <w:r>
        <w:rPr>
          <w:color w:val="auto"/>
          <w:highlight w:val="none"/>
        </w:rPr>
        <w:t>1</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Start w:id="1712" w:name="_Toc296891025"/>
      <w:bookmarkStart w:id="1713" w:name="_Toc296944536"/>
      <w:bookmarkStart w:id="1714" w:name="_Toc297048383"/>
      <w:bookmarkStart w:id="1715" w:name="_Toc296347196"/>
      <w:bookmarkStart w:id="1716" w:name="_Toc296891237"/>
      <w:bookmarkStart w:id="1717" w:name="_Toc297123544"/>
      <w:bookmarkStart w:id="1718" w:name="_Toc296346698"/>
      <w:bookmarkStart w:id="1719" w:name="_Toc303539150"/>
      <w:bookmarkStart w:id="1720" w:name="_Toc297120497"/>
      <w:bookmarkStart w:id="1721" w:name="_Toc296503197"/>
      <w:bookmarkStart w:id="1722" w:name="_Toc300934993"/>
      <w:bookmarkStart w:id="1723" w:name="_Toc292559402"/>
      <w:bookmarkStart w:id="1724" w:name="_Toc297216203"/>
      <w:bookmarkStart w:id="1725" w:name="_Toc292559907"/>
      <w:bookmarkStart w:id="1726" w:name="_Toc312678029"/>
      <w:bookmarkStart w:id="1727" w:name="_Toc304295570"/>
      <w:bookmarkStart w:id="1728" w:name="_Toc312677503"/>
      <w:r>
        <w:rPr>
          <w:color w:val="auto"/>
          <w:highlight w:val="none"/>
        </w:rPr>
        <w:t xml:space="preserve">0.5 </w:t>
      </w:r>
      <w:r>
        <w:rPr>
          <w:rFonts w:hint="eastAsia" w:cs="黑体"/>
          <w:color w:val="auto"/>
          <w:highlight w:val="none"/>
        </w:rPr>
        <w:t>承</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Start w:id="1729" w:name="_Toc296944542"/>
      <w:bookmarkStart w:id="1730" w:name="_Toc292559913"/>
      <w:bookmarkStart w:id="1731" w:name="_Toc297048389"/>
      <w:bookmarkStart w:id="1732" w:name="_Toc296891031"/>
      <w:bookmarkStart w:id="1733" w:name="_Toc297120503"/>
      <w:bookmarkStart w:id="1734" w:name="_Toc296346704"/>
      <w:bookmarkStart w:id="1735" w:name="_Toc296347202"/>
      <w:bookmarkStart w:id="1736" w:name="_Toc292559408"/>
      <w:bookmarkStart w:id="1737" w:name="_Toc303539151"/>
      <w:bookmarkStart w:id="1738" w:name="_Toc297123545"/>
      <w:bookmarkStart w:id="1739" w:name="_Toc297216204"/>
      <w:bookmarkStart w:id="1740" w:name="_Toc296503203"/>
      <w:bookmarkStart w:id="1741" w:name="_Toc296891243"/>
      <w:bookmarkStart w:id="1742" w:name="_Toc300934994"/>
      <w:r>
        <w:rPr>
          <w:rFonts w:hint="eastAsia" w:cs="黑体"/>
          <w:color w:val="auto"/>
          <w:highlight w:val="none"/>
        </w:rPr>
        <w:t>包人的合理化建议</w:t>
      </w:r>
      <w:bookmarkEnd w:id="1704"/>
      <w:bookmarkEnd w:id="1705"/>
      <w:bookmarkEnd w:id="1706"/>
      <w:bookmarkEnd w:id="1707"/>
      <w:bookmarkEnd w:id="1708"/>
      <w:bookmarkEnd w:id="1709"/>
      <w:bookmarkEnd w:id="1710"/>
      <w:bookmarkEnd w:id="1711"/>
    </w:p>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14:paraId="39DFDE8A">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hAnsi="宋体" w:cs="宋体"/>
          <w:color w:val="auto"/>
          <w:highlight w:val="none"/>
        </w:rPr>
        <w:t>。</w:t>
      </w:r>
    </w:p>
    <w:p w14:paraId="09777E2D">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color w:val="auto"/>
          <w:highlight w:val="none"/>
          <w:u w:val="single"/>
        </w:rPr>
        <w:t xml:space="preserve">                    </w:t>
      </w:r>
      <w:r>
        <w:rPr>
          <w:rFonts w:hint="eastAsia" w:hAnsi="宋体" w:cs="宋体"/>
          <w:color w:val="auto"/>
          <w:highlight w:val="none"/>
        </w:rPr>
        <w:t>。</w:t>
      </w:r>
    </w:p>
    <w:p w14:paraId="722435CE">
      <w:pPr>
        <w:spacing w:line="360" w:lineRule="auto"/>
        <w:ind w:firstLine="420" w:firstLineChars="200"/>
        <w:jc w:val="left"/>
        <w:rPr>
          <w:color w:val="auto"/>
          <w:highlight w:val="none"/>
          <w:u w:val="single"/>
        </w:rPr>
      </w:pPr>
      <w:r>
        <w:rPr>
          <w:rFonts w:hint="eastAsia" w:hAnsi="宋体" w:cs="宋体"/>
          <w:color w:val="auto"/>
          <w:highlight w:val="none"/>
        </w:rPr>
        <w:t>承</w:t>
      </w:r>
      <w:bookmarkStart w:id="1743" w:name="_Toc300934995"/>
      <w:bookmarkStart w:id="1744" w:name="_Toc297216205"/>
      <w:bookmarkStart w:id="1745" w:name="_Toc297048390"/>
      <w:bookmarkStart w:id="1746" w:name="_Toc318581175"/>
      <w:bookmarkStart w:id="1747" w:name="_Toc312677504"/>
      <w:bookmarkStart w:id="1748" w:name="_Toc296891244"/>
      <w:bookmarkStart w:id="1749" w:name="_Toc296944543"/>
      <w:bookmarkStart w:id="1750" w:name="_Toc304295571"/>
      <w:bookmarkStart w:id="1751" w:name="_Toc296891032"/>
      <w:bookmarkStart w:id="1752" w:name="_Toc292559409"/>
      <w:bookmarkStart w:id="1753" w:name="_Toc297120504"/>
      <w:bookmarkStart w:id="1754" w:name="_Toc303539152"/>
      <w:bookmarkStart w:id="1755" w:name="_Toc297123546"/>
      <w:bookmarkStart w:id="1756" w:name="_Toc296347203"/>
      <w:bookmarkStart w:id="1757" w:name="_Toc312678030"/>
      <w:bookmarkStart w:id="1758" w:name="_Toc296503204"/>
      <w:bookmarkStart w:id="1759" w:name="_Toc292559914"/>
      <w:bookmarkStart w:id="1760" w:name="_Toc296346705"/>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hAnsi="宋体" w:cs="宋体"/>
          <w:color w:val="auto"/>
          <w:highlight w:val="none"/>
        </w:rPr>
        <w:t>。</w:t>
      </w:r>
    </w:p>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14:paraId="181F1FFD">
      <w:pPr>
        <w:pStyle w:val="4"/>
        <w:rPr>
          <w:color w:val="auto"/>
          <w:highlight w:val="none"/>
        </w:rPr>
      </w:pPr>
      <w:bookmarkStart w:id="1761" w:name="_Toc30086"/>
      <w:bookmarkStart w:id="1762" w:name="_Toc2045792355"/>
      <w:bookmarkStart w:id="1763" w:name="_Toc389065310"/>
      <w:bookmarkStart w:id="1764" w:name="_Toc373478391"/>
      <w:bookmarkStart w:id="1765" w:name="_Toc78449833"/>
      <w:bookmarkStart w:id="1766" w:name="_Toc407135247"/>
      <w:bookmarkStart w:id="1767" w:name="_Toc373227744"/>
      <w:bookmarkStart w:id="1768" w:name="_Toc10238"/>
      <w:r>
        <w:rPr>
          <w:color w:val="auto"/>
          <w:highlight w:val="none"/>
        </w:rPr>
        <w:t>1</w:t>
      </w:r>
      <w:bookmarkStart w:id="1769" w:name="_Toc296891027"/>
      <w:bookmarkStart w:id="1770" w:name="_Toc297048385"/>
      <w:bookmarkStart w:id="1771" w:name="_Toc312677507"/>
      <w:bookmarkStart w:id="1772" w:name="_Toc300934997"/>
      <w:bookmarkStart w:id="1773" w:name="_Toc292559909"/>
      <w:bookmarkStart w:id="1774" w:name="_Toc296346700"/>
      <w:bookmarkStart w:id="1775" w:name="_Toc297120499"/>
      <w:bookmarkStart w:id="1776" w:name="_Toc296503199"/>
      <w:bookmarkStart w:id="1777" w:name="_Toc296891239"/>
      <w:bookmarkStart w:id="1778" w:name="_Toc303539154"/>
      <w:bookmarkStart w:id="1779" w:name="_Toc304295574"/>
      <w:bookmarkStart w:id="1780" w:name="_Toc296944538"/>
      <w:bookmarkStart w:id="1781" w:name="_Toc297216207"/>
      <w:bookmarkStart w:id="1782" w:name="_Toc296347198"/>
      <w:bookmarkStart w:id="1783" w:name="_Toc292559404"/>
      <w:bookmarkStart w:id="1784" w:name="_Toc297123548"/>
      <w:bookmarkStart w:id="1785" w:name="_Toc312678033"/>
      <w:r>
        <w:rPr>
          <w:color w:val="auto"/>
          <w:highlight w:val="none"/>
        </w:rPr>
        <w:t xml:space="preserve">0.7 </w:t>
      </w:r>
      <w:r>
        <w:rPr>
          <w:rFonts w:hint="eastAsia" w:hAnsi="宋体" w:cs="黑体"/>
          <w:color w:val="auto"/>
          <w:highlight w:val="none"/>
        </w:rPr>
        <w:t>暂估价</w:t>
      </w:r>
      <w:bookmarkEnd w:id="1761"/>
      <w:bookmarkEnd w:id="1762"/>
      <w:bookmarkEnd w:id="1763"/>
      <w:bookmarkEnd w:id="1764"/>
      <w:bookmarkEnd w:id="1765"/>
      <w:bookmarkEnd w:id="1766"/>
      <w:bookmarkEnd w:id="1767"/>
      <w:bookmarkEnd w:id="1768"/>
    </w:p>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14:paraId="21960F5A">
      <w:pPr>
        <w:spacing w:line="360" w:lineRule="auto"/>
        <w:ind w:firstLine="420" w:firstLineChars="200"/>
        <w:jc w:val="left"/>
        <w:rPr>
          <w:color w:val="auto"/>
          <w:highlight w:val="none"/>
        </w:rPr>
      </w:pPr>
      <w:r>
        <w:rPr>
          <w:rFonts w:hint="eastAsia" w:hAnsi="宋体" w:cs="宋体"/>
          <w:color w:val="auto"/>
          <w:kern w:val="0"/>
          <w:highlight w:val="none"/>
        </w:rPr>
        <w:t>暂估价材料和工程设备的明细详见已标价工程量清单《</w:t>
      </w:r>
      <w:r>
        <w:rPr>
          <w:rFonts w:hint="eastAsia" w:cs="宋体"/>
          <w:color w:val="auto"/>
          <w:highlight w:val="none"/>
        </w:rPr>
        <w:t>材料暂估</w:t>
      </w:r>
      <w:r>
        <w:rPr>
          <w:rFonts w:hint="eastAsia" w:cs="宋体"/>
          <w:color w:val="auto"/>
          <w:highlight w:val="none"/>
          <w:lang w:eastAsia="zh-CN"/>
        </w:rPr>
        <w:t>价</w:t>
      </w:r>
      <w:r>
        <w:rPr>
          <w:rFonts w:hint="eastAsia" w:cs="宋体"/>
          <w:color w:val="auto"/>
          <w:highlight w:val="none"/>
        </w:rPr>
        <w:t>表》</w:t>
      </w:r>
      <w:r>
        <w:rPr>
          <w:rFonts w:hint="eastAsia" w:hAnsi="宋体" w:cs="宋体"/>
          <w:color w:val="auto"/>
          <w:kern w:val="0"/>
          <w:highlight w:val="none"/>
        </w:rPr>
        <w:t>和《</w:t>
      </w:r>
      <w:r>
        <w:rPr>
          <w:rFonts w:hint="eastAsia" w:cs="宋体"/>
          <w:color w:val="auto"/>
          <w:highlight w:val="none"/>
        </w:rPr>
        <w:t>专业工程暂估价表》</w:t>
      </w:r>
      <w:r>
        <w:rPr>
          <w:rFonts w:hint="eastAsia" w:hAnsi="宋体" w:cs="宋体"/>
          <w:color w:val="auto"/>
          <w:kern w:val="0"/>
          <w:highlight w:val="none"/>
        </w:rPr>
        <w:t>。</w:t>
      </w:r>
    </w:p>
    <w:p w14:paraId="78EABCD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.1工程量清单中给定暂估价的材料和（或）暂估价的专业工程属于依法必须招标的，应以招标确定材料及价格，发承包双方采用以下第         种方式进行招标：</w:t>
      </w:r>
    </w:p>
    <w:p w14:paraId="55C66EC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第一种方式：由发包人作为招标人进行暂估价材料、暂估价专业工程招标，组织招标工作有关的费用由发包人承担。需要承包人配合的，其配合费用由承包人自行承担。</w:t>
      </w:r>
    </w:p>
    <w:p w14:paraId="70EF1AF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第二种方式：由承包人作为招标人进行暂估价材料、暂估价专业工程招标，其组织招标工作有关的费用已经包括在承包人的投标总价（</w:t>
      </w:r>
      <w:r>
        <w:rPr>
          <w:rFonts w:hint="eastAsia" w:hAnsi="宋体" w:cs="宋体"/>
          <w:color w:val="auto"/>
          <w:kern w:val="0"/>
          <w:highlight w:val="none"/>
          <w:lang w:eastAsia="zh-CN"/>
        </w:rPr>
        <w:t>签约合同</w:t>
      </w:r>
      <w:r>
        <w:rPr>
          <w:rFonts w:hint="eastAsia" w:hAnsi="宋体" w:cs="宋体"/>
          <w:color w:val="auto"/>
          <w:kern w:val="0"/>
          <w:highlight w:val="none"/>
        </w:rPr>
        <w:t>价）中。需要发包人配合的，其配合费用由发包人自行承担。</w:t>
      </w:r>
    </w:p>
    <w:p w14:paraId="517DDFC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第三种方式：由发包人和承包人共同作为招标人进行暂估价材料、暂估价专业工程招标，发承包双方各自承担相应的费用。</w:t>
      </w:r>
    </w:p>
    <w:p w14:paraId="623A443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.2工程量清单中给定暂估价的材料不属于依法必须招标的，采用以下第         种方式确认材料价格：</w:t>
      </w:r>
    </w:p>
    <w:p w14:paraId="34520D0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第一种方式：承包人进行自主报价，经发包人确认的材料价格取代暂估价。</w:t>
      </w:r>
    </w:p>
    <w:p w14:paraId="3A29F51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w:t>
      </w:r>
      <w:r>
        <w:rPr>
          <w:rFonts w:hint="eastAsia" w:ascii="Times New Roman" w:hAnsi="宋体"/>
          <w:bCs/>
          <w:color w:val="auto"/>
          <w:sz w:val="21"/>
          <w:szCs w:val="21"/>
          <w:highlight w:val="none"/>
        </w:rPr>
        <w:t>发包人、承包人、监理</w:t>
      </w:r>
      <w:r>
        <w:rPr>
          <w:rFonts w:hint="default" w:ascii="Times New Roman" w:hAnsi="宋体"/>
          <w:bCs/>
          <w:color w:val="auto"/>
          <w:sz w:val="21"/>
          <w:szCs w:val="21"/>
          <w:highlight w:val="none"/>
          <w:lang w:val="en"/>
        </w:rPr>
        <w:t>人</w:t>
      </w:r>
      <w:r>
        <w:rPr>
          <w:rFonts w:hint="eastAsia" w:ascii="Times New Roman" w:hAnsi="宋体"/>
          <w:bCs/>
          <w:color w:val="auto"/>
          <w:sz w:val="21"/>
          <w:szCs w:val="21"/>
          <w:highlight w:val="none"/>
        </w:rPr>
        <w:t>或造价咨询</w:t>
      </w:r>
      <w:r>
        <w:rPr>
          <w:rFonts w:hint="default" w:ascii="Times New Roman" w:hAnsi="宋体"/>
          <w:bCs/>
          <w:color w:val="auto"/>
          <w:sz w:val="21"/>
          <w:szCs w:val="21"/>
          <w:highlight w:val="none"/>
          <w:lang w:val="en"/>
        </w:rPr>
        <w:t>人</w:t>
      </w:r>
      <w:r>
        <w:rPr>
          <w:rFonts w:hint="eastAsia" w:hAnsi="宋体" w:cs="宋体"/>
          <w:color w:val="auto"/>
          <w:kern w:val="0"/>
          <w:highlight w:val="none"/>
        </w:rPr>
        <w:t>共同询价确认的材料价格取代暂估价。</w:t>
      </w:r>
    </w:p>
    <w:p w14:paraId="115CCFD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.3 工程量清单中给定暂估价的专业工程不属于依法必须招标的，采用以下第         种方式确认暂估价：</w:t>
      </w:r>
    </w:p>
    <w:p w14:paraId="02CC0FF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第一种方式：发承包双方按合同约定的自治区建设行政主管部门颁布的计算规范所规定的工程量计算规则以及合同清单、投标报价水平计算暂估专业工程价格，并以此取代专业工程暂估价。</w:t>
      </w:r>
    </w:p>
    <w:p w14:paraId="0D46CE5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第二种方式：通过招标确定暂估专业工程价格。</w:t>
      </w:r>
    </w:p>
    <w:p w14:paraId="10936AFF">
      <w:pPr>
        <w:spacing w:line="360" w:lineRule="auto"/>
        <w:ind w:firstLine="420" w:firstLineChars="200"/>
        <w:jc w:val="left"/>
        <w:rPr>
          <w:color w:val="auto"/>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.4承包人参加由发包人作为招标人的暂估价专业工程投标并中标的，扣减已计算的该专业工程的总承包服务费。</w:t>
      </w:r>
    </w:p>
    <w:p w14:paraId="21A3F52B">
      <w:pPr>
        <w:pStyle w:val="4"/>
        <w:rPr>
          <w:color w:val="auto"/>
          <w:highlight w:val="none"/>
        </w:rPr>
      </w:pPr>
      <w:bookmarkStart w:id="1786" w:name="_Toc407135248"/>
      <w:bookmarkStart w:id="1787" w:name="_Toc373478392"/>
      <w:bookmarkStart w:id="1788" w:name="_Toc78449834"/>
      <w:bookmarkStart w:id="1789" w:name="_Toc19647"/>
      <w:bookmarkStart w:id="1790" w:name="_Toc389065311"/>
      <w:bookmarkStart w:id="1791" w:name="_Toc2032108729"/>
      <w:bookmarkStart w:id="1792" w:name="_Toc373227745"/>
      <w:bookmarkStart w:id="1793" w:name="_Toc26800"/>
      <w:r>
        <w:rPr>
          <w:color w:val="auto"/>
          <w:highlight w:val="none"/>
        </w:rPr>
        <w:t xml:space="preserve">10.8 </w:t>
      </w:r>
      <w:r>
        <w:rPr>
          <w:rFonts w:hint="eastAsia" w:hAnsi="宋体" w:cs="黑体"/>
          <w:color w:val="auto"/>
          <w:highlight w:val="none"/>
        </w:rPr>
        <w:t>暂列金额</w:t>
      </w:r>
      <w:bookmarkEnd w:id="1786"/>
      <w:bookmarkEnd w:id="1787"/>
      <w:bookmarkEnd w:id="1788"/>
      <w:bookmarkEnd w:id="1789"/>
      <w:bookmarkEnd w:id="1790"/>
      <w:bookmarkEnd w:id="1791"/>
      <w:bookmarkEnd w:id="1792"/>
      <w:bookmarkEnd w:id="1793"/>
    </w:p>
    <w:p w14:paraId="19E273D4">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hAnsi="宋体" w:cs="宋体"/>
          <w:color w:val="auto"/>
          <w:kern w:val="0"/>
          <w:highlight w:val="none"/>
        </w:rPr>
        <w:t>。</w:t>
      </w:r>
    </w:p>
    <w:p w14:paraId="6B39214F">
      <w:pPr>
        <w:pStyle w:val="3"/>
        <w:numPr>
          <w:ilvl w:val="0"/>
          <w:numId w:val="3"/>
        </w:numPr>
        <w:rPr>
          <w:color w:val="auto"/>
          <w:highlight w:val="none"/>
        </w:rPr>
      </w:pPr>
      <w:bookmarkStart w:id="1794" w:name="_Toc351203643"/>
      <w:bookmarkStart w:id="1795" w:name="_Toc1190723452"/>
      <w:bookmarkStart w:id="1796" w:name="_Toc373478393"/>
      <w:bookmarkStart w:id="1797" w:name="_Toc78449835"/>
      <w:bookmarkStart w:id="1798" w:name="_Toc407135249"/>
      <w:bookmarkStart w:id="1799" w:name="_Toc389065312"/>
      <w:bookmarkStart w:id="1800" w:name="_Toc373227746"/>
      <w:bookmarkStart w:id="1801" w:name="_Toc16337"/>
      <w:r>
        <w:rPr>
          <w:rFonts w:hint="eastAsia" w:hAnsi="宋体" w:cs="黑体"/>
          <w:color w:val="auto"/>
          <w:highlight w:val="none"/>
        </w:rPr>
        <w:t>价格调整</w:t>
      </w:r>
      <w:bookmarkEnd w:id="1794"/>
      <w:bookmarkEnd w:id="1795"/>
      <w:bookmarkEnd w:id="1796"/>
      <w:bookmarkEnd w:id="1797"/>
      <w:bookmarkEnd w:id="1798"/>
      <w:bookmarkEnd w:id="1799"/>
      <w:bookmarkEnd w:id="1800"/>
      <w:bookmarkEnd w:id="1801"/>
    </w:p>
    <w:p w14:paraId="4FC04CD2">
      <w:pPr>
        <w:pStyle w:val="4"/>
        <w:rPr>
          <w:rFonts w:hint="eastAsia" w:eastAsia="黑体"/>
          <w:color w:val="auto"/>
          <w:highlight w:val="none"/>
          <w:lang w:val="en" w:eastAsia="zh-CN"/>
        </w:rPr>
      </w:pPr>
      <w:bookmarkStart w:id="1802" w:name="_Toc13435"/>
      <w:bookmarkStart w:id="1803" w:name="_Toc6153"/>
      <w:bookmarkStart w:id="1804" w:name="_Toc292559911"/>
      <w:bookmarkStart w:id="1805" w:name="_Toc304295577"/>
      <w:bookmarkStart w:id="1806" w:name="_Toc296347200"/>
      <w:bookmarkStart w:id="1807" w:name="_Toc292559406"/>
      <w:bookmarkStart w:id="1808" w:name="_Toc1501386015"/>
      <w:bookmarkStart w:id="1809" w:name="_Toc373227747"/>
      <w:bookmarkStart w:id="1810" w:name="_Toc296503201"/>
      <w:bookmarkStart w:id="1811" w:name="_Toc296891029"/>
      <w:bookmarkStart w:id="1812" w:name="_Toc407135250"/>
      <w:bookmarkStart w:id="1813" w:name="_Toc297216209"/>
      <w:bookmarkStart w:id="1814" w:name="_Toc303539157"/>
      <w:bookmarkStart w:id="1815" w:name="_Toc297048387"/>
      <w:bookmarkStart w:id="1816" w:name="_Toc78449836"/>
      <w:bookmarkStart w:id="1817" w:name="_Toc296891241"/>
      <w:bookmarkStart w:id="1818" w:name="_Toc297120501"/>
      <w:bookmarkStart w:id="1819" w:name="_Toc296944540"/>
      <w:bookmarkStart w:id="1820" w:name="_Toc300935000"/>
      <w:bookmarkStart w:id="1821" w:name="_Toc389065313"/>
      <w:bookmarkStart w:id="1822" w:name="_Toc373478394"/>
      <w:bookmarkStart w:id="1823" w:name="_Toc296346702"/>
      <w:bookmarkStart w:id="1824" w:name="_Toc312678039"/>
      <w:bookmarkStart w:id="1825" w:name="_Toc297123550"/>
      <w:r>
        <w:rPr>
          <w:color w:val="auto"/>
          <w:highlight w:val="none"/>
        </w:rPr>
        <w:t xml:space="preserve">11.1 </w:t>
      </w:r>
      <w:r>
        <w:rPr>
          <w:rFonts w:hint="eastAsia" w:cs="黑体"/>
          <w:color w:val="auto"/>
          <w:highlight w:val="none"/>
          <w:lang w:val="en-US" w:eastAsia="zh-CN"/>
        </w:rPr>
        <w:t>合同价格调整程序</w:t>
      </w:r>
      <w:bookmarkEnd w:id="1802"/>
      <w:bookmarkEnd w:id="1803"/>
    </w:p>
    <w:p w14:paraId="21B469B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11.1.1 合同履行过程中发生合同价格调整事项的，承包人按本合同12.3的约定计算价格调整事项的工程量，依据本合</w:t>
      </w:r>
      <w:r>
        <w:rPr>
          <w:rFonts w:hint="eastAsia" w:hAnsi="宋体" w:cs="宋体"/>
          <w:color w:val="auto"/>
          <w:kern w:val="0"/>
          <w:highlight w:val="none"/>
          <w:lang w:eastAsia="zh-CN"/>
        </w:rPr>
        <w:t>同第</w:t>
      </w:r>
      <w:r>
        <w:rPr>
          <w:rFonts w:hint="eastAsia" w:hAnsi="宋体" w:cs="宋体"/>
          <w:color w:val="auto"/>
          <w:kern w:val="0"/>
          <w:highlight w:val="none"/>
        </w:rPr>
        <w:t>11条的约定计算调整价格，并在发生合同价格调整事项       天内连同相关资料提交给发包人核对。</w:t>
      </w:r>
    </w:p>
    <w:p w14:paraId="25F8FC0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11.1.2 发包人在收到承包人合同价格调整报告及相关资料后应         天内对其进行核实，予以确认的应书面通知承包人，不予确认的应将价格调整核对意见书面回复承包人，未确认也未提出核对意见的，应视为承包人提交的合同价格调整报告已被发包人认可。</w:t>
      </w:r>
    </w:p>
    <w:p w14:paraId="40B0874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11.1.3 发包人提出价格调整核对意见的，承包人在收到核对意见后应在         天内对其复核，予以认可的应书面通知发包人，不予认可的应将相关复核意见书面回复发包人，未确认也未提出复核意见的，应视为发包人提出的意见已被承包人认可。</w:t>
      </w:r>
    </w:p>
    <w:p w14:paraId="00A2285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11.1.4发承包双方对合同价格调整通过核对、复核仍不能达成一致意见的，可按本合同争议解决相关约定处理。除法律法规规定外，发承包双方在争议解决期间应继续履行合同义务，直到争议得到解决。</w:t>
      </w:r>
    </w:p>
    <w:p w14:paraId="67AE5B4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11.1.5发承包双方应在确定的合同价格调整相关计量与计价成果文件上签署，作为合同价款支付的依据。经发承包双方确认调整的追加（减）合同价款，应与工程进度款和施工过程结算款同期支付。</w:t>
      </w:r>
    </w:p>
    <w:p w14:paraId="71E1D7CA">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11.2 物价变化引起的价格调整</w:t>
      </w:r>
    </w:p>
    <w:p w14:paraId="1A677E8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11.2.1 关于人工费及主要材料费价差调整的约定：</w:t>
      </w:r>
    </w:p>
    <w:p w14:paraId="22B39A9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1</w:t>
      </w:r>
      <w:r>
        <w:rPr>
          <w:rFonts w:hint="eastAsia" w:hAnsi="宋体" w:cs="宋体"/>
          <w:color w:val="auto"/>
          <w:kern w:val="0"/>
          <w:highlight w:val="none"/>
          <w:lang w:eastAsia="zh-CN"/>
        </w:rPr>
        <w:t>）</w:t>
      </w:r>
      <w:r>
        <w:rPr>
          <w:rFonts w:hint="eastAsia" w:hAnsi="宋体" w:cs="宋体"/>
          <w:color w:val="auto"/>
          <w:kern w:val="0"/>
          <w:highlight w:val="none"/>
        </w:rPr>
        <w:t>对于总价合同采用价格指数调差法进行价差调整，非承包人原因《人工及主要材料费可调因子价格指数及权重表》中载明的允许调整价格的主要材料及人工费在其风险范围以内的价差由承包人承担，超过其风险范围以外的价差，由发包人承担</w:t>
      </w:r>
      <w:r>
        <w:rPr>
          <w:rFonts w:hint="eastAsia" w:hAnsi="宋体" w:cs="宋体"/>
          <w:color w:val="auto"/>
          <w:kern w:val="0"/>
          <w:highlight w:val="none"/>
          <w:lang w:eastAsia="zh-CN"/>
        </w:rPr>
        <w:t>，具体详见</w:t>
      </w:r>
      <w:r>
        <w:rPr>
          <w:rFonts w:hint="eastAsia" w:hAnsi="宋体" w:cs="宋体"/>
          <w:color w:val="auto"/>
          <w:kern w:val="0"/>
          <w:highlight w:val="none"/>
          <w:lang w:val="en-US" w:eastAsia="zh-CN"/>
        </w:rPr>
        <w:t>11.2.2。</w:t>
      </w:r>
    </w:p>
    <w:p w14:paraId="6765A84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2</w:t>
      </w:r>
      <w:r>
        <w:rPr>
          <w:rFonts w:hint="eastAsia" w:hAnsi="宋体" w:cs="宋体"/>
          <w:color w:val="auto"/>
          <w:kern w:val="0"/>
          <w:highlight w:val="none"/>
          <w:lang w:eastAsia="zh-CN"/>
        </w:rPr>
        <w:t>）</w:t>
      </w:r>
      <w:r>
        <w:rPr>
          <w:rFonts w:hint="eastAsia" w:hAnsi="宋体" w:cs="宋体"/>
          <w:color w:val="auto"/>
          <w:kern w:val="0"/>
          <w:highlight w:val="none"/>
        </w:rPr>
        <w:t>对于单价合同采用价格信息调差法进行价差调整，非承包人原因《允许调整价格的主要材料一览表》中载明的主要材料及《人工费价差计算表》载明的人工费在其风险范围以内的价差由承包人承担，超过其风险范围以外的价差，由发包人承担</w:t>
      </w:r>
      <w:r>
        <w:rPr>
          <w:rFonts w:hint="eastAsia" w:hAnsi="宋体" w:cs="宋体"/>
          <w:color w:val="auto"/>
          <w:kern w:val="0"/>
          <w:highlight w:val="none"/>
          <w:lang w:eastAsia="zh-CN"/>
        </w:rPr>
        <w:t>，具体详见</w:t>
      </w:r>
      <w:r>
        <w:rPr>
          <w:rFonts w:hint="eastAsia" w:hAnsi="宋体" w:cs="宋体"/>
          <w:color w:val="auto"/>
          <w:kern w:val="0"/>
          <w:highlight w:val="none"/>
          <w:lang w:val="en-US" w:eastAsia="zh-CN"/>
        </w:rPr>
        <w:t>11.2.3</w:t>
      </w:r>
      <w:r>
        <w:rPr>
          <w:rFonts w:hint="eastAsia" w:hAnsi="宋体" w:cs="宋体"/>
          <w:color w:val="auto"/>
          <w:kern w:val="0"/>
          <w:highlight w:val="none"/>
        </w:rPr>
        <w:t>。</w:t>
      </w:r>
    </w:p>
    <w:p w14:paraId="08BC80A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3</w:t>
      </w:r>
      <w:r>
        <w:rPr>
          <w:rFonts w:hint="eastAsia" w:hAnsi="宋体" w:cs="宋体"/>
          <w:color w:val="auto"/>
          <w:kern w:val="0"/>
          <w:highlight w:val="none"/>
          <w:lang w:eastAsia="zh-CN"/>
        </w:rPr>
        <w:t>）</w:t>
      </w:r>
      <w:r>
        <w:rPr>
          <w:rFonts w:hint="eastAsia" w:hAnsi="宋体" w:cs="宋体"/>
          <w:color w:val="auto"/>
          <w:kern w:val="0"/>
          <w:highlight w:val="none"/>
        </w:rPr>
        <w:t>价差调整部分列入其他项目费，仅计算增值税，不计取管理费、利润。</w:t>
      </w:r>
    </w:p>
    <w:p w14:paraId="5FF5277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2采用价格指数调整法的</w:t>
      </w:r>
      <w:r>
        <w:rPr>
          <w:rFonts w:hint="eastAsia" w:hAnsi="宋体" w:cs="宋体"/>
          <w:color w:val="auto"/>
          <w:kern w:val="0"/>
          <w:highlight w:val="none"/>
        </w:rPr>
        <w:t>，根据本合同的《人工费及主要材料费价差计算表》，并以《人工及主要材料费可调因子价格指数及权重表》中载明的人工及主要材料可调因子价格指数及权重等数据，按下式计算差额并调整合同价格：</w:t>
      </w:r>
    </w:p>
    <w:p w14:paraId="0BE3F60F">
      <w:pPr>
        <w:spacing w:line="360" w:lineRule="auto"/>
        <w:ind w:firstLine="420" w:firstLineChars="200"/>
        <w:jc w:val="left"/>
        <w:rPr>
          <w:rFonts w:hint="eastAsia" w:hAnsi="宋体" w:cs="宋体"/>
          <w:color w:val="auto"/>
          <w:kern w:val="0"/>
          <w:highlight w:val="none"/>
        </w:rPr>
      </w:pPr>
      <w:r>
        <w:rPr>
          <w:color w:val="auto"/>
          <w:position w:val="-34"/>
          <w:highlight w:val="none"/>
        </w:rPr>
        <w:object>
          <v:shape id="_x0000_i1025" o:spt="75" type="#_x0000_t75" style="height:40pt;width:306pt;" o:ole="t" filled="f" o:preferrelative="t" stroked="f" coordsize="21600,21600">
            <v:path/>
            <v:fill on="f" alignshape="1" focussize="0,0"/>
            <v:stroke on="f"/>
            <v:imagedata r:id="rId7" o:title=""/>
            <o:lock v:ext="edit" aspectratio="t"/>
            <w10:wrap type="none"/>
            <w10:anchorlock/>
          </v:shape>
          <o:OLEObject Type="Embed" ProgID="Equation.3" ShapeID="_x0000_i1025" DrawAspect="Content" ObjectID="_1468075725" r:id="rId6">
            <o:LockedField>false</o:LockedField>
          </o:OLEObject>
        </w:object>
      </w:r>
      <w:r>
        <w:rPr>
          <w:rFonts w:hint="eastAsia" w:hAnsi="宋体" w:cs="宋体"/>
          <w:color w:val="auto"/>
          <w:kern w:val="0"/>
          <w:highlight w:val="none"/>
        </w:rPr>
        <w:t xml:space="preserve">    </w:t>
      </w:r>
    </w:p>
    <w:p w14:paraId="7D3CD03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式中： △P——需调整的价格差额；</w:t>
      </w:r>
    </w:p>
    <w:p w14:paraId="76B16E6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P0 ——本合同约定的计量周期（进度款、过程结算和竣工结算）中承包人应得到的，属于签约合同价中固定总价范围及按合同单价计算的变更及新增工程分部分项工程费用并扣除增值税后的金额。此项金额应不包括人工费及主要材料价格调整，已按施工期间价格计价的变更及新增、零星签证、索赔、暂估材料及专业工程、总承包服务费调整等其他金额，也不计在内；</w:t>
      </w:r>
    </w:p>
    <w:p w14:paraId="7F47AA5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A ——定值权重（即不调部分的权重，A=1-B1-B2-B3-…-Bn）；</w:t>
      </w:r>
    </w:p>
    <w:p w14:paraId="1840126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B</w:t>
      </w:r>
      <w:r>
        <w:rPr>
          <w:rFonts w:hint="eastAsia" w:hAnsi="宋体" w:cs="宋体"/>
          <w:color w:val="auto"/>
          <w:kern w:val="0"/>
          <w:highlight w:val="none"/>
          <w:lang w:eastAsia="zh-CN"/>
        </w:rPr>
        <w:t>1.</w:t>
      </w:r>
      <w:r>
        <w:rPr>
          <w:rFonts w:hint="eastAsia" w:hAnsi="宋体" w:cs="宋体"/>
          <w:color w:val="auto"/>
          <w:kern w:val="0"/>
          <w:highlight w:val="none"/>
        </w:rPr>
        <w:t>B</w:t>
      </w:r>
      <w:r>
        <w:rPr>
          <w:rFonts w:hint="eastAsia" w:hAnsi="宋体" w:cs="宋体"/>
          <w:color w:val="auto"/>
          <w:kern w:val="0"/>
          <w:highlight w:val="none"/>
          <w:lang w:eastAsia="zh-CN"/>
        </w:rPr>
        <w:t>2.</w:t>
      </w:r>
      <w:r>
        <w:rPr>
          <w:rFonts w:hint="eastAsia" w:hAnsi="宋体" w:cs="宋体"/>
          <w:color w:val="auto"/>
          <w:kern w:val="0"/>
          <w:highlight w:val="none"/>
        </w:rPr>
        <w:t>B</w:t>
      </w:r>
      <w:r>
        <w:rPr>
          <w:rFonts w:hint="eastAsia" w:hAnsi="宋体" w:cs="宋体"/>
          <w:color w:val="auto"/>
          <w:kern w:val="0"/>
          <w:highlight w:val="none"/>
          <w:lang w:eastAsia="zh-CN"/>
        </w:rPr>
        <w:t>3.</w:t>
      </w:r>
      <w:r>
        <w:rPr>
          <w:rFonts w:hint="eastAsia" w:hAnsi="宋体" w:cs="宋体"/>
          <w:color w:val="auto"/>
          <w:kern w:val="0"/>
          <w:highlight w:val="none"/>
        </w:rPr>
        <w:t>…、Bn——各可调因子的金额占最高投标限价固定价格部分扣除增值税的权重（即可调部分的权重）；</w:t>
      </w:r>
    </w:p>
    <w:p w14:paraId="720850E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Ftl、Ft</w:t>
      </w:r>
      <w:r>
        <w:rPr>
          <w:rFonts w:hint="eastAsia" w:hAnsi="宋体" w:cs="宋体"/>
          <w:color w:val="auto"/>
          <w:kern w:val="0"/>
          <w:highlight w:val="none"/>
          <w:lang w:eastAsia="zh-CN"/>
        </w:rPr>
        <w:t>2.</w:t>
      </w:r>
      <w:r>
        <w:rPr>
          <w:rFonts w:hint="eastAsia" w:hAnsi="宋体" w:cs="宋体"/>
          <w:color w:val="auto"/>
          <w:kern w:val="0"/>
          <w:highlight w:val="none"/>
        </w:rPr>
        <w:t>Ft</w:t>
      </w:r>
      <w:r>
        <w:rPr>
          <w:rFonts w:hint="eastAsia" w:hAnsi="宋体" w:cs="宋体"/>
          <w:color w:val="auto"/>
          <w:kern w:val="0"/>
          <w:highlight w:val="none"/>
          <w:lang w:eastAsia="zh-CN"/>
        </w:rPr>
        <w:t>3.</w:t>
      </w:r>
      <w:r>
        <w:rPr>
          <w:rFonts w:hint="eastAsia" w:hAnsi="宋体" w:cs="宋体"/>
          <w:color w:val="auto"/>
          <w:kern w:val="0"/>
          <w:highlight w:val="none"/>
        </w:rPr>
        <w:t>…、Ftn——各可调因子的施工期间价格指数；</w:t>
      </w:r>
    </w:p>
    <w:p w14:paraId="6BEC0AC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F0</w:t>
      </w:r>
      <w:r>
        <w:rPr>
          <w:rFonts w:hint="eastAsia" w:hAnsi="宋体" w:cs="宋体"/>
          <w:color w:val="auto"/>
          <w:kern w:val="0"/>
          <w:highlight w:val="none"/>
          <w:lang w:eastAsia="zh-CN"/>
        </w:rPr>
        <w:t>1.</w:t>
      </w:r>
      <w:r>
        <w:rPr>
          <w:rFonts w:hint="eastAsia" w:hAnsi="宋体" w:cs="宋体"/>
          <w:color w:val="auto"/>
          <w:kern w:val="0"/>
          <w:highlight w:val="none"/>
        </w:rPr>
        <w:t>F0</w:t>
      </w:r>
      <w:r>
        <w:rPr>
          <w:rFonts w:hint="eastAsia" w:hAnsi="宋体" w:cs="宋体"/>
          <w:color w:val="auto"/>
          <w:kern w:val="0"/>
          <w:highlight w:val="none"/>
          <w:lang w:eastAsia="zh-CN"/>
        </w:rPr>
        <w:t>2.</w:t>
      </w:r>
      <w:r>
        <w:rPr>
          <w:rFonts w:hint="eastAsia" w:hAnsi="宋体" w:cs="宋体"/>
          <w:color w:val="auto"/>
          <w:kern w:val="0"/>
          <w:highlight w:val="none"/>
        </w:rPr>
        <w:t>F0</w:t>
      </w:r>
      <w:r>
        <w:rPr>
          <w:rFonts w:hint="eastAsia" w:hAnsi="宋体" w:cs="宋体"/>
          <w:color w:val="auto"/>
          <w:kern w:val="0"/>
          <w:highlight w:val="none"/>
          <w:lang w:eastAsia="zh-CN"/>
        </w:rPr>
        <w:t>3.</w:t>
      </w:r>
      <w:r>
        <w:rPr>
          <w:rFonts w:hint="eastAsia" w:hAnsi="宋体" w:cs="宋体"/>
          <w:color w:val="auto"/>
          <w:kern w:val="0"/>
          <w:highlight w:val="none"/>
        </w:rPr>
        <w:t>…、F0n——各可调因子的基本价格指数，指合同基准日的各可调因子的价格指数。本合同允许价格波动幅度以《人工及主要材料费可调因子价格指数及权重表》载明的为准，基本价格指数应予以考虑此波动幅度系数（即：基本价格指数F0n=合同基准日价格指数+合同约定波动幅度）。</w:t>
      </w:r>
    </w:p>
    <w:p w14:paraId="1B1DAD9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上述价格指数调差公式中的各可调因子、变值权重详见《人工及主要材料费可调因子价格指数及权重表》。价格指数采用《       市建设工程造价信息》载明的价格指数，没有时采用其发布的价格代替，《       市建设工程造价信息》未载明的，按照     确定。合同基准日价格指数为投标截止日前28天的价格指数；施工期间价格指数按照本合同约定的付款证书相关周期最后一天的前42天的各项价格指数确定，该周期内因物价变化形成多个价格指数的，采用计算周期内人工及材料算术平均价格指数作为调整公式使用的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594D5B9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3</w:t>
      </w:r>
      <w:r>
        <w:rPr>
          <w:rFonts w:hint="eastAsia" w:hAnsi="宋体" w:cs="宋体"/>
          <w:color w:val="auto"/>
          <w:kern w:val="0"/>
          <w:highlight w:val="none"/>
        </w:rPr>
        <w:t>采用价格信息调差法进行价差调整</w:t>
      </w:r>
      <w:r>
        <w:rPr>
          <w:rFonts w:hint="default" w:hAnsi="宋体" w:cs="宋体"/>
          <w:color w:val="auto"/>
          <w:kern w:val="0"/>
          <w:highlight w:val="none"/>
          <w:lang w:val="en"/>
        </w:rPr>
        <w:t>的</w:t>
      </w:r>
      <w:r>
        <w:rPr>
          <w:rFonts w:hint="eastAsia" w:hAnsi="宋体" w:cs="宋体"/>
          <w:color w:val="auto"/>
          <w:kern w:val="0"/>
          <w:highlight w:val="none"/>
        </w:rPr>
        <w:t>，因物价变化引起合同清单的分部分项工程项目清单的人工费、主要材料费分别按照下列进行价格调整：</w:t>
      </w:r>
    </w:p>
    <w:p w14:paraId="4255200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计量周期内人工费价差按本合同《人工费价差计算表》及如下公式计算：人工费价差调整=人工费*施工期间人工费价格指数/（基准日人工费价格指数+波动幅度）。因市场价格波动形成多个价格指数的，进度款按算术平均价格指数，过程结算及竣工结算采用加权平均/算术平均价格指数。过程结算及竣工结算若采用加权平均价格指数，应按照历次进度款人工费占总进度款人工费总额比例和相应月份人工费价格指数计算人工费价格指数加权平均值。</w:t>
      </w:r>
    </w:p>
    <w:p w14:paraId="2076BAD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（2）计量周期内材料价差按本合同约定的允许调整的主要材料工程量及其施工期间单价，并按本合同《主要材料费价差计算表》及以下方法计算：</w:t>
      </w:r>
    </w:p>
    <w:p w14:paraId="11C213B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①《允许调整价格的主要材料一览表》中载明的材料投标报价低于基准价格的：合同履行期间材料单价涨幅以基准价格为基础超过约定的风险范围时，或材料单价跌幅以投标报价为基础超过约定的风险范围时，对其超过部分进行价差调整，价差计算公式：价格上涨价差=确认价-基准价*（1+风险系数），价格下跌价差=投标报价*（1+风险系数）-施工期间价格。</w:t>
      </w:r>
    </w:p>
    <w:p w14:paraId="263EBB6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②承包人在《允许调整价格的主要材料一览表》中载明的材料投标报价高于基准价格的：合同履行期间材料单价跌幅以基准价格为基础超过约定的风险范围时，或材料单价涨幅以投标报价为基础超过约定的风险范围时，对其超过部分进行价差调整。价差计算公式：价格上涨价差=确认价-投标报价*（1+风险系数），价格下跌价差=基准价*（1+风险系数）-施工期间价格。</w:t>
      </w:r>
    </w:p>
    <w:p w14:paraId="3D2A23F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③承包人在《允许调整价格的主要材料一览表》中载明的材料单价等于基准单价的：合同履行期间材料单价涨跌幅以基准单价为基础超过约定的风险范围时，对其超过部分进行价差调整。价差计算公式：价格上涨价差=确认价-基准价*（1+风险系数），价格下跌价差=基准价*（1+风险系数）-施工期间价格。</w:t>
      </w:r>
    </w:p>
    <w:p w14:paraId="37EF25C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4</w:t>
      </w:r>
      <w:r>
        <w:rPr>
          <w:rFonts w:hint="eastAsia" w:hAnsi="宋体" w:cs="宋体"/>
          <w:color w:val="auto"/>
          <w:kern w:val="0"/>
          <w:highlight w:val="none"/>
        </w:rPr>
        <w:t xml:space="preserve">  合同工程出现工期延长的，应按下列规定确定及调整合同履行期由于物价变化影响的价格：</w:t>
      </w:r>
    </w:p>
    <w:p w14:paraId="2D1791B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（1）因发包人原因导致工期延长的，计划进度日期后续工程的价格或价格指数，采用计划进度日期与实际进度日期两者的较高者。</w:t>
      </w:r>
    </w:p>
    <w:p w14:paraId="252FFBE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（2）因承包人原因导致工期延长的，计划进度日期后续工程的价格或价格指数，采用计划进度日期与实际进度日期两者的较低者。</w:t>
      </w:r>
    </w:p>
    <w:p w14:paraId="4123EDD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（3）因非发承包双方原因引起工期延长的，计划进度日期后续工程的价格应按本合同11.2.1的约定调整价格。</w:t>
      </w:r>
    </w:p>
    <w:p w14:paraId="22455AD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val="en-US" w:eastAsia="zh-CN"/>
        </w:rPr>
        <w:t>5</w:t>
      </w:r>
      <w:r>
        <w:rPr>
          <w:rFonts w:hint="eastAsia" w:hAnsi="宋体" w:cs="宋体"/>
          <w:color w:val="auto"/>
          <w:kern w:val="0"/>
          <w:highlight w:val="none"/>
          <w:lang w:eastAsia="zh-CN"/>
        </w:rPr>
        <w:t>合同</w:t>
      </w:r>
      <w:r>
        <w:rPr>
          <w:rFonts w:hint="eastAsia" w:hAnsi="宋体" w:cs="宋体"/>
          <w:color w:val="auto"/>
          <w:kern w:val="0"/>
          <w:highlight w:val="none"/>
        </w:rPr>
        <w:t>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计算调价区段超出协商后约定的合同幅度的人工费、主要材料费价差。</w:t>
      </w:r>
    </w:p>
    <w:p w14:paraId="00C92B10">
      <w:pPr>
        <w:spacing w:line="360" w:lineRule="auto"/>
        <w:ind w:firstLine="420" w:firstLineChars="200"/>
        <w:jc w:val="left"/>
        <w:rPr>
          <w:rFonts w:hint="eastAsia" w:hAnsi="宋体" w:cs="宋体"/>
          <w:color w:val="auto"/>
          <w:kern w:val="0"/>
          <w:highlight w:val="none"/>
        </w:rPr>
      </w:pPr>
    </w:p>
    <w:p w14:paraId="28893755">
      <w:pPr>
        <w:spacing w:line="360" w:lineRule="auto"/>
        <w:ind w:firstLine="420" w:firstLineChars="200"/>
        <w:jc w:val="left"/>
        <w:rPr>
          <w:rFonts w:hint="eastAsia" w:hAnsi="宋体" w:cs="宋体"/>
          <w:color w:val="auto"/>
          <w:kern w:val="0"/>
          <w:highlight w:val="none"/>
        </w:rPr>
      </w:pPr>
    </w:p>
    <w:p w14:paraId="1E465AE6">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11.3 法律法规及政策性变化引起的价格调整</w:t>
      </w:r>
    </w:p>
    <w:p w14:paraId="5B7069A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11.3.1 合同工程实施期间，在合同基准日后发生以下法律法规及政策性变化引起合同价款增减变化和（或）工期延误的，按照本合同约定和自治区建设行政主管部门及其授权的工程造价管理机构据此发布的规定调整合同价格及（或）工期：</w:t>
      </w:r>
    </w:p>
    <w:p w14:paraId="3DEFB39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（1）新增的法律法规及政策性规定；</w:t>
      </w:r>
    </w:p>
    <w:p w14:paraId="6FFBCBD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（2）修改原有的法律法规及政策性规定；</w:t>
      </w:r>
    </w:p>
    <w:p w14:paraId="66D7055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（3）废止原有的法律法规及政策性规定；</w:t>
      </w:r>
    </w:p>
    <w:p w14:paraId="190F203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（4）政府对相关法律法规的解释发生了变化。</w:t>
      </w:r>
    </w:p>
    <w:p w14:paraId="4899155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11.3.2因承包人原因导致工期延长，在工期延长期间出现本合同约定的法律法规及政策性变化的，合同价格调增的不予调整，合同价格调减的予以调整。</w:t>
      </w:r>
    </w:p>
    <w:p w14:paraId="671EF8D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11.3.3因发包人原因导致工期延长，在工期延长期间出现本合同约定的法律法规及政策性变化的，合同价格调减的不予调整，合同价格调增的应予调整。</w:t>
      </w:r>
    </w:p>
    <w:p w14:paraId="31ECAFA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11.3.4因非发承包双方原因导致工期延长，在工期延长期间出现本合同约定的法律法规及政策性变化的，合同价格应按实调整，法律法规及政策另有规定的除外。</w:t>
      </w:r>
    </w:p>
    <w:p w14:paraId="25F90E1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11.3.5 法律法规及政策性变化引起合同价格调整的，其合同总价及合同单价内的管理费及利润不应做调整。</w:t>
      </w:r>
    </w:p>
    <w:p w14:paraId="6925CF0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11.3.6合同履行中如国家财税政策变化调整增值税税率的，调整税率实施前已完成未开具发票工程价款及实施后工程计价应按调整后的税率计算增值税，工程进度款及工程结算价分别按以下公式调整：</w:t>
      </w:r>
    </w:p>
    <w:p w14:paraId="02D5D3F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进度款=按基准日计算工程进度款÷（1＋基准日税率）×（1＋调整后税率）</w:t>
      </w:r>
    </w:p>
    <w:p w14:paraId="5DA328A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工程结算价款＝已按基准日税率开具发票的工程价款＋（按基准日税率计算的工程结算价－已按基准日税率开具发票的工程价款）÷（1＋基准日税率）×（1＋调整后税率）</w:t>
      </w:r>
    </w:p>
    <w:p w14:paraId="097DE4FE">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11.4 工程量清单缺陷引起的价格调整</w:t>
      </w:r>
    </w:p>
    <w:p w14:paraId="72F1795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11.4.1 对于单价合同，</w:t>
      </w:r>
      <w:r>
        <w:rPr>
          <w:rFonts w:hint="eastAsia" w:hAnsi="宋体" w:cs="宋体"/>
          <w:color w:val="auto"/>
          <w:kern w:val="0"/>
          <w:highlight w:val="none"/>
          <w:lang w:eastAsia="zh-CN"/>
        </w:rPr>
        <w:t>应根据</w:t>
      </w:r>
      <w:r>
        <w:rPr>
          <w:rFonts w:hint="eastAsia" w:hAnsi="宋体" w:cs="宋体"/>
          <w:color w:val="auto"/>
          <w:kern w:val="0"/>
          <w:highlight w:val="none"/>
        </w:rPr>
        <w:t>合同图纸（不含变更部分）</w:t>
      </w:r>
      <w:r>
        <w:rPr>
          <w:rFonts w:hint="eastAsia" w:hAnsi="宋体" w:cs="宋体"/>
          <w:color w:val="auto"/>
          <w:kern w:val="0"/>
          <w:highlight w:val="none"/>
          <w:lang w:eastAsia="zh-CN"/>
        </w:rPr>
        <w:t>重新计算</w:t>
      </w:r>
      <w:r>
        <w:rPr>
          <w:rFonts w:hint="eastAsia" w:hAnsi="宋体" w:cs="宋体"/>
          <w:color w:val="auto"/>
          <w:kern w:val="0"/>
          <w:highlight w:val="none"/>
        </w:rPr>
        <w:t>分部分项工程清单项目及工程量，并按以下规则调整合同单价：</w:t>
      </w:r>
    </w:p>
    <w:p w14:paraId="36D303A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（1）分部分项工程量清单工程量偏差</w:t>
      </w:r>
      <w:r>
        <w:rPr>
          <w:rFonts w:hint="eastAsia" w:hAnsi="宋体" w:cs="宋体"/>
          <w:color w:val="auto"/>
          <w:kern w:val="0"/>
          <w:highlight w:val="none"/>
          <w:lang w:eastAsia="zh-CN"/>
        </w:rPr>
        <w:t>导致合同单价调整按照</w:t>
      </w:r>
      <w:r>
        <w:rPr>
          <w:rFonts w:hint="eastAsia" w:hAnsi="宋体" w:cs="宋体"/>
          <w:color w:val="auto"/>
          <w:kern w:val="0"/>
          <w:highlight w:val="none"/>
          <w:lang w:val="en-US" w:eastAsia="zh-CN"/>
        </w:rPr>
        <w:t>1.13约定执行</w:t>
      </w:r>
      <w:r>
        <w:rPr>
          <w:rFonts w:hint="eastAsia" w:hAnsi="宋体" w:cs="宋体"/>
          <w:color w:val="auto"/>
          <w:kern w:val="0"/>
          <w:highlight w:val="none"/>
        </w:rPr>
        <w:t>。</w:t>
      </w:r>
    </w:p>
    <w:p w14:paraId="4CF2667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（2）分部分项工程量清单项目特征与合同图纸不符引起工程造价增减变化的，应根据合同图纸的项目特征，按本合同</w:t>
      </w:r>
      <w:r>
        <w:rPr>
          <w:rFonts w:hint="eastAsia" w:hAnsi="宋体" w:cs="宋体"/>
          <w:color w:val="auto"/>
          <w:kern w:val="0"/>
          <w:highlight w:val="none"/>
          <w:lang w:eastAsia="zh-CN"/>
        </w:rPr>
        <w:t>1</w:t>
      </w:r>
      <w:r>
        <w:rPr>
          <w:rFonts w:hint="eastAsia" w:hAnsi="宋体" w:cs="宋体"/>
          <w:color w:val="auto"/>
          <w:kern w:val="0"/>
          <w:highlight w:val="none"/>
          <w:lang w:val="en-US" w:eastAsia="zh-CN"/>
        </w:rPr>
        <w:t>0.4.1</w:t>
      </w:r>
      <w:r>
        <w:rPr>
          <w:rFonts w:hint="eastAsia" w:hAnsi="宋体" w:cs="宋体"/>
          <w:color w:val="auto"/>
          <w:kern w:val="0"/>
          <w:highlight w:val="none"/>
        </w:rPr>
        <w:t>约定执行。</w:t>
      </w:r>
    </w:p>
    <w:p w14:paraId="434D2F4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（3）分部分项工程量清单项目错漏项，新增分部分项工程清单项目应按本合同</w:t>
      </w:r>
      <w:r>
        <w:rPr>
          <w:rFonts w:hint="eastAsia" w:hAnsi="宋体" w:cs="宋体"/>
          <w:color w:val="auto"/>
          <w:kern w:val="0"/>
          <w:highlight w:val="none"/>
          <w:lang w:eastAsia="zh-CN"/>
        </w:rPr>
        <w:t>1</w:t>
      </w:r>
      <w:r>
        <w:rPr>
          <w:rFonts w:hint="eastAsia" w:hAnsi="宋体" w:cs="宋体"/>
          <w:color w:val="auto"/>
          <w:kern w:val="0"/>
          <w:highlight w:val="none"/>
          <w:lang w:val="en-US" w:eastAsia="zh-CN"/>
        </w:rPr>
        <w:t>0.4.1</w:t>
      </w:r>
      <w:r>
        <w:rPr>
          <w:rFonts w:hint="eastAsia" w:hAnsi="宋体" w:cs="宋体"/>
          <w:color w:val="auto"/>
          <w:kern w:val="0"/>
          <w:highlight w:val="none"/>
        </w:rPr>
        <w:t>条约定确定单价。</w:t>
      </w:r>
    </w:p>
    <w:p w14:paraId="15C927C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11.4.2 对于总价合同，合同价格不因合同清单缺陷而调整。</w:t>
      </w:r>
    </w:p>
    <w:p w14:paraId="09662D7F">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11.5 工程变更引起的价格调整</w:t>
      </w:r>
    </w:p>
    <w:p w14:paraId="5EA7A887">
      <w:pPr>
        <w:spacing w:line="360" w:lineRule="auto"/>
        <w:ind w:firstLine="420" w:firstLineChars="200"/>
        <w:jc w:val="left"/>
        <w:rPr>
          <w:rFonts w:hint="eastAsia" w:ascii="Times New Roman" w:hAnsi="宋体" w:eastAsia="宋体" w:cs="宋体"/>
          <w:b w:val="0"/>
          <w:bCs w:val="0"/>
          <w:color w:val="auto"/>
          <w:kern w:val="0"/>
          <w:sz w:val="21"/>
          <w:szCs w:val="21"/>
          <w:highlight w:val="none"/>
          <w:lang w:val="en-US"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en-US" w:eastAsia="zh-CN"/>
        </w:rPr>
        <w:t>10.4约定执行。</w:t>
      </w:r>
    </w:p>
    <w:p w14:paraId="1A11F66A">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11.6暂估价引起的价格调整</w:t>
      </w:r>
    </w:p>
    <w:p w14:paraId="023B7050">
      <w:pPr>
        <w:spacing w:line="360" w:lineRule="auto"/>
        <w:ind w:firstLine="210" w:firstLineChars="100"/>
        <w:jc w:val="left"/>
        <w:outlineLvl w:val="9"/>
        <w:rPr>
          <w:rFonts w:hint="eastAsia" w:ascii="Times New Roman" w:hAnsi="宋体" w:eastAsia="宋体" w:cs="宋体"/>
          <w:b w:val="0"/>
          <w:bCs w:val="0"/>
          <w:color w:val="auto"/>
          <w:kern w:val="0"/>
          <w:sz w:val="21"/>
          <w:szCs w:val="21"/>
          <w:highlight w:val="none"/>
          <w:lang w:val="zh-CN"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zh-CN" w:eastAsia="zh-CN"/>
        </w:rPr>
        <w:t>10.7约定执行。</w:t>
      </w:r>
    </w:p>
    <w:p w14:paraId="1F6C55E1">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11.7总承包服务费调整</w:t>
      </w:r>
    </w:p>
    <w:p w14:paraId="2C214F3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11.7.1 发包人提供材料变更为承包人提供的，扣除合同总价中计取的相应发包人提供材料的总承包服务费。</w:t>
      </w:r>
    </w:p>
    <w:p w14:paraId="69368B7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11.7.2 承包人提供的材料变更为发包人提供的，发包人应支付发包人提供材料需要承包人协助协调、材料保管等相应服务的总承包服务费。</w:t>
      </w:r>
    </w:p>
    <w:p w14:paraId="652AC4F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11.7.3 若合同履行过程中发生暂估专业工程取消，或确定由承包人负责完成，或在承包人的合同工程已竣工且撤场后进行的，应扣除合同总价中计取的相应暂估专业工程总承包服务费。</w:t>
      </w:r>
    </w:p>
    <w:p w14:paraId="385F83F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11.7.4总承包服务费除可按本合同约定及服务内容变化可调整外，作为风险包干，工程结算不作调整。</w:t>
      </w:r>
    </w:p>
    <w:p w14:paraId="63B6876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11.7.5 因发包人同意的暂估专业工程发生工程变更或发包人原因引起实质性工期改变，发承包双方按下式计算调整受影响的专业分包工程总承包服务费：</w:t>
      </w:r>
    </w:p>
    <w:p w14:paraId="6467BAE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总承包服务费调整价款=受影响专业分包工程延误的工期×受影响专业分包工程总承包服务费/受影响专业分包工程工期。</w:t>
      </w:r>
    </w:p>
    <w:p w14:paraId="6E6C0AFA">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11.8 零星签证引起的价格调整</w:t>
      </w:r>
    </w:p>
    <w:p w14:paraId="78E8811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11.8.1采用零星签证方式进行计价的工程或工作，应按本合同12.3.</w:t>
      </w:r>
      <w:r>
        <w:rPr>
          <w:rFonts w:hint="eastAsia" w:hAnsi="宋体" w:cs="宋体"/>
          <w:color w:val="auto"/>
          <w:kern w:val="0"/>
          <w:highlight w:val="none"/>
          <w:lang w:val="en-US" w:eastAsia="zh-CN"/>
        </w:rPr>
        <w:t>1</w:t>
      </w:r>
      <w:r>
        <w:rPr>
          <w:rFonts w:hint="eastAsia" w:hAnsi="宋体" w:cs="宋体"/>
          <w:color w:val="auto"/>
          <w:kern w:val="0"/>
          <w:highlight w:val="none"/>
        </w:rPr>
        <w:t xml:space="preserve"> 的约定计量，按本合同约定的零星签证确认单格式要求签证费用。</w:t>
      </w:r>
    </w:p>
    <w:p w14:paraId="48E8670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11.8.2发承包双方按以下第          种方式确定零星签证综合单价：</w:t>
      </w:r>
    </w:p>
    <w:p w14:paraId="516012A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w:t>
      </w:r>
      <w:bookmarkEnd w:id="1656"/>
      <w:bookmarkEnd w:id="1657"/>
      <w:bookmarkEnd w:id="1658"/>
      <w:bookmarkEnd w:id="1659"/>
      <w:bookmarkEnd w:id="1660"/>
      <w:bookmarkEnd w:id="1661"/>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Start w:id="1826" w:name="_Toc296891033"/>
      <w:bookmarkStart w:id="1827" w:name="_Toc292559915"/>
      <w:bookmarkStart w:id="1828" w:name="_Toc297120505"/>
      <w:bookmarkStart w:id="1829" w:name="_Toc292559410"/>
      <w:bookmarkStart w:id="1830" w:name="_Toc296346706"/>
      <w:bookmarkStart w:id="1831" w:name="_Toc296347204"/>
      <w:bookmarkStart w:id="1832" w:name="_Toc296503205"/>
      <w:bookmarkStart w:id="1833" w:name="_Toc296891245"/>
      <w:bookmarkStart w:id="1834" w:name="_Toc297048391"/>
      <w:bookmarkStart w:id="1835" w:name="_Toc296944544"/>
      <w:bookmarkStart w:id="1836" w:name="_Toc407135251"/>
      <w:bookmarkStart w:id="1837" w:name="_Toc1720046426"/>
      <w:bookmarkStart w:id="1838" w:name="_Toc373478395"/>
      <w:bookmarkStart w:id="1839" w:name="_Toc373227748"/>
      <w:bookmarkStart w:id="1840" w:name="_Toc78449837"/>
      <w:bookmarkStart w:id="1841" w:name="_Toc351203644"/>
      <w:bookmarkStart w:id="1842" w:name="_Toc297216211"/>
      <w:bookmarkStart w:id="1843" w:name="_Toc300935002"/>
      <w:bookmarkStart w:id="1844" w:name="_Toc304295579"/>
      <w:bookmarkStart w:id="1845" w:name="_Toc303539159"/>
      <w:bookmarkStart w:id="1846" w:name="_Toc297123552"/>
      <w:bookmarkStart w:id="1847" w:name="_Toc312678040"/>
      <w:r>
        <w:rPr>
          <w:rFonts w:hint="eastAsia" w:hAnsi="宋体" w:cs="宋体"/>
          <w:color w:val="auto"/>
          <w:kern w:val="0"/>
          <w:highlight w:val="none"/>
        </w:rPr>
        <w:t>人工费、材料费、施工机具使用费按《       市建设工程造价信息》所发布工程价格信息确定。工程造价信息中没有相应价格的，依据经发承包双方确认的价格，同时计算相应的管理费、利润、增值税后确定零星签证综合单价。</w:t>
      </w:r>
    </w:p>
    <w:p w14:paraId="5139E44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                                 ，同时计算相应的管理费、利润、增值税后确定零星签证综合单价。</w:t>
      </w:r>
    </w:p>
    <w:p w14:paraId="7BF1CD4B">
      <w:pPr>
        <w:spacing w:line="360" w:lineRule="auto"/>
        <w:ind w:firstLine="420" w:firstLineChars="200"/>
        <w:jc w:val="left"/>
        <w:rPr>
          <w:rFonts w:hint="default" w:ascii="Times New Roman" w:hAnsi="宋体" w:eastAsia="宋体" w:cs="宋体"/>
          <w:b w:val="0"/>
          <w:bCs w:val="0"/>
          <w:color w:val="auto"/>
          <w:kern w:val="0"/>
          <w:sz w:val="21"/>
          <w:szCs w:val="21"/>
          <w:highlight w:val="none"/>
          <w:lang w:val="en-US" w:eastAsia="zh-CN"/>
        </w:rPr>
      </w:pPr>
      <w:r>
        <w:rPr>
          <w:rFonts w:hint="eastAsia" w:hAnsi="宋体" w:cs="宋体"/>
          <w:color w:val="auto"/>
          <w:kern w:val="0"/>
          <w:highlight w:val="none"/>
        </w:rPr>
        <w:t>11.8.3采用零星签证计价的，零星签证综合单价包括零星签证项目随机发生、少量发生等特点造成的额外增加费用和零星签证项目发生的措施项目费用，合同总价中的措施项目费用不因零星签证的发生而调整。</w:t>
      </w:r>
    </w:p>
    <w:p w14:paraId="41008D53">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w:t>
      </w:r>
      <w:r>
        <w:rPr>
          <w:rFonts w:hint="eastAsia" w:ascii="Times New Roman" w:hAnsi="Times New Roman" w:eastAsia="黑体" w:cs="Times New Roman"/>
          <w:b/>
          <w:bCs/>
          <w:color w:val="auto"/>
          <w:kern w:val="2"/>
          <w:sz w:val="32"/>
          <w:szCs w:val="32"/>
          <w:highlight w:val="none"/>
          <w:lang w:val="en-US" w:eastAsia="zh-CN"/>
        </w:rPr>
        <w:t>9</w:t>
      </w:r>
      <w:r>
        <w:rPr>
          <w:rFonts w:hint="eastAsia" w:ascii="Times New Roman" w:hAnsi="Times New Roman" w:eastAsia="黑体" w:cs="Times New Roman"/>
          <w:b/>
          <w:bCs/>
          <w:color w:val="auto"/>
          <w:kern w:val="2"/>
          <w:sz w:val="32"/>
          <w:szCs w:val="32"/>
          <w:highlight w:val="none"/>
          <w:lang w:val="zh-CN"/>
        </w:rPr>
        <w:t>发包人提供</w:t>
      </w:r>
      <w:r>
        <w:rPr>
          <w:rFonts w:hint="eastAsia" w:ascii="Times New Roman" w:hAnsi="Times New Roman" w:eastAsia="黑体" w:cs="Times New Roman"/>
          <w:b/>
          <w:bCs/>
          <w:color w:val="auto"/>
          <w:kern w:val="2"/>
          <w:sz w:val="32"/>
          <w:szCs w:val="32"/>
          <w:highlight w:val="none"/>
          <w:lang w:val="zh-CN" w:eastAsia="zh-CN"/>
        </w:rPr>
        <w:t>材料事项</w:t>
      </w:r>
      <w:r>
        <w:rPr>
          <w:rFonts w:hint="default" w:ascii="Times New Roman" w:hAnsi="Times New Roman" w:eastAsia="黑体" w:cs="Times New Roman"/>
          <w:b/>
          <w:bCs/>
          <w:color w:val="auto"/>
          <w:kern w:val="2"/>
          <w:sz w:val="32"/>
          <w:szCs w:val="32"/>
          <w:highlight w:val="none"/>
          <w:lang w:val="zh-CN"/>
        </w:rPr>
        <w:t>引起的价格调整</w:t>
      </w:r>
    </w:p>
    <w:p w14:paraId="1F88C50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11.9.1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649FD9A7">
      <w:pPr>
        <w:spacing w:line="360" w:lineRule="auto"/>
        <w:ind w:left="420" w:leftChars="200" w:firstLine="0" w:firstLineChars="0"/>
        <w:jc w:val="left"/>
        <w:rPr>
          <w:color w:val="auto"/>
          <w:highlight w:val="none"/>
        </w:rPr>
      </w:pPr>
      <w:r>
        <w:rPr>
          <w:rFonts w:hint="eastAsia" w:hAnsi="宋体" w:cs="宋体"/>
          <w:color w:val="auto"/>
          <w:kern w:val="0"/>
          <w:highlight w:val="none"/>
        </w:rPr>
        <w:t>11.9.2 工期变化引起的合同价格调整，发承包双方应按本合同11节的相关约定计算调整。</w:t>
      </w:r>
      <w:r>
        <w:rPr>
          <w:rFonts w:hint="eastAsia" w:ascii="Times New Roman" w:hAnsi="宋体" w:eastAsia="宋体" w:cs="宋体"/>
          <w:b w:val="0"/>
          <w:bCs w:val="0"/>
          <w:color w:val="auto"/>
          <w:kern w:val="0"/>
          <w:sz w:val="21"/>
          <w:szCs w:val="21"/>
          <w:highlight w:val="none"/>
          <w:lang w:val="en-US"/>
        </w:rPr>
        <w:t xml:space="preserve">11.9.3 其他调整事项：  </w:t>
      </w:r>
      <w:r>
        <w:rPr>
          <w:rFonts w:hint="eastAsia" w:hAnsi="宋体" w:cs="宋体"/>
          <w:color w:val="auto"/>
          <w:kern w:val="0"/>
          <w:highlight w:val="none"/>
        </w:rPr>
        <w:t xml:space="preserve"> </w:t>
      </w:r>
    </w:p>
    <w:p w14:paraId="26835229">
      <w:pPr>
        <w:pStyle w:val="3"/>
        <w:rPr>
          <w:color w:val="auto"/>
          <w:highlight w:val="none"/>
        </w:rPr>
      </w:pPr>
      <w:bookmarkStart w:id="1848" w:name="_Toc15051"/>
      <w:r>
        <w:rPr>
          <w:color w:val="auto"/>
          <w:highlight w:val="none"/>
        </w:rPr>
        <w:t xml:space="preserve">12. </w:t>
      </w:r>
      <w:bookmarkEnd w:id="1826"/>
      <w:bookmarkEnd w:id="1827"/>
      <w:bookmarkEnd w:id="1828"/>
      <w:bookmarkEnd w:id="1829"/>
      <w:bookmarkEnd w:id="1830"/>
      <w:bookmarkEnd w:id="1831"/>
      <w:bookmarkEnd w:id="1832"/>
      <w:bookmarkEnd w:id="1833"/>
      <w:bookmarkEnd w:id="1834"/>
      <w:bookmarkEnd w:id="1835"/>
      <w:r>
        <w:rPr>
          <w:rFonts w:hint="eastAsia" w:cs="黑体"/>
          <w:color w:val="auto"/>
          <w:highlight w:val="none"/>
        </w:rPr>
        <w:t>合同价格、计量与支付</w:t>
      </w:r>
      <w:bookmarkEnd w:id="1836"/>
      <w:bookmarkEnd w:id="1837"/>
      <w:bookmarkEnd w:id="1838"/>
      <w:bookmarkEnd w:id="1839"/>
      <w:bookmarkEnd w:id="1840"/>
      <w:bookmarkEnd w:id="1841"/>
      <w:bookmarkEnd w:id="1848"/>
    </w:p>
    <w:bookmarkEnd w:id="1842"/>
    <w:bookmarkEnd w:id="1843"/>
    <w:bookmarkEnd w:id="1844"/>
    <w:bookmarkEnd w:id="1845"/>
    <w:bookmarkEnd w:id="1846"/>
    <w:bookmarkEnd w:id="1847"/>
    <w:p w14:paraId="1BB0437B">
      <w:pPr>
        <w:pStyle w:val="4"/>
        <w:rPr>
          <w:color w:val="auto"/>
          <w:highlight w:val="none"/>
        </w:rPr>
      </w:pPr>
      <w:bookmarkStart w:id="1849" w:name="_Toc267251461"/>
      <w:bookmarkStart w:id="1850" w:name="_Toc292559916"/>
      <w:bookmarkStart w:id="1851" w:name="_Toc292559411"/>
      <w:bookmarkStart w:id="1852" w:name="_Toc296346707"/>
      <w:bookmarkStart w:id="1853" w:name="_Toc296503206"/>
      <w:bookmarkStart w:id="1854" w:name="_Toc296891034"/>
      <w:bookmarkStart w:id="1855" w:name="_Toc296891246"/>
      <w:bookmarkStart w:id="1856" w:name="_Toc297048392"/>
      <w:bookmarkStart w:id="1857" w:name="_Toc296944545"/>
      <w:bookmarkStart w:id="1858" w:name="_Toc297120506"/>
      <w:bookmarkStart w:id="1859" w:name="_Toc296347205"/>
      <w:bookmarkStart w:id="1860" w:name="_Toc373478396"/>
      <w:bookmarkStart w:id="1861" w:name="_Toc78449838"/>
      <w:bookmarkStart w:id="1862" w:name="_Toc1894565429"/>
      <w:bookmarkStart w:id="1863" w:name="_Toc373227749"/>
      <w:bookmarkStart w:id="1864" w:name="_Toc12368"/>
      <w:bookmarkStart w:id="1865" w:name="_Toc407135252"/>
      <w:bookmarkStart w:id="1866" w:name="_Toc389065314"/>
      <w:bookmarkStart w:id="1867" w:name="_Toc20787"/>
      <w:bookmarkStart w:id="1868" w:name="_Toc297123553"/>
      <w:bookmarkStart w:id="1869" w:name="_Toc297216212"/>
      <w:bookmarkStart w:id="1870" w:name="_Toc303539160"/>
      <w:bookmarkStart w:id="1871" w:name="_Toc312678041"/>
      <w:bookmarkStart w:id="1872" w:name="_Toc300935003"/>
      <w:bookmarkStart w:id="1873" w:name="_Toc304295580"/>
      <w:r>
        <w:rPr>
          <w:color w:val="auto"/>
          <w:highlight w:val="none"/>
        </w:rPr>
        <w:t xml:space="preserve">12.1 </w:t>
      </w:r>
      <w:r>
        <w:rPr>
          <w:rFonts w:hint="eastAsia" w:hAnsi="宋体" w:cs="黑体"/>
          <w:color w:val="auto"/>
          <w:highlight w:val="none"/>
        </w:rPr>
        <w:t>合</w:t>
      </w:r>
      <w:bookmarkEnd w:id="1849"/>
      <w:bookmarkEnd w:id="1850"/>
      <w:bookmarkEnd w:id="1851"/>
      <w:r>
        <w:rPr>
          <w:rFonts w:hint="eastAsia" w:hAnsi="宋体" w:cs="黑体"/>
          <w:color w:val="auto"/>
          <w:highlight w:val="none"/>
        </w:rPr>
        <w:t>同价</w:t>
      </w:r>
      <w:bookmarkEnd w:id="1852"/>
      <w:bookmarkEnd w:id="1853"/>
      <w:bookmarkEnd w:id="1854"/>
      <w:bookmarkEnd w:id="1855"/>
      <w:bookmarkEnd w:id="1856"/>
      <w:bookmarkEnd w:id="1857"/>
      <w:bookmarkEnd w:id="1858"/>
      <w:bookmarkEnd w:id="1859"/>
      <w:r>
        <w:rPr>
          <w:rFonts w:hint="eastAsia" w:hAnsi="宋体" w:cs="黑体"/>
          <w:color w:val="auto"/>
          <w:highlight w:val="none"/>
        </w:rPr>
        <w:t>格形式</w:t>
      </w:r>
      <w:bookmarkEnd w:id="1860"/>
      <w:bookmarkEnd w:id="1861"/>
      <w:bookmarkEnd w:id="1862"/>
      <w:bookmarkEnd w:id="1863"/>
      <w:bookmarkEnd w:id="1864"/>
      <w:bookmarkEnd w:id="1865"/>
      <w:bookmarkEnd w:id="1866"/>
      <w:bookmarkEnd w:id="1867"/>
    </w:p>
    <w:bookmarkEnd w:id="1868"/>
    <w:bookmarkEnd w:id="1869"/>
    <w:bookmarkEnd w:id="1870"/>
    <w:bookmarkEnd w:id="1871"/>
    <w:bookmarkEnd w:id="1872"/>
    <w:bookmarkEnd w:id="1873"/>
    <w:p w14:paraId="281BA8A9">
      <w:pPr>
        <w:spacing w:line="360" w:lineRule="auto"/>
        <w:ind w:firstLine="420" w:firstLineChars="200"/>
        <w:jc w:val="left"/>
        <w:rPr>
          <w:rFonts w:hint="eastAsia" w:hAnsi="宋体" w:cs="宋体"/>
          <w:color w:val="auto"/>
          <w:highlight w:val="none"/>
        </w:rPr>
      </w:pPr>
      <w:bookmarkStart w:id="1874" w:name="_Toc389065315"/>
      <w:bookmarkStart w:id="1875" w:name="_Toc373478397"/>
      <w:bookmarkStart w:id="1876" w:name="_Toc373227750"/>
      <w:bookmarkStart w:id="1877" w:name="_Toc304295581"/>
      <w:bookmarkStart w:id="1878" w:name="_Toc303539161"/>
      <w:bookmarkStart w:id="1879" w:name="_Toc297216213"/>
      <w:bookmarkStart w:id="1880" w:name="_Toc297123554"/>
      <w:bookmarkStart w:id="1881" w:name="_Toc312678042"/>
      <w:bookmarkStart w:id="1882" w:name="_Toc300935004"/>
      <w:bookmarkStart w:id="1883" w:name="_Toc296891035"/>
      <w:bookmarkStart w:id="1884" w:name="_Toc292559412"/>
      <w:bookmarkStart w:id="1885" w:name="_Toc296347206"/>
      <w:bookmarkStart w:id="1886" w:name="_Toc297120507"/>
      <w:bookmarkStart w:id="1887" w:name="_Toc296891247"/>
      <w:bookmarkStart w:id="1888" w:name="_Toc296346708"/>
      <w:bookmarkStart w:id="1889" w:name="_Toc292559917"/>
      <w:bookmarkStart w:id="1890" w:name="_Toc297048393"/>
      <w:bookmarkStart w:id="1891" w:name="_Toc296944546"/>
      <w:bookmarkStart w:id="1892" w:name="_Toc296503207"/>
      <w:r>
        <w:rPr>
          <w:rFonts w:hint="eastAsia" w:hAnsi="宋体" w:cs="宋体"/>
          <w:color w:val="auto"/>
          <w:highlight w:val="none"/>
        </w:rPr>
        <w:t>12.1.1本工程采用第</w:t>
      </w:r>
      <w:r>
        <w:rPr>
          <w:rFonts w:hint="eastAsia" w:hAnsi="宋体" w:cs="宋体"/>
          <w:color w:val="auto"/>
          <w:highlight w:val="none"/>
          <w:u w:val="single"/>
        </w:rPr>
        <w:t xml:space="preserve">                 </w:t>
      </w:r>
      <w:r>
        <w:rPr>
          <w:rFonts w:hint="eastAsia" w:hAnsi="宋体" w:cs="宋体"/>
          <w:color w:val="auto"/>
          <w:highlight w:val="none"/>
        </w:rPr>
        <w:t xml:space="preserve"> 种合同价格形式，合同价格包含增值税。</w:t>
      </w:r>
    </w:p>
    <w:p w14:paraId="2D65264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第一种方式：单价合同。</w:t>
      </w:r>
    </w:p>
    <w:p w14:paraId="14B05C6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第二种方式：总价合同。</w:t>
      </w:r>
    </w:p>
    <w:p w14:paraId="5D1C85B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第三种方式：其他价格方式：                                       。</w:t>
      </w:r>
    </w:p>
    <w:p w14:paraId="45DCE8F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12.1.2 合同价格调整事项</w:t>
      </w:r>
    </w:p>
    <w:p w14:paraId="181FBD1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合同履行过程发生下列事项，发承包双方应按本合同相关条款约定调整合同价格：</w:t>
      </w:r>
    </w:p>
    <w:p w14:paraId="6FE6CA8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（1）工程量清单缺陷；（2）暂列金额；（3）暂估价；（4）总承包服务费；（5）零星签证；（6）物价变化；（7）法律法规及政策性变化；（8）工程变更；（9）工程索赔；（10） 发承包双方约定的其他调整事项：                  。</w:t>
      </w:r>
    </w:p>
    <w:p w14:paraId="30FBA840">
      <w:pPr>
        <w:pStyle w:val="4"/>
        <w:rPr>
          <w:color w:val="auto"/>
          <w:highlight w:val="none"/>
        </w:rPr>
      </w:pPr>
      <w:bookmarkStart w:id="1893" w:name="_Toc1681900246"/>
      <w:bookmarkStart w:id="1894" w:name="_Toc13852"/>
      <w:bookmarkStart w:id="1895" w:name="_Toc407135253"/>
      <w:bookmarkStart w:id="1896" w:name="_Toc78449839"/>
      <w:bookmarkStart w:id="1897" w:name="_Toc20258"/>
      <w:r>
        <w:rPr>
          <w:color w:val="auto"/>
          <w:highlight w:val="none"/>
        </w:rPr>
        <w:t xml:space="preserve">12.2 </w:t>
      </w:r>
      <w:r>
        <w:rPr>
          <w:rFonts w:hint="eastAsia" w:hAnsi="宋体" w:cs="黑体"/>
          <w:color w:val="auto"/>
          <w:highlight w:val="none"/>
        </w:rPr>
        <w:t>预付款</w:t>
      </w:r>
      <w:bookmarkEnd w:id="1874"/>
      <w:bookmarkEnd w:id="1875"/>
      <w:bookmarkEnd w:id="1876"/>
      <w:bookmarkEnd w:id="1893"/>
      <w:bookmarkEnd w:id="1894"/>
      <w:bookmarkEnd w:id="1895"/>
      <w:bookmarkEnd w:id="1896"/>
      <w:bookmarkEnd w:id="1897"/>
    </w:p>
    <w:bookmarkEnd w:id="1877"/>
    <w:bookmarkEnd w:id="1878"/>
    <w:bookmarkEnd w:id="1879"/>
    <w:bookmarkEnd w:id="1880"/>
    <w:bookmarkEnd w:id="1881"/>
    <w:bookmarkEnd w:id="1882"/>
    <w:p w14:paraId="3A06716D">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50FB9862">
      <w:pPr>
        <w:spacing w:line="360" w:lineRule="auto"/>
        <w:ind w:firstLine="420" w:firstLineChars="200"/>
        <w:jc w:val="left"/>
        <w:rPr>
          <w:color w:val="auto"/>
          <w:highlight w:val="none"/>
        </w:rPr>
      </w:pPr>
      <w:r>
        <w:rPr>
          <w:rFonts w:hint="eastAsia" w:hAnsi="宋体" w:cs="宋体"/>
          <w:color w:val="auto"/>
          <w:highlight w:val="none"/>
        </w:rPr>
        <w:t>预付款支付比例或金额：</w:t>
      </w:r>
      <w:r>
        <w:rPr>
          <w:color w:val="auto"/>
          <w:highlight w:val="none"/>
          <w:u w:val="single"/>
        </w:rPr>
        <w:t xml:space="preserve">                       </w:t>
      </w:r>
      <w:r>
        <w:rPr>
          <w:rFonts w:hint="eastAsia" w:hAnsi="宋体" w:cs="宋体"/>
          <w:color w:val="auto"/>
          <w:highlight w:val="none"/>
        </w:rPr>
        <w:t>。</w:t>
      </w:r>
    </w:p>
    <w:p w14:paraId="5EBA98BE">
      <w:pPr>
        <w:spacing w:line="360" w:lineRule="auto"/>
        <w:ind w:firstLine="420" w:firstLineChars="200"/>
        <w:jc w:val="left"/>
        <w:rPr>
          <w:color w:val="auto"/>
          <w:highlight w:val="none"/>
        </w:rPr>
      </w:pPr>
      <w:r>
        <w:rPr>
          <w:rFonts w:hint="eastAsia" w:hAnsi="宋体" w:cs="宋体"/>
          <w:color w:val="auto"/>
          <w:highlight w:val="none"/>
        </w:rPr>
        <w:t>预付款支付期限：</w:t>
      </w:r>
      <w:r>
        <w:rPr>
          <w:color w:val="auto"/>
          <w:highlight w:val="none"/>
          <w:u w:val="single"/>
        </w:rPr>
        <w:t xml:space="preserve">       </w:t>
      </w:r>
      <w:r>
        <w:rPr>
          <w:rFonts w:hint="eastAsia"/>
          <w:color w:val="auto"/>
          <w:highlight w:val="none"/>
          <w:u w:val="single"/>
        </w:rPr>
        <w:t>合同签订后       天之内</w:t>
      </w:r>
      <w:r>
        <w:rPr>
          <w:color w:val="auto"/>
          <w:highlight w:val="none"/>
          <w:u w:val="single"/>
        </w:rPr>
        <w:t xml:space="preserve">    </w:t>
      </w:r>
      <w:r>
        <w:rPr>
          <w:rFonts w:hint="eastAsia" w:hAnsi="宋体" w:cs="宋体"/>
          <w:color w:val="auto"/>
          <w:highlight w:val="none"/>
        </w:rPr>
        <w:t>。</w:t>
      </w:r>
    </w:p>
    <w:p w14:paraId="3FA196A2">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color w:val="auto"/>
          <w:highlight w:val="none"/>
          <w:u w:val="single"/>
        </w:rPr>
        <w:t>进度款达到    %作为预付款起扣点，从此之后的每个月进度款中按预付款支付比例扣回</w:t>
      </w:r>
      <w:r>
        <w:rPr>
          <w:rFonts w:hint="eastAsia" w:hAnsi="宋体" w:cs="宋体"/>
          <w:color w:val="auto"/>
          <w:highlight w:val="none"/>
        </w:rPr>
        <w:t>。</w:t>
      </w:r>
    </w:p>
    <w:p w14:paraId="6C4EB745">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2330EB2E">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hAnsi="宋体" w:cs="宋体"/>
          <w:color w:val="auto"/>
          <w:highlight w:val="none"/>
        </w:rPr>
        <w:t>。</w:t>
      </w:r>
    </w:p>
    <w:p w14:paraId="384C8610">
      <w:pPr>
        <w:spacing w:line="360" w:lineRule="auto"/>
        <w:ind w:firstLine="420" w:firstLineChars="200"/>
        <w:jc w:val="left"/>
        <w:rPr>
          <w:rFonts w:hint="eastAsia" w:ascii="Times New Roman" w:hAnsi="宋体" w:eastAsia="宋体" w:cs="宋体"/>
          <w:color w:val="auto"/>
          <w:highlight w:val="none"/>
        </w:rPr>
      </w:pPr>
      <w:r>
        <w:rPr>
          <w:rFonts w:hint="eastAsia" w:hAnsi="宋体" w:cs="宋体"/>
          <w:color w:val="auto"/>
          <w:highlight w:val="none"/>
        </w:rPr>
        <w:t>预付款担保的形式为：</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式。工程担保保证人应将出具的保函相关信息录入“广西建筑市场监管云”平台（</w:t>
      </w:r>
      <w:r>
        <w:rPr>
          <w:rFonts w:hint="eastAsia" w:ascii="Times New Roman" w:hAnsi="宋体" w:eastAsia="宋体" w:cs="宋体"/>
          <w:color w:val="auto"/>
          <w:highlight w:val="none"/>
          <w:lang w:eastAsia="zh-CN"/>
        </w:rPr>
        <w:t>https://gxjzsc.gxcic.net</w:t>
      </w:r>
      <w:r>
        <w:rPr>
          <w:rFonts w:hint="eastAsia" w:hAnsi="宋体" w:cs="宋体"/>
          <w:color w:val="auto"/>
          <w:highlight w:val="none"/>
          <w:lang w:eastAsia="zh-CN"/>
        </w:rPr>
        <w:t>）</w:t>
      </w:r>
      <w:r>
        <w:rPr>
          <w:rFonts w:hint="eastAsia" w:ascii="Times New Roman" w:hAnsi="宋体" w:eastAsia="宋体" w:cs="宋体"/>
          <w:color w:val="auto"/>
          <w:highlight w:val="none"/>
        </w:rPr>
        <w:t>，以实现保函查询及验真功能</w:t>
      </w:r>
      <w:r>
        <w:rPr>
          <w:rFonts w:hint="eastAsia" w:ascii="Times New Roman" w:hAnsi="宋体" w:eastAsia="宋体" w:cs="宋体"/>
          <w:color w:val="auto"/>
          <w:highlight w:val="none"/>
          <w:lang w:eastAsia="zh-CN"/>
        </w:rPr>
        <w:t>。</w:t>
      </w:r>
    </w:p>
    <w:p w14:paraId="045E8B95">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1883"/>
    <w:bookmarkEnd w:id="1884"/>
    <w:bookmarkEnd w:id="1885"/>
    <w:bookmarkEnd w:id="1886"/>
    <w:bookmarkEnd w:id="1887"/>
    <w:bookmarkEnd w:id="1888"/>
    <w:bookmarkEnd w:id="1889"/>
    <w:bookmarkEnd w:id="1890"/>
    <w:bookmarkEnd w:id="1891"/>
    <w:bookmarkEnd w:id="1892"/>
    <w:p w14:paraId="0F4F9795">
      <w:pPr>
        <w:pStyle w:val="4"/>
        <w:rPr>
          <w:color w:val="auto"/>
          <w:highlight w:val="none"/>
        </w:rPr>
      </w:pPr>
      <w:bookmarkStart w:id="1898" w:name="_Toc407135254"/>
      <w:bookmarkStart w:id="1899" w:name="_Toc389065316"/>
      <w:bookmarkStart w:id="1900" w:name="_Toc12933"/>
      <w:bookmarkStart w:id="1901" w:name="_Toc373227751"/>
      <w:bookmarkStart w:id="1902" w:name="_Toc1494831447"/>
      <w:bookmarkStart w:id="1903" w:name="_Toc78449840"/>
      <w:bookmarkStart w:id="1904" w:name="_Toc6734"/>
      <w:bookmarkStart w:id="1905" w:name="_Toc373478398"/>
      <w:r>
        <w:rPr>
          <w:color w:val="auto"/>
          <w:highlight w:val="none"/>
        </w:rPr>
        <w:t xml:space="preserve">12.3 </w:t>
      </w:r>
      <w:r>
        <w:rPr>
          <w:rFonts w:hint="eastAsia" w:hAnsi="宋体" w:cs="黑体"/>
          <w:color w:val="auto"/>
          <w:highlight w:val="none"/>
        </w:rPr>
        <w:t>计量</w:t>
      </w:r>
      <w:bookmarkEnd w:id="1898"/>
      <w:bookmarkEnd w:id="1899"/>
      <w:bookmarkEnd w:id="1900"/>
      <w:bookmarkEnd w:id="1901"/>
      <w:bookmarkEnd w:id="1902"/>
      <w:bookmarkEnd w:id="1903"/>
      <w:bookmarkEnd w:id="1904"/>
      <w:bookmarkEnd w:id="1905"/>
    </w:p>
    <w:p w14:paraId="50F997E9">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6E565A35">
      <w:pPr>
        <w:spacing w:line="360" w:lineRule="auto"/>
        <w:ind w:firstLine="420" w:firstLineChars="200"/>
        <w:jc w:val="left"/>
        <w:rPr>
          <w:color w:val="auto"/>
          <w:highlight w:val="none"/>
        </w:rPr>
      </w:pPr>
      <w:r>
        <w:rPr>
          <w:rFonts w:hint="eastAsia" w:hAnsi="宋体" w:cs="宋体"/>
          <w:color w:val="auto"/>
          <w:highlight w:val="none"/>
        </w:rPr>
        <w:t>合同工程应以承包人按合同要求已完成且应予计量的工程进行计量。工程量计算规则：工程的计量均以《广西壮族自治区建设工程全过程计价规范》《广西壮族自治区建设工程多层级工程量清单计算规范》及本工程补充项目清单计量规则为准。</w:t>
      </w:r>
    </w:p>
    <w:p w14:paraId="75FB6CE8">
      <w:pPr>
        <w:spacing w:line="360" w:lineRule="auto"/>
        <w:ind w:firstLine="420" w:firstLineChars="200"/>
        <w:jc w:val="left"/>
        <w:rPr>
          <w:rFonts w:hint="eastAsia" w:eastAsia="宋体"/>
          <w:color w:val="auto"/>
          <w:highlight w:val="none"/>
          <w:lang w:val="en-US" w:eastAsia="zh-CN"/>
        </w:rPr>
      </w:pPr>
      <w:r>
        <w:rPr>
          <w:color w:val="auto"/>
          <w:highlight w:val="none"/>
        </w:rPr>
        <w:t xml:space="preserve">12.3.2 </w:t>
      </w:r>
      <w:r>
        <w:rPr>
          <w:rFonts w:hint="eastAsia" w:hAnsi="宋体" w:cs="宋体"/>
          <w:color w:val="auto"/>
          <w:highlight w:val="none"/>
        </w:rPr>
        <w:t>计量周期</w:t>
      </w:r>
    </w:p>
    <w:p w14:paraId="30E72B6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发承包双方按以下第          种方式</w:t>
      </w:r>
      <w:r>
        <w:rPr>
          <w:rFonts w:hint="eastAsia" w:hAnsi="宋体" w:cs="宋体"/>
          <w:color w:val="auto"/>
          <w:highlight w:val="none"/>
          <w:lang w:eastAsia="zh-CN"/>
        </w:rPr>
        <w:t>（总价合同推荐使用第三种方式）</w:t>
      </w:r>
      <w:r>
        <w:rPr>
          <w:rFonts w:hint="eastAsia" w:hAnsi="宋体" w:cs="宋体"/>
          <w:color w:val="auto"/>
          <w:highlight w:val="none"/>
        </w:rPr>
        <w:t>确定计量周期：</w:t>
      </w:r>
    </w:p>
    <w:p w14:paraId="5542747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第一种方式：按月计量。承包人应于每月      日前向发包人书面报送上月       日至当月      日已完成的工程量报告，并附进度付款申请单、已完成工程量报表和有关资料。</w:t>
      </w:r>
    </w:p>
    <w:p w14:paraId="395E0B3B">
      <w:pPr>
        <w:spacing w:line="360" w:lineRule="auto"/>
        <w:ind w:firstLine="420" w:firstLineChars="200"/>
        <w:jc w:val="left"/>
        <w:rPr>
          <w:rFonts w:hint="eastAsia" w:hAnsi="宋体" w:eastAsia="宋体" w:cs="宋体"/>
          <w:color w:val="auto"/>
          <w:highlight w:val="none"/>
          <w:lang w:eastAsia="zh-CN"/>
        </w:rPr>
      </w:pPr>
      <w:r>
        <w:rPr>
          <w:rFonts w:hint="eastAsia" w:hAnsi="宋体" w:cs="宋体"/>
          <w:color w:val="auto"/>
          <w:highlight w:val="none"/>
        </w:rPr>
        <w:t>第二种方式：</w:t>
      </w:r>
      <w:r>
        <w:rPr>
          <w:rFonts w:hint="eastAsia" w:hAnsi="宋体" w:cs="宋体"/>
          <w:color w:val="auto"/>
          <w:highlight w:val="none"/>
          <w:lang w:eastAsia="zh-CN"/>
        </w:rPr>
        <w:t>按工程形象目标进行工程计量。</w:t>
      </w:r>
      <w:r>
        <w:rPr>
          <w:rFonts w:hint="eastAsia" w:hAnsi="宋体" w:cs="宋体"/>
          <w:color w:val="auto"/>
          <w:highlight w:val="none"/>
        </w:rPr>
        <w:t>承包人应当</w:t>
      </w:r>
      <w:r>
        <w:rPr>
          <w:rFonts w:hint="eastAsia" w:hAnsi="宋体" w:cs="宋体"/>
          <w:color w:val="auto"/>
          <w:highlight w:val="none"/>
          <w:lang w:eastAsia="zh-CN"/>
        </w:rPr>
        <w:t>在工程形象目标任务完成后</w:t>
      </w:r>
      <w:r>
        <w:rPr>
          <w:rFonts w:hint="eastAsia" w:hAnsi="宋体" w:cs="宋体"/>
          <w:color w:val="auto"/>
          <w:highlight w:val="none"/>
        </w:rPr>
        <w:t>向发包人书面报送已完成的工程量报告，并附具进度付款申请单、已完成工程量报表和有关资料。</w:t>
      </w:r>
    </w:p>
    <w:p w14:paraId="5578A67B">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eastAsia="zh-CN"/>
        </w:rPr>
        <w:t>第三种方式：</w:t>
      </w:r>
      <w:r>
        <w:rPr>
          <w:rFonts w:hint="eastAsia" w:hAnsi="宋体" w:cs="宋体"/>
          <w:color w:val="auto"/>
          <w:highlight w:val="none"/>
        </w:rPr>
        <w:t>按照</w:t>
      </w:r>
      <w:r>
        <w:rPr>
          <w:rFonts w:hint="eastAsia" w:hAnsi="宋体" w:cs="宋体"/>
          <w:color w:val="auto"/>
          <w:highlight w:val="none"/>
          <w:lang w:eastAsia="zh-CN"/>
        </w:rPr>
        <w:t>支付分解表支付</w:t>
      </w:r>
      <w:r>
        <w:rPr>
          <w:rFonts w:hint="eastAsia" w:hAnsi="宋体" w:cs="宋体"/>
          <w:color w:val="auto"/>
          <w:highlight w:val="none"/>
        </w:rPr>
        <w:t>。承包人应</w:t>
      </w:r>
      <w:r>
        <w:rPr>
          <w:rFonts w:hint="eastAsia" w:hAnsi="宋体" w:cs="宋体"/>
          <w:color w:val="auto"/>
          <w:highlight w:val="none"/>
          <w:lang w:eastAsia="zh-CN"/>
        </w:rPr>
        <w:t>在支付分解表上要求的工程形象进度目标任务完成后</w:t>
      </w:r>
      <w:r>
        <w:rPr>
          <w:rFonts w:hint="eastAsia" w:hAnsi="宋体" w:cs="宋体"/>
          <w:color w:val="auto"/>
          <w:highlight w:val="none"/>
        </w:rPr>
        <w:t>向发包人书面报送进度付款申请单和有关资料。</w:t>
      </w:r>
    </w:p>
    <w:p w14:paraId="1B64DAC5">
      <w:pPr>
        <w:pStyle w:val="4"/>
        <w:rPr>
          <w:color w:val="auto"/>
          <w:highlight w:val="none"/>
        </w:rPr>
      </w:pPr>
      <w:bookmarkStart w:id="1906" w:name="_Toc1155368667"/>
      <w:bookmarkStart w:id="1907" w:name="_Toc78449841"/>
      <w:bookmarkStart w:id="1908" w:name="_Toc373478399"/>
      <w:bookmarkStart w:id="1909" w:name="_Toc407135255"/>
      <w:bookmarkStart w:id="1910" w:name="_Toc373227752"/>
      <w:bookmarkStart w:id="1911" w:name="_Toc4691"/>
      <w:bookmarkStart w:id="1912" w:name="_Toc389065317"/>
      <w:bookmarkStart w:id="1913" w:name="_Toc4236"/>
      <w:r>
        <w:rPr>
          <w:color w:val="auto"/>
          <w:highlight w:val="none"/>
        </w:rPr>
        <w:t xml:space="preserve">12.4 </w:t>
      </w:r>
      <w:r>
        <w:rPr>
          <w:rFonts w:hint="eastAsia" w:cs="黑体"/>
          <w:color w:val="auto"/>
          <w:highlight w:val="none"/>
        </w:rPr>
        <w:t>工程进度款支付</w:t>
      </w:r>
      <w:bookmarkEnd w:id="1906"/>
      <w:bookmarkEnd w:id="1907"/>
      <w:bookmarkEnd w:id="1908"/>
      <w:bookmarkEnd w:id="1909"/>
      <w:bookmarkEnd w:id="1910"/>
      <w:bookmarkEnd w:id="1911"/>
      <w:bookmarkEnd w:id="1912"/>
      <w:bookmarkEnd w:id="1913"/>
    </w:p>
    <w:p w14:paraId="7ED1B92F">
      <w:pPr>
        <w:spacing w:line="400" w:lineRule="exact"/>
        <w:ind w:firstLine="440" w:firstLineChars="200"/>
        <w:jc w:val="left"/>
        <w:rPr>
          <w:color w:val="auto"/>
          <w:highlight w:val="none"/>
        </w:rPr>
      </w:pPr>
      <w:bookmarkStart w:id="1914" w:name="_Toc292559416"/>
      <w:bookmarkStart w:id="1915" w:name="_Toc297123556"/>
      <w:bookmarkStart w:id="1916" w:name="_Toc300935006"/>
      <w:bookmarkStart w:id="1917" w:name="_Toc297216215"/>
      <w:bookmarkStart w:id="1918" w:name="_Toc297048397"/>
      <w:bookmarkStart w:id="1919" w:name="_Toc296891039"/>
      <w:bookmarkStart w:id="1920" w:name="_Toc296503211"/>
      <w:bookmarkStart w:id="1921" w:name="_Toc296944550"/>
      <w:bookmarkStart w:id="1922" w:name="_Toc296891251"/>
      <w:bookmarkStart w:id="1923" w:name="_Toc296346712"/>
      <w:bookmarkStart w:id="1924" w:name="_Toc303539163"/>
      <w:bookmarkStart w:id="1925" w:name="_Toc296347210"/>
      <w:bookmarkStart w:id="1926" w:name="_Toc297120511"/>
      <w:bookmarkStart w:id="1927" w:name="_Toc292559921"/>
      <w:r>
        <w:rPr>
          <w:rFonts w:ascii="宋体" w:hAnsi="宋体" w:eastAsia="宋体" w:cs="宋体"/>
          <w:color w:val="auto"/>
          <w:kern w:val="0"/>
          <w:sz w:val="22"/>
          <w:szCs w:val="22"/>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color w:val="auto"/>
          <w:kern w:val="0"/>
          <w:sz w:val="22"/>
          <w:szCs w:val="22"/>
          <w:highlight w:val="none"/>
          <w:lang w:val="en-US" w:eastAsia="zh-CN" w:bidi="ar"/>
        </w:rPr>
        <w:t>。</w:t>
      </w:r>
    </w:p>
    <w:p w14:paraId="553770C1">
      <w:pPr>
        <w:spacing w:line="360" w:lineRule="auto"/>
        <w:ind w:firstLine="420" w:firstLineChars="200"/>
        <w:jc w:val="left"/>
        <w:rPr>
          <w:color w:val="auto"/>
          <w:highlight w:val="none"/>
        </w:rPr>
      </w:pPr>
      <w:r>
        <w:rPr>
          <w:color w:val="auto"/>
          <w:highlight w:val="none"/>
        </w:rPr>
        <w:t xml:space="preserve">12.4.1 </w:t>
      </w:r>
      <w:r>
        <w:rPr>
          <w:rFonts w:hint="eastAsia" w:hAnsi="宋体" w:cs="宋体"/>
          <w:color w:val="auto"/>
          <w:highlight w:val="none"/>
        </w:rPr>
        <w:t>付款周期</w:t>
      </w:r>
    </w:p>
    <w:p w14:paraId="51A98989">
      <w:pPr>
        <w:spacing w:line="360" w:lineRule="auto"/>
        <w:ind w:left="10" w:leftChars="0" w:firstLine="409" w:firstLineChars="195"/>
        <w:jc w:val="left"/>
        <w:rPr>
          <w:rFonts w:hint="eastAsia" w:hAnsi="宋体" w:cs="宋体"/>
          <w:color w:val="auto"/>
          <w:highlight w:val="none"/>
          <w:u w:val="single"/>
        </w:rPr>
      </w:pPr>
      <w:r>
        <w:rPr>
          <w:rFonts w:hint="eastAsia" w:hAnsi="宋体" w:cs="宋体"/>
          <w:color w:val="auto"/>
          <w:highlight w:val="none"/>
          <w:u w:val="single"/>
        </w:rPr>
        <w:t>工程款</w:t>
      </w:r>
      <w:r>
        <w:rPr>
          <w:rFonts w:hint="eastAsia" w:hAnsi="宋体" w:cs="宋体"/>
          <w:color w:val="auto"/>
          <w:highlight w:val="none"/>
          <w:u w:val="single"/>
          <w:lang w:eastAsia="zh-CN"/>
        </w:rPr>
        <w:t>付款周期同</w:t>
      </w:r>
      <w:r>
        <w:rPr>
          <w:rFonts w:hint="eastAsia" w:hAnsi="宋体" w:cs="宋体"/>
          <w:color w:val="auto"/>
          <w:highlight w:val="none"/>
          <w:u w:val="single"/>
          <w:lang w:val="en-US" w:eastAsia="zh-CN"/>
        </w:rPr>
        <w:t>12.3.2计量周期</w:t>
      </w:r>
      <w:r>
        <w:rPr>
          <w:rFonts w:hint="eastAsia" w:hAnsi="宋体" w:cs="宋体"/>
          <w:color w:val="auto"/>
          <w:highlight w:val="none"/>
          <w:u w:val="single"/>
        </w:rPr>
        <w:t>，工程进度款支付限额为已完成工程量的    %（</w:t>
      </w:r>
      <w:r>
        <w:rPr>
          <w:rFonts w:ascii="宋体" w:hAnsi="宋体" w:eastAsia="宋体" w:cs="宋体"/>
          <w:color w:val="auto"/>
          <w:kern w:val="0"/>
          <w:sz w:val="22"/>
          <w:szCs w:val="22"/>
          <w:highlight w:val="none"/>
          <w:lang w:val="en-US" w:eastAsia="zh-CN" w:bidi="ar"/>
        </w:rPr>
        <w:t>政府机关、事业单位、国有企业建设工程进度款支付应不低于已完成工程价款的</w:t>
      </w:r>
      <w:r>
        <w:rPr>
          <w:rFonts w:hAnsi="宋体" w:cs="宋体"/>
          <w:color w:val="auto"/>
          <w:highlight w:val="none"/>
          <w:u w:val="single"/>
        </w:rPr>
        <w:t>80</w:t>
      </w:r>
      <w:r>
        <w:rPr>
          <w:color w:val="auto"/>
          <w:highlight w:val="none"/>
          <w:u w:val="single"/>
        </w:rPr>
        <w:t>%</w:t>
      </w:r>
      <w:r>
        <w:rPr>
          <w:rFonts w:hint="eastAsia" w:hAnsi="宋体" w:cs="宋体"/>
          <w:color w:val="auto"/>
          <w:highlight w:val="none"/>
          <w:u w:val="single"/>
        </w:rPr>
        <w:t>）。</w:t>
      </w:r>
    </w:p>
    <w:p w14:paraId="679AA855">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2B697471">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hAnsi="宋体" w:cs="宋体"/>
          <w:color w:val="auto"/>
          <w:highlight w:val="none"/>
        </w:rPr>
        <w:t>。</w:t>
      </w:r>
    </w:p>
    <w:p w14:paraId="6948726D">
      <w:pPr>
        <w:spacing w:line="360" w:lineRule="auto"/>
        <w:ind w:firstLine="420" w:firstLineChars="200"/>
        <w:jc w:val="left"/>
        <w:rPr>
          <w:color w:val="auto"/>
          <w:highlight w:val="none"/>
        </w:rPr>
      </w:pPr>
      <w:r>
        <w:rPr>
          <w:color w:val="auto"/>
          <w:highlight w:val="none"/>
        </w:rPr>
        <w:t xml:space="preserve">12.4.3 </w:t>
      </w:r>
      <w:r>
        <w:rPr>
          <w:rFonts w:hint="eastAsia" w:hAnsi="宋体" w:cs="宋体"/>
          <w:color w:val="auto"/>
          <w:highlight w:val="none"/>
        </w:rPr>
        <w:t>进度付款申请单的提交</w:t>
      </w:r>
    </w:p>
    <w:p w14:paraId="658F5C2A">
      <w:pPr>
        <w:spacing w:line="360" w:lineRule="auto"/>
        <w:ind w:firstLine="420" w:firstLineChars="200"/>
        <w:jc w:val="left"/>
        <w:rPr>
          <w:b/>
          <w:bCs/>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p>
    <w:p w14:paraId="48692CE1">
      <w:pPr>
        <w:spacing w:line="360" w:lineRule="auto"/>
        <w:ind w:firstLine="420" w:firstLineChars="200"/>
        <w:jc w:val="left"/>
        <w:rPr>
          <w:rFonts w:hint="eastAsia" w:ascii="宋体" w:hAnsi="宋体" w:cs="宋体"/>
          <w:color w:val="auto"/>
          <w:szCs w:val="21"/>
          <w:highlight w:val="none"/>
          <w:lang w:val="zh-TW" w:eastAsia="zh-CN"/>
        </w:rPr>
      </w:pPr>
      <w:r>
        <w:rPr>
          <w:rFonts w:hint="eastAsia"/>
          <w:color w:val="auto"/>
          <w:highlight w:val="none"/>
          <w:u w:val="single"/>
          <w:lang w:val="en-US" w:eastAsia="zh-CN"/>
        </w:rPr>
        <w:t>1）</w:t>
      </w:r>
      <w:r>
        <w:rPr>
          <w:rFonts w:hint="eastAsia" w:ascii="宋体" w:hAnsi="宋体" w:cs="宋体"/>
          <w:color w:val="auto"/>
          <w:szCs w:val="21"/>
          <w:highlight w:val="none"/>
          <w:lang w:val="zh-TW"/>
        </w:rPr>
        <w:t>分部分项工程清单进度款</w:t>
      </w:r>
      <w:r>
        <w:rPr>
          <w:rFonts w:hint="eastAsia" w:ascii="宋体" w:hAnsi="宋体" w:cs="宋体"/>
          <w:color w:val="auto"/>
          <w:szCs w:val="21"/>
          <w:highlight w:val="none"/>
          <w:lang w:val="zh-TW" w:eastAsia="zh-CN"/>
        </w:rPr>
        <w:t>计算：</w:t>
      </w:r>
      <w:r>
        <w:rPr>
          <w:rFonts w:hint="eastAsia" w:ascii="宋体" w:hAnsi="宋体" w:cs="宋体"/>
          <w:color w:val="auto"/>
          <w:szCs w:val="21"/>
          <w:highlight w:val="none"/>
          <w:lang w:val="zh-TW"/>
        </w:rPr>
        <w:t>应按发包人提供的施工图纸、工程变更指令、合同约定</w:t>
      </w:r>
      <w:r>
        <w:rPr>
          <w:rFonts w:hint="eastAsia" w:ascii="宋体" w:hAnsi="宋体" w:cs="宋体"/>
          <w:color w:val="auto"/>
          <w:szCs w:val="21"/>
          <w:highlight w:val="none"/>
        </w:rPr>
        <w:t>的</w:t>
      </w:r>
      <w:r>
        <w:rPr>
          <w:rFonts w:hint="eastAsia" w:ascii="宋体" w:hAnsi="宋体" w:cs="宋体"/>
          <w:color w:val="auto"/>
          <w:szCs w:val="21"/>
          <w:highlight w:val="none"/>
          <w:lang w:eastAsia="zh-CN"/>
        </w:rPr>
        <w:t>计算规范</w:t>
      </w:r>
      <w:r>
        <w:rPr>
          <w:rFonts w:hint="eastAsia" w:ascii="宋体" w:hAnsi="宋体" w:cs="宋体"/>
          <w:color w:val="auto"/>
          <w:szCs w:val="21"/>
          <w:highlight w:val="none"/>
          <w:lang w:val="zh-TW"/>
        </w:rPr>
        <w:t>和</w:t>
      </w:r>
      <w:r>
        <w:rPr>
          <w:rFonts w:hint="eastAsia" w:ascii="宋体" w:hAnsi="宋体" w:cs="宋体"/>
          <w:color w:val="auto"/>
          <w:szCs w:val="21"/>
          <w:highlight w:val="none"/>
          <w:lang w:val="zh-TW" w:eastAsia="zh-CN"/>
        </w:rPr>
        <w:t>计价规范</w:t>
      </w:r>
      <w:r>
        <w:rPr>
          <w:rFonts w:hint="eastAsia" w:ascii="宋体" w:hAnsi="宋体" w:cs="宋体"/>
          <w:color w:val="auto"/>
          <w:szCs w:val="21"/>
          <w:highlight w:val="none"/>
          <w:lang w:val="zh-TW"/>
        </w:rPr>
        <w:t>规定，</w:t>
      </w:r>
      <w:r>
        <w:rPr>
          <w:rFonts w:hint="eastAsia" w:ascii="宋体" w:hAnsi="宋体" w:cs="宋体"/>
          <w:color w:val="auto"/>
          <w:szCs w:val="21"/>
          <w:highlight w:val="none"/>
          <w:lang w:val="zh-TW" w:eastAsia="zh-CN"/>
        </w:rPr>
        <w:t>计算</w:t>
      </w:r>
      <w:r>
        <w:rPr>
          <w:rFonts w:hint="default" w:ascii="宋体" w:hAnsi="宋体" w:cs="宋体"/>
          <w:color w:val="auto"/>
          <w:szCs w:val="21"/>
          <w:highlight w:val="none"/>
          <w:lang w:val="en" w:eastAsia="zh-CN"/>
        </w:rPr>
        <w:t>本</w:t>
      </w:r>
      <w:r>
        <w:rPr>
          <w:rFonts w:hint="eastAsia" w:ascii="宋体" w:hAnsi="宋体" w:cs="宋体"/>
          <w:color w:val="auto"/>
          <w:szCs w:val="21"/>
          <w:highlight w:val="none"/>
          <w:lang w:val="zh-TW" w:eastAsia="zh-CN"/>
        </w:rPr>
        <w:t>期实际</w:t>
      </w:r>
      <w:r>
        <w:rPr>
          <w:rFonts w:hint="eastAsia" w:ascii="宋体" w:hAnsi="宋体" w:cs="宋体"/>
          <w:color w:val="auto"/>
          <w:szCs w:val="21"/>
          <w:highlight w:val="none"/>
          <w:lang w:val="zh-TW"/>
        </w:rPr>
        <w:t>完成的相应清单项目工程量，乘以合同单价（合同单价发生调整的，以发承包双方确认的调整单价）</w:t>
      </w:r>
      <w:r>
        <w:rPr>
          <w:rFonts w:hint="eastAsia" w:ascii="宋体" w:hAnsi="宋体" w:cs="宋体"/>
          <w:color w:val="auto"/>
          <w:szCs w:val="21"/>
          <w:highlight w:val="none"/>
          <w:lang w:val="zh-TW" w:eastAsia="zh-CN"/>
        </w:rPr>
        <w:t>。</w:t>
      </w:r>
    </w:p>
    <w:p w14:paraId="6CF699EA">
      <w:pPr>
        <w:spacing w:line="360" w:lineRule="auto"/>
        <w:ind w:firstLine="420" w:firstLineChars="200"/>
        <w:jc w:val="left"/>
        <w:rPr>
          <w:rFonts w:hint="eastAsia" w:ascii="宋体" w:hAnsi="宋体" w:cs="宋体"/>
          <w:bCs/>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bCs/>
          <w:color w:val="auto"/>
          <w:szCs w:val="21"/>
          <w:highlight w:val="none"/>
        </w:rPr>
        <w:t>措施项目进度款</w:t>
      </w:r>
      <w:r>
        <w:rPr>
          <w:rFonts w:hint="eastAsia" w:ascii="宋体" w:hAnsi="宋体" w:cs="宋体"/>
          <w:bCs/>
          <w:color w:val="auto"/>
          <w:szCs w:val="21"/>
          <w:highlight w:val="none"/>
          <w:lang w:eastAsia="zh-CN"/>
        </w:rPr>
        <w:t>计算：技术措施按照当期完成的技术措施项目工程量乘以承包人技术措施项目分析表中各子项技术措施项目综合单价计算，当该项技术措施项目累计进度款达到该项技术措施项目费合计金额时，不再计算该项技术措施项目进度款。综合</w:t>
      </w:r>
      <w:r>
        <w:rPr>
          <w:rFonts w:hint="eastAsia" w:ascii="宋体" w:hAnsi="宋体" w:cs="宋体"/>
          <w:bCs/>
          <w:color w:val="auto"/>
          <w:szCs w:val="21"/>
          <w:highlight w:val="none"/>
        </w:rPr>
        <w:t>措施项目</w:t>
      </w:r>
      <w:r>
        <w:rPr>
          <w:rFonts w:hint="eastAsia" w:ascii="宋体" w:hAnsi="宋体" w:cs="宋体"/>
          <w:bCs/>
          <w:color w:val="auto"/>
          <w:szCs w:val="21"/>
          <w:highlight w:val="none"/>
          <w:lang w:eastAsia="zh-CN"/>
        </w:rPr>
        <w:t>中的</w:t>
      </w:r>
      <w:r>
        <w:rPr>
          <w:rFonts w:hint="eastAsia" w:ascii="宋体" w:hAnsi="宋体" w:cs="宋体"/>
          <w:bCs/>
          <w:color w:val="auto"/>
          <w:szCs w:val="21"/>
          <w:highlight w:val="none"/>
        </w:rPr>
        <w:t>文明临设环保费</w:t>
      </w:r>
      <w:r>
        <w:rPr>
          <w:rFonts w:hint="eastAsia" w:ascii="宋体" w:hAnsi="宋体" w:cs="宋体"/>
          <w:bCs/>
          <w:color w:val="auto"/>
          <w:szCs w:val="21"/>
          <w:highlight w:val="none"/>
          <w:lang w:eastAsia="zh-CN"/>
        </w:rPr>
        <w:t>按</w:t>
      </w:r>
      <w:r>
        <w:rPr>
          <w:rFonts w:hint="eastAsia" w:ascii="宋体" w:hAnsi="宋体" w:cs="宋体"/>
          <w:bCs/>
          <w:color w:val="auto"/>
          <w:szCs w:val="21"/>
          <w:highlight w:val="none"/>
          <w:lang w:eastAsia="zh-CN"/>
        </w:rPr>
        <w:t>本规范附录</w:t>
      </w:r>
      <w:r>
        <w:rPr>
          <w:rFonts w:hint="eastAsia" w:ascii="宋体" w:hAnsi="宋体" w:cs="宋体"/>
          <w:bCs/>
          <w:color w:val="auto"/>
          <w:szCs w:val="21"/>
          <w:highlight w:val="none"/>
          <w:lang w:val="en-US" w:eastAsia="zh-CN"/>
        </w:rPr>
        <w:t>N</w:t>
      </w:r>
      <w:r>
        <w:rPr>
          <w:rFonts w:hint="eastAsia" w:ascii="宋体" w:hAnsi="宋体" w:cs="宋体"/>
          <w:bCs/>
          <w:color w:val="auto"/>
          <w:szCs w:val="21"/>
          <w:highlight w:val="none"/>
          <w:lang w:eastAsia="zh-CN"/>
        </w:rPr>
        <w:t>的措施项目分拆表支付该部分进度款，其他综合措施项目按该项措施项目占签约合同价中分部分项及技术措施项目费比例计算，该项措施费用支付完毕后不再计取</w:t>
      </w:r>
      <w:r>
        <w:rPr>
          <w:rFonts w:hint="eastAsia" w:ascii="宋体" w:hAnsi="宋体" w:cs="宋体"/>
          <w:bCs/>
          <w:color w:val="auto"/>
          <w:szCs w:val="21"/>
          <w:highlight w:val="none"/>
        </w:rPr>
        <w:t>。</w:t>
      </w:r>
    </w:p>
    <w:p w14:paraId="16E66578">
      <w:pPr>
        <w:spacing w:after="0" w:line="360" w:lineRule="auto"/>
        <w:ind w:firstLine="420" w:firstLineChars="200"/>
        <w:jc w:val="left"/>
        <w:rPr>
          <w:rFonts w:hint="eastAsia" w:ascii="宋体" w:hAnsi="宋体" w:cs="宋体"/>
          <w:bCs w:val="0"/>
          <w:color w:val="auto"/>
          <w:szCs w:val="21"/>
          <w:highlight w:val="none"/>
        </w:rPr>
      </w:pPr>
      <w:r>
        <w:rPr>
          <w:rFonts w:hint="eastAsia" w:ascii="宋体" w:hAnsi="宋体" w:cs="宋体"/>
          <w:bCs w:val="0"/>
          <w:color w:val="auto"/>
          <w:szCs w:val="21"/>
          <w:highlight w:val="none"/>
          <w:lang w:val="en-US" w:eastAsia="zh-CN"/>
        </w:rPr>
        <w:t>3）</w:t>
      </w:r>
      <w:r>
        <w:rPr>
          <w:rFonts w:hint="eastAsia" w:ascii="宋体" w:hAnsi="宋体" w:cs="宋体"/>
          <w:bCs w:val="0"/>
          <w:color w:val="auto"/>
          <w:szCs w:val="21"/>
          <w:highlight w:val="none"/>
        </w:rPr>
        <w:t>其他项目</w:t>
      </w:r>
      <w:r>
        <w:rPr>
          <w:rFonts w:hint="eastAsia" w:ascii="宋体" w:hAnsi="宋体" w:cs="宋体"/>
          <w:bCs w:val="0"/>
          <w:color w:val="auto"/>
          <w:szCs w:val="21"/>
          <w:highlight w:val="none"/>
          <w:lang w:eastAsia="zh-CN"/>
        </w:rPr>
        <w:t>费</w:t>
      </w:r>
      <w:r>
        <w:rPr>
          <w:rFonts w:hint="eastAsia" w:ascii="宋体" w:hAnsi="宋体" w:cs="宋体"/>
          <w:bCs w:val="0"/>
          <w:color w:val="auto"/>
          <w:szCs w:val="21"/>
          <w:highlight w:val="none"/>
        </w:rPr>
        <w:t>进度款计算：总承包服务费</w:t>
      </w:r>
      <w:r>
        <w:rPr>
          <w:rFonts w:hint="eastAsia" w:ascii="宋体" w:hAnsi="宋体" w:cs="宋体"/>
          <w:bCs w:val="0"/>
          <w:color w:val="auto"/>
          <w:szCs w:val="21"/>
          <w:highlight w:val="none"/>
          <w:lang w:eastAsia="zh-CN"/>
        </w:rPr>
        <w:t>中的专业工程配合费</w:t>
      </w:r>
      <w:r>
        <w:rPr>
          <w:rFonts w:hint="eastAsia" w:ascii="宋体" w:hAnsi="宋体" w:cs="宋体"/>
          <w:bCs w:val="0"/>
          <w:color w:val="auto"/>
          <w:szCs w:val="21"/>
          <w:highlight w:val="none"/>
        </w:rPr>
        <w:t>应按当期发包人确认的专业分包工程进度款与专业分包合同价的比例乘以相应的服务费计算各分包工程</w:t>
      </w:r>
      <w:r>
        <w:rPr>
          <w:rFonts w:hint="eastAsia" w:ascii="宋体" w:hAnsi="宋体" w:cs="宋体"/>
          <w:bCs w:val="0"/>
          <w:color w:val="auto"/>
          <w:szCs w:val="21"/>
          <w:highlight w:val="none"/>
          <w:lang w:eastAsia="zh-CN"/>
        </w:rPr>
        <w:t>当期</w:t>
      </w:r>
      <w:r>
        <w:rPr>
          <w:rFonts w:hint="eastAsia" w:ascii="宋体" w:hAnsi="宋体" w:cs="宋体"/>
          <w:bCs w:val="0"/>
          <w:color w:val="auto"/>
          <w:szCs w:val="21"/>
          <w:highlight w:val="none"/>
        </w:rPr>
        <w:t>完成的总承包服务费</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eastAsia="zh-CN"/>
        </w:rPr>
        <w:t>总承包服务费中的</w:t>
      </w:r>
      <w:r>
        <w:rPr>
          <w:rFonts w:hint="eastAsia" w:ascii="宋体" w:hAnsi="宋体" w:cs="宋体"/>
          <w:bCs w:val="0"/>
          <w:color w:val="auto"/>
          <w:szCs w:val="21"/>
          <w:highlight w:val="none"/>
        </w:rPr>
        <w:t>发包人提供材料</w:t>
      </w:r>
      <w:r>
        <w:rPr>
          <w:rFonts w:hint="eastAsia" w:ascii="宋体" w:hAnsi="宋体" w:cs="宋体"/>
          <w:bCs w:val="0"/>
          <w:color w:val="auto"/>
          <w:szCs w:val="21"/>
          <w:highlight w:val="none"/>
          <w:lang w:eastAsia="zh-CN"/>
        </w:rPr>
        <w:t>的保管费应在最后一期进度款一次性支付。</w:t>
      </w:r>
      <w:r>
        <w:rPr>
          <w:rFonts w:hint="eastAsia" w:ascii="宋体" w:hAnsi="宋体" w:cs="宋体"/>
          <w:bCs w:val="0"/>
          <w:color w:val="auto"/>
          <w:szCs w:val="21"/>
          <w:highlight w:val="none"/>
        </w:rPr>
        <w:t>专业工程暂估价项目应按当期发包人确认的专业工程项目完成的进度款计算</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rPr>
        <w:t>零星签证</w:t>
      </w:r>
      <w:r>
        <w:rPr>
          <w:rFonts w:hint="eastAsia" w:ascii="宋体" w:hAnsi="宋体" w:cs="宋体"/>
          <w:bCs w:val="0"/>
          <w:color w:val="auto"/>
          <w:szCs w:val="21"/>
          <w:highlight w:val="none"/>
        </w:rPr>
        <w:t>应按</w:t>
      </w:r>
      <w:r>
        <w:rPr>
          <w:rFonts w:hint="eastAsia" w:ascii="宋体" w:hAnsi="宋体" w:cs="宋体"/>
          <w:bCs w:val="0"/>
          <w:color w:val="auto"/>
          <w:szCs w:val="21"/>
          <w:highlight w:val="none"/>
          <w:lang w:eastAsia="zh-CN"/>
        </w:rPr>
        <w:t>当</w:t>
      </w:r>
      <w:r>
        <w:rPr>
          <w:rFonts w:hint="eastAsia" w:ascii="宋体" w:hAnsi="宋体" w:cs="宋体"/>
          <w:bCs w:val="0"/>
          <w:color w:val="auto"/>
          <w:szCs w:val="21"/>
          <w:highlight w:val="none"/>
        </w:rPr>
        <w:t>期完成的进度款进行计算。</w:t>
      </w:r>
    </w:p>
    <w:p w14:paraId="0ED3623C">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rFonts w:hint="eastAsia" w:hAnsi="宋体" w:cs="宋体"/>
          <w:color w:val="auto"/>
          <w:highlight w:val="none"/>
          <w:lang w:eastAsia="zh-CN"/>
        </w:rPr>
        <w:t>：</w:t>
      </w:r>
      <w:r>
        <w:rPr>
          <w:rFonts w:hint="eastAsia" w:ascii="宋体" w:hAnsi="宋体" w:cs="宋体"/>
          <w:color w:val="auto"/>
          <w:szCs w:val="21"/>
          <w:highlight w:val="none"/>
          <w:lang w:eastAsia="zh-CN"/>
        </w:rPr>
        <w:t>按照本合同附件</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lang w:eastAsia="zh-CN"/>
        </w:rPr>
        <w:t>的《进度款支付分解表》支付进度款。</w:t>
      </w:r>
    </w:p>
    <w:p w14:paraId="424964F4">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w:t>
      </w:r>
      <w:r>
        <w:rPr>
          <w:rFonts w:hint="eastAsia" w:ascii="宋体" w:hAnsi="宋体" w:cs="宋体"/>
          <w:b w:val="0"/>
          <w:bCs w:val="0"/>
          <w:color w:val="auto"/>
          <w:szCs w:val="21"/>
          <w:highlight w:val="none"/>
        </w:rPr>
        <w:t>发承包双方确认的按本规范规定计算的合同价款调整金额应列入</w:t>
      </w:r>
      <w:r>
        <w:rPr>
          <w:rFonts w:hint="eastAsia" w:ascii="宋体" w:hAnsi="宋体" w:cs="宋体"/>
          <w:b w:val="0"/>
          <w:bCs w:val="0"/>
          <w:color w:val="auto"/>
          <w:szCs w:val="21"/>
          <w:highlight w:val="none"/>
          <w:lang w:eastAsia="zh-CN"/>
        </w:rPr>
        <w:t>当</w:t>
      </w:r>
      <w:r>
        <w:rPr>
          <w:rFonts w:hint="eastAsia" w:ascii="宋体" w:hAnsi="宋体" w:cs="宋体"/>
          <w:b w:val="0"/>
          <w:bCs w:val="0"/>
          <w:color w:val="auto"/>
          <w:szCs w:val="21"/>
          <w:highlight w:val="none"/>
        </w:rPr>
        <w:t>期完成的进度款中。</w:t>
      </w:r>
    </w:p>
    <w:p w14:paraId="06DCF5A7">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4604B2EF">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hAnsi="宋体" w:cs="宋体"/>
          <w:color w:val="auto"/>
          <w:highlight w:val="none"/>
        </w:rPr>
        <w:t>。</w:t>
      </w:r>
    </w:p>
    <w:p w14:paraId="27669397">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hAnsi="宋体" w:cs="宋体"/>
          <w:color w:val="auto"/>
          <w:highlight w:val="none"/>
        </w:rPr>
        <w:t>。</w:t>
      </w:r>
    </w:p>
    <w:p w14:paraId="2E2916C0">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hAnsi="宋体" w:cs="宋体"/>
          <w:color w:val="auto"/>
          <w:highlight w:val="none"/>
        </w:rPr>
        <w:t>。</w:t>
      </w:r>
    </w:p>
    <w:p w14:paraId="497EAFD3">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hAnsi="宋体" w:cs="宋体"/>
          <w:color w:val="auto"/>
          <w:highlight w:val="none"/>
        </w:rPr>
        <w:t>。</w:t>
      </w:r>
    </w:p>
    <w:p w14:paraId="218147DB">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1EDE2F2F">
      <w:pPr>
        <w:spacing w:line="360" w:lineRule="auto"/>
        <w:ind w:firstLine="525" w:firstLineChars="250"/>
        <w:jc w:val="left"/>
        <w:rPr>
          <w:rFonts w:hint="eastAsia" w:hAnsi="宋体" w:cs="宋体"/>
          <w:color w:val="auto"/>
          <w:kern w:val="0"/>
          <w:highlight w:val="none"/>
        </w:rPr>
      </w:pPr>
      <w:r>
        <w:rPr>
          <w:rFonts w:hint="eastAsia" w:hAnsi="宋体"/>
          <w:color w:val="auto"/>
          <w:highlight w:val="none"/>
        </w:rPr>
        <w:t xml:space="preserve">（3） </w:t>
      </w:r>
      <w:r>
        <w:rPr>
          <w:rFonts w:hint="eastAsia" w:hAnsi="宋体"/>
          <w:color w:val="auto"/>
          <w:highlight w:val="none"/>
          <w:lang w:eastAsia="zh-CN"/>
        </w:rPr>
        <w:t>人工费</w:t>
      </w:r>
      <w:r>
        <w:rPr>
          <w:rFonts w:hint="eastAsia" w:hAnsi="宋体"/>
          <w:color w:val="auto"/>
          <w:highlight w:val="none"/>
        </w:rPr>
        <w:t>支付</w:t>
      </w:r>
    </w:p>
    <w:p w14:paraId="0E40895E">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lang w:val="en-US" w:eastAsia="zh-CN"/>
        </w:rPr>
        <w:t>1</w:t>
      </w:r>
      <w:r>
        <w:rPr>
          <w:rFonts w:hint="eastAsia" w:hAnsi="宋体" w:cs="宋体"/>
          <w:color w:val="auto"/>
          <w:kern w:val="0"/>
          <w:highlight w:val="none"/>
        </w:rPr>
        <w:t>）人工费专款专用</w:t>
      </w:r>
      <w:r>
        <w:rPr>
          <w:rFonts w:hint="eastAsia" w:hAnsi="宋体" w:cs="宋体"/>
          <w:color w:val="auto"/>
          <w:kern w:val="0"/>
          <w:highlight w:val="none"/>
          <w:lang w:eastAsia="zh-CN"/>
        </w:rPr>
        <w:t>，</w:t>
      </w:r>
      <w:r>
        <w:rPr>
          <w:rFonts w:hint="eastAsia" w:hAnsi="宋体" w:cs="宋体"/>
          <w:color w:val="auto"/>
          <w:kern w:val="0"/>
          <w:highlight w:val="none"/>
        </w:rPr>
        <w:t>用于支付农民工工资</w:t>
      </w:r>
      <w:r>
        <w:rPr>
          <w:rFonts w:hint="eastAsia" w:hAnsi="宋体" w:cs="宋体"/>
          <w:color w:val="auto"/>
          <w:kern w:val="0"/>
          <w:highlight w:val="none"/>
          <w:lang w:eastAsia="zh-CN"/>
        </w:rPr>
        <w:t>，应</w:t>
      </w:r>
      <w:r>
        <w:rPr>
          <w:rFonts w:hint="eastAsia" w:hAnsi="宋体" w:cs="宋体"/>
          <w:color w:val="auto"/>
          <w:kern w:val="0"/>
          <w:highlight w:val="none"/>
        </w:rPr>
        <w:t>与工程进度款分</w:t>
      </w:r>
      <w:r>
        <w:rPr>
          <w:rFonts w:hint="eastAsia" w:hAnsi="宋体" w:cs="宋体"/>
          <w:color w:val="auto"/>
          <w:kern w:val="0"/>
          <w:highlight w:val="none"/>
          <w:lang w:eastAsia="zh-CN"/>
        </w:rPr>
        <w:t>账</w:t>
      </w:r>
      <w:r>
        <w:rPr>
          <w:rFonts w:hint="eastAsia" w:hAnsi="宋体" w:cs="宋体"/>
          <w:color w:val="auto"/>
          <w:kern w:val="0"/>
          <w:highlight w:val="none"/>
        </w:rPr>
        <w:t>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w:t>
      </w:r>
      <w:r>
        <w:rPr>
          <w:rFonts w:hint="eastAsia" w:hAnsi="宋体" w:cs="宋体"/>
          <w:color w:val="auto"/>
          <w:kern w:val="0"/>
          <w:highlight w:val="none"/>
        </w:rPr>
        <w:t>发包人每月   日前将当月应付人工费转入承包人为本项目开立的农民工工资专用账户。</w:t>
      </w:r>
    </w:p>
    <w:p w14:paraId="5F4DCDA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val="en-US" w:eastAsia="zh-CN"/>
        </w:rPr>
        <w:t>2</w:t>
      </w:r>
      <w:r>
        <w:rPr>
          <w:rFonts w:hint="eastAsia" w:hAnsi="宋体" w:cs="宋体"/>
          <w:color w:val="auto"/>
          <w:kern w:val="0"/>
          <w:highlight w:val="none"/>
        </w:rPr>
        <w:t>）农民工工资专用账户：   公司   项目农民工工资专用账户。账号：   。</w:t>
      </w:r>
    </w:p>
    <w:p w14:paraId="4BC69C35">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val="en-US" w:eastAsia="zh-CN"/>
        </w:rPr>
        <w:t>3</w:t>
      </w:r>
      <w:r>
        <w:rPr>
          <w:rFonts w:hint="eastAsia" w:hAnsi="宋体" w:cs="宋体"/>
          <w:color w:val="auto"/>
          <w:kern w:val="0"/>
          <w:highlight w:val="none"/>
        </w:rPr>
        <w:t>）根据本工程投资概算（施工图预算或最高投标限价）中人工费的占比，约定本工程进度款（含预付款，下同）中人工费占已完成工程价款的比例为   %。工程进度款采用按月结算的，每月人工费按照合同约定比例和其他进度款一并拨付；工程进度款采用按形象进度、工程节点结算的，每月人工费应当单独申请、单独审核拨付；每一期人工费用拨付金额不得低于合同约定比例，并足够支付当月农民工工资。</w:t>
      </w:r>
    </w:p>
    <w:p w14:paraId="584F93A2">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044F4C1F">
      <w:pPr>
        <w:spacing w:line="360" w:lineRule="auto"/>
        <w:ind w:firstLine="525" w:firstLineChars="25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color w:val="auto"/>
          <w:highlight w:val="none"/>
          <w:u w:val="single"/>
        </w:rPr>
        <w:t>总价合同支付分分解表在招标完成后由发包人和承包人共同编制，发包人审批，并作为本合同内容，具体详见合同附件14。</w:t>
      </w:r>
    </w:p>
    <w:p w14:paraId="0CD007BA">
      <w:pPr>
        <w:spacing w:line="360" w:lineRule="auto"/>
        <w:ind w:firstLine="420" w:firstLineChars="200"/>
        <w:jc w:val="left"/>
        <w:rPr>
          <w:rFonts w:hint="eastAsia" w:hAnsi="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单价合同的总价项目支付分解表的编制与审批：总价项目不采用支付分解表的方式计算</w:t>
      </w:r>
      <w:r>
        <w:rPr>
          <w:rFonts w:hint="eastAsia" w:hAnsi="宋体" w:cs="宋体"/>
          <w:color w:val="auto"/>
          <w:highlight w:val="none"/>
          <w:lang w:eastAsia="zh-CN"/>
        </w:rPr>
        <w:t>的，具体按</w:t>
      </w:r>
      <w:r>
        <w:rPr>
          <w:rFonts w:hint="eastAsia" w:hAnsi="宋体" w:cs="宋体"/>
          <w:color w:val="auto"/>
          <w:highlight w:val="none"/>
          <w:lang w:val="en-US" w:eastAsia="zh-CN"/>
        </w:rPr>
        <w:t>12.4.4约定计算</w:t>
      </w:r>
      <w:r>
        <w:rPr>
          <w:rFonts w:hint="eastAsia" w:hAnsi="宋体" w:cs="宋体"/>
          <w:color w:val="auto"/>
          <w:highlight w:val="none"/>
        </w:rPr>
        <w:t>。</w:t>
      </w:r>
    </w:p>
    <w:p w14:paraId="6D48789B">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val="en-US" w:eastAsia="zh-CN"/>
        </w:rPr>
        <w:t>12.4.7</w:t>
      </w:r>
      <w:r>
        <w:rPr>
          <w:rFonts w:hint="eastAsia" w:hAnsi="宋体" w:cs="宋体"/>
          <w:color w:val="auto"/>
          <w:highlight w:val="none"/>
        </w:rPr>
        <w:t>发承包双方签署确认的进度款工程计量成果不作为工程结算依据。</w:t>
      </w:r>
    </w:p>
    <w:p w14:paraId="1AC48A6D">
      <w:pPr>
        <w:spacing w:line="360" w:lineRule="auto"/>
        <w:ind w:firstLine="525" w:firstLineChars="250"/>
        <w:jc w:val="left"/>
        <w:rPr>
          <w:rFonts w:hint="eastAsia" w:hAnsi="宋体" w:cs="宋体"/>
          <w:color w:val="auto"/>
          <w:highlight w:val="none"/>
        </w:rPr>
      </w:pPr>
    </w:p>
    <w:p w14:paraId="026CBDEE">
      <w:pPr>
        <w:spacing w:line="360" w:lineRule="auto"/>
        <w:ind w:firstLine="525" w:firstLineChars="250"/>
        <w:jc w:val="left"/>
        <w:rPr>
          <w:rFonts w:hint="eastAsia" w:hAnsi="宋体" w:cs="宋体"/>
          <w:color w:val="auto"/>
          <w:highlight w:val="none"/>
        </w:rPr>
      </w:pPr>
    </w:p>
    <w:p w14:paraId="50DC569D">
      <w:pPr>
        <w:spacing w:line="360" w:lineRule="auto"/>
        <w:ind w:firstLine="643" w:firstLineChars="200"/>
        <w:jc w:val="left"/>
        <w:outlineLvl w:val="2"/>
        <w:rPr>
          <w:rFonts w:hint="eastAsia" w:hAnsi="宋体" w:cs="宋体"/>
          <w:color w:val="auto"/>
          <w:highlight w:val="none"/>
        </w:rPr>
      </w:pPr>
      <w:r>
        <w:rPr>
          <w:rFonts w:hint="default" w:ascii="Times New Roman" w:hAnsi="Times New Roman" w:eastAsia="黑体" w:cs="Times New Roman"/>
          <w:b/>
          <w:bCs/>
          <w:color w:val="auto"/>
          <w:sz w:val="32"/>
          <w:szCs w:val="32"/>
          <w:highlight w:val="none"/>
          <w:lang w:val="zh-CN" w:eastAsia="zh-CN"/>
        </w:rPr>
        <w:t>1</w:t>
      </w:r>
      <w:r>
        <w:rPr>
          <w:rFonts w:hint="default" w:ascii="Times New Roman" w:hAnsi="Times New Roman" w:eastAsia="黑体" w:cs="Times New Roman"/>
          <w:b/>
          <w:bCs/>
          <w:color w:val="auto"/>
          <w:sz w:val="32"/>
          <w:szCs w:val="32"/>
          <w:highlight w:val="none"/>
          <w:lang w:val="zh-CN"/>
        </w:rPr>
        <w:t>2.5过程结算</w:t>
      </w:r>
    </w:p>
    <w:p w14:paraId="53E2373A">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本工程是否实施过程结算：□是       □否。</w:t>
      </w:r>
    </w:p>
    <w:p w14:paraId="55E8CFB9">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12.5.1过程结算节点划分：                      </w:t>
      </w:r>
    </w:p>
    <w:p w14:paraId="486BD6C4">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发承包双方对项目工程过程结算节点的划分如下：</w:t>
      </w:r>
    </w:p>
    <w:p w14:paraId="1BA7907B">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2E14FFD6">
      <w:pPr>
        <w:numPr>
          <w:ilvl w:val="0"/>
          <w:numId w:val="4"/>
        </w:numPr>
        <w:spacing w:line="360" w:lineRule="auto"/>
        <w:ind w:firstLine="525" w:firstLineChars="250"/>
        <w:jc w:val="left"/>
        <w:rPr>
          <w:rFonts w:hint="eastAsia" w:hAnsi="宋体" w:cs="宋体"/>
          <w:color w:val="auto"/>
          <w:highlight w:val="none"/>
        </w:rPr>
      </w:pPr>
      <w:r>
        <w:rPr>
          <w:rFonts w:hint="eastAsia" w:hAnsi="宋体" w:cs="宋体"/>
          <w:color w:val="auto"/>
          <w:highlight w:val="none"/>
          <w:u w:val="single"/>
          <w:lang w:val="en-US" w:eastAsia="zh-CN"/>
        </w:rPr>
        <w:t xml:space="preserve">                                    </w:t>
      </w:r>
    </w:p>
    <w:p w14:paraId="01705DBE">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16BF288D">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3900EF0D">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划分提示</w:t>
      </w:r>
      <w:r>
        <w:rPr>
          <w:rFonts w:hint="eastAsia" w:hAnsi="宋体" w:cs="宋体"/>
          <w:color w:val="auto"/>
          <w:highlight w:val="none"/>
          <w:lang w:eastAsia="zh-CN"/>
        </w:rPr>
        <w:t>：</w:t>
      </w:r>
      <w:r>
        <w:rPr>
          <w:rFonts w:hint="eastAsia" w:hAnsi="宋体" w:cs="宋体"/>
          <w:color w:val="auto"/>
          <w:highlight w:val="none"/>
        </w:rPr>
        <w:t>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746353F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12.5.2过程结算程序</w:t>
      </w:r>
    </w:p>
    <w:p w14:paraId="4EC49D2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12.5.2.1过程结算应在结算节点工程质量验收合格后进行。</w:t>
      </w:r>
    </w:p>
    <w:p w14:paraId="42C47168">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12.5.2.2发承包双方选择以下第    种方式完成工程项目的过程结算：</w:t>
      </w:r>
    </w:p>
    <w:p w14:paraId="56718A7C">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w:t>
      </w:r>
      <w:r>
        <w:rPr>
          <w:rFonts w:hint="eastAsia" w:hAnsi="宋体" w:cs="宋体"/>
          <w:color w:val="auto"/>
          <w:highlight w:val="none"/>
        </w:rPr>
        <w:t>合同未约定竣工结算以财政部门意见为准时，承包方应在施工过程结算节点工程验收合格的    日内（根据过程结算节点工程量约定，但不得超过50天）向发包方递交完整的施工过程结算文件及相应结算资料；发包方收到上述文件资料后应在   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 提交施工过程结算文件，发包方可以依据已有资料自行开展施工过程结算活动。</w:t>
      </w:r>
    </w:p>
    <w:p w14:paraId="29B0EC98">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施工过程结算发包方审核时限：</w:t>
      </w:r>
    </w:p>
    <w:tbl>
      <w:tblPr>
        <w:tblStyle w:val="40"/>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3"/>
        <w:gridCol w:w="3049"/>
      </w:tblGrid>
      <w:tr w14:paraId="7CAE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3571B9CC">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3049" w:type="dxa"/>
            <w:noWrap w:val="0"/>
            <w:vAlign w:val="center"/>
          </w:tcPr>
          <w:p w14:paraId="440D0948">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4E45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1CDE7D83">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3049" w:type="dxa"/>
            <w:noWrap w:val="0"/>
            <w:vAlign w:val="center"/>
          </w:tcPr>
          <w:p w14:paraId="12D759EF">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w:t>
            </w:r>
            <w:r>
              <w:rPr>
                <w:rFonts w:hint="eastAsia" w:ascii="Times New Roman" w:cs="Times New Roman"/>
                <w:color w:val="auto"/>
                <w:kern w:val="2"/>
                <w:sz w:val="21"/>
                <w:szCs w:val="21"/>
                <w:highlight w:val="none"/>
                <w:lang w:val="en-US" w:eastAsia="zh-CN" w:bidi="ar-SA"/>
              </w:rPr>
              <w:t>天</w:t>
            </w:r>
          </w:p>
        </w:tc>
      </w:tr>
      <w:tr w14:paraId="1084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134816A2">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68782FC8">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30</w:t>
            </w:r>
            <w:r>
              <w:rPr>
                <w:rFonts w:hint="eastAsia" w:ascii="Times New Roman" w:cs="Times New Roman"/>
                <w:color w:val="auto"/>
                <w:kern w:val="2"/>
                <w:sz w:val="21"/>
                <w:szCs w:val="21"/>
                <w:highlight w:val="none"/>
                <w:lang w:val="en-US" w:eastAsia="zh-CN" w:bidi="ar-SA"/>
              </w:rPr>
              <w:t>天</w:t>
            </w:r>
          </w:p>
        </w:tc>
      </w:tr>
      <w:tr w14:paraId="62FA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2C998908">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0D2D6720">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45</w:t>
            </w:r>
            <w:r>
              <w:rPr>
                <w:rFonts w:hint="eastAsia" w:ascii="Times New Roman" w:cs="Times New Roman"/>
                <w:color w:val="auto"/>
                <w:kern w:val="2"/>
                <w:sz w:val="21"/>
                <w:szCs w:val="21"/>
                <w:highlight w:val="none"/>
                <w:lang w:val="en-US" w:eastAsia="zh-CN" w:bidi="ar-SA"/>
              </w:rPr>
              <w:t>天</w:t>
            </w:r>
          </w:p>
        </w:tc>
      </w:tr>
      <w:tr w14:paraId="1ACF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54206A23">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3049" w:type="dxa"/>
            <w:noWrap w:val="0"/>
            <w:vAlign w:val="center"/>
          </w:tcPr>
          <w:p w14:paraId="4F9A880C">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60</w:t>
            </w:r>
            <w:r>
              <w:rPr>
                <w:rFonts w:hint="eastAsia" w:ascii="Times New Roman" w:cs="Times New Roman"/>
                <w:color w:val="auto"/>
                <w:kern w:val="2"/>
                <w:sz w:val="21"/>
                <w:szCs w:val="21"/>
                <w:highlight w:val="none"/>
                <w:lang w:val="en-US" w:eastAsia="zh-CN" w:bidi="ar-SA"/>
              </w:rPr>
              <w:t>天</w:t>
            </w:r>
          </w:p>
        </w:tc>
      </w:tr>
      <w:tr w14:paraId="63A9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543BC83D">
            <w:pPr>
              <w:pStyle w:val="137"/>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3049" w:type="dxa"/>
            <w:noWrap w:val="0"/>
            <w:vAlign w:val="center"/>
          </w:tcPr>
          <w:p w14:paraId="5D161B75">
            <w:pPr>
              <w:pStyle w:val="137"/>
              <w:keepNext w:val="0"/>
              <w:keepLines w:val="0"/>
              <w:suppressLineNumbers w:val="0"/>
              <w:spacing w:before="0" w:beforeAutospacing="0" w:after="0" w:afterAutospacing="0" w:line="360" w:lineRule="auto"/>
              <w:ind w:left="420" w:leftChars="200" w:right="0" w:firstLine="0"/>
              <w:jc w:val="both"/>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增加10天</w:t>
            </w:r>
          </w:p>
        </w:tc>
      </w:tr>
    </w:tbl>
    <w:p w14:paraId="7FB0694B">
      <w:pPr>
        <w:spacing w:line="360" w:lineRule="auto"/>
        <w:ind w:firstLine="525" w:firstLineChars="250"/>
        <w:jc w:val="left"/>
        <w:rPr>
          <w:rFonts w:hint="eastAsia" w:hAnsi="宋体" w:cs="宋体"/>
          <w:color w:val="auto"/>
          <w:highlight w:val="none"/>
        </w:rPr>
      </w:pPr>
    </w:p>
    <w:p w14:paraId="329D570D">
      <w:pPr>
        <w:spacing w:line="360" w:lineRule="auto"/>
        <w:ind w:firstLine="0" w:firstLineChars="0"/>
        <w:jc w:val="left"/>
        <w:rPr>
          <w:rFonts w:hint="eastAsia" w:hAnsi="宋体" w:cs="宋体"/>
          <w:color w:val="auto"/>
          <w:highlight w:val="none"/>
        </w:rPr>
      </w:pPr>
      <w:r>
        <w:rPr>
          <w:rFonts w:hint="default" w:hAnsi="宋体" w:cs="宋体"/>
          <w:color w:val="auto"/>
          <w:highlight w:val="none"/>
          <w:lang w:val="en"/>
        </w:rPr>
        <w:t xml:space="preserve">    </w:t>
      </w:r>
      <w:r>
        <w:rPr>
          <w:rFonts w:hint="eastAsia" w:hAnsi="宋体" w:cs="宋体"/>
          <w:color w:val="auto"/>
          <w:highlight w:val="none"/>
        </w:rPr>
        <w:t>（2）合同约定竣工结算以财政部门意见为准时，承包方应在施工过程结算节点工程验收合格后的    天内（根据过程结算节点工程量约定，但不得超过50天）向发包方递交完整的施工过程结算文件及相应结算资料；发包方和财政部门收到上述文件资料后应在   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 提交施工过程结算文件，发包方可以依据已有资料自行开展施工过程结算活动。</w:t>
      </w:r>
    </w:p>
    <w:p w14:paraId="7AC52BE5">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施工过程结算发包方与财政部门共同审核时限</w:t>
      </w:r>
    </w:p>
    <w:tbl>
      <w:tblPr>
        <w:tblStyle w:val="40"/>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1"/>
        <w:gridCol w:w="2918"/>
      </w:tblGrid>
      <w:tr w14:paraId="16A8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6711A945">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2918" w:type="dxa"/>
            <w:noWrap w:val="0"/>
            <w:vAlign w:val="center"/>
          </w:tcPr>
          <w:p w14:paraId="5F3F6340">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52FE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4F23B227">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2918" w:type="dxa"/>
            <w:noWrap w:val="0"/>
            <w:vAlign w:val="center"/>
          </w:tcPr>
          <w:p w14:paraId="552B0EC9">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40天</w:t>
            </w:r>
          </w:p>
        </w:tc>
      </w:tr>
      <w:tr w14:paraId="3AA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6C093FCE">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57F14EA5">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60天</w:t>
            </w:r>
          </w:p>
        </w:tc>
      </w:tr>
      <w:tr w14:paraId="7F28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5890C1CE">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25EFAA48">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90天</w:t>
            </w:r>
          </w:p>
        </w:tc>
      </w:tr>
      <w:tr w14:paraId="23BF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5D4E1F9D">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2918" w:type="dxa"/>
            <w:noWrap w:val="0"/>
            <w:vAlign w:val="center"/>
          </w:tcPr>
          <w:p w14:paraId="5D69215F">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120天</w:t>
            </w:r>
          </w:p>
        </w:tc>
      </w:tr>
      <w:tr w14:paraId="277D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01" w:type="dxa"/>
            <w:noWrap w:val="0"/>
            <w:vAlign w:val="center"/>
          </w:tcPr>
          <w:p w14:paraId="34C27960">
            <w:pPr>
              <w:pStyle w:val="137"/>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2918" w:type="dxa"/>
            <w:noWrap w:val="0"/>
            <w:vAlign w:val="center"/>
          </w:tcPr>
          <w:p w14:paraId="57087140">
            <w:pPr>
              <w:pStyle w:val="137"/>
              <w:keepNext w:val="0"/>
              <w:keepLines w:val="0"/>
              <w:suppressLineNumbers w:val="0"/>
              <w:spacing w:before="0" w:beforeAutospacing="0" w:after="0" w:afterAutospacing="0" w:line="360" w:lineRule="auto"/>
              <w:ind w:left="0" w:right="0" w:firstLine="620"/>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增加10天</w:t>
            </w:r>
          </w:p>
        </w:tc>
      </w:tr>
    </w:tbl>
    <w:p w14:paraId="65C7BF25">
      <w:pPr>
        <w:spacing w:line="360" w:lineRule="auto"/>
        <w:ind w:firstLine="525" w:firstLineChars="250"/>
        <w:jc w:val="left"/>
        <w:rPr>
          <w:rFonts w:hint="eastAsia" w:hAnsi="宋体" w:cs="宋体"/>
          <w:color w:val="auto"/>
          <w:highlight w:val="none"/>
        </w:rPr>
      </w:pPr>
    </w:p>
    <w:p w14:paraId="4D4CE436">
      <w:pPr>
        <w:spacing w:line="360" w:lineRule="auto"/>
        <w:ind w:firstLine="525" w:firstLineChars="250"/>
        <w:jc w:val="left"/>
        <w:rPr>
          <w:rFonts w:hint="eastAsia" w:hAnsi="宋体" w:cs="宋体"/>
          <w:color w:val="auto"/>
          <w:highlight w:val="none"/>
        </w:rPr>
      </w:pPr>
    </w:p>
    <w:p w14:paraId="570296CE">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12.5.3过程结算文件要求 </w:t>
      </w:r>
    </w:p>
    <w:p w14:paraId="3D443AFF">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经确认的工程变更、现场签证、工程索赔、扣款扣费文件等。过程结算文件经发承包双方签字认可或符合“视同认可”的条件后，直接作为编制竣工结算文件的依据，结算时发包人不得对上述过程结算文件重复审核。过程结算款</w:t>
      </w:r>
      <w:r>
        <w:rPr>
          <w:rFonts w:hint="eastAsia" w:ascii="宋体" w:hAnsi="宋体" w:cs="宋体"/>
          <w:color w:val="auto"/>
          <w:szCs w:val="21"/>
          <w:highlight w:val="none"/>
          <w:lang w:val="zh-TW"/>
        </w:rPr>
        <w:t>支付申请应</w:t>
      </w:r>
      <w:r>
        <w:rPr>
          <w:rFonts w:hint="eastAsia" w:ascii="宋体" w:hAnsi="宋体" w:cs="宋体"/>
          <w:color w:val="auto"/>
          <w:szCs w:val="21"/>
          <w:highlight w:val="none"/>
          <w:lang w:val="zh-TW" w:eastAsia="zh-CN"/>
        </w:rPr>
        <w:t>按</w:t>
      </w:r>
      <w:r>
        <w:rPr>
          <w:rFonts w:hint="default" w:ascii="宋体" w:hAnsi="宋体" w:cs="宋体"/>
          <w:color w:val="auto"/>
          <w:szCs w:val="21"/>
          <w:highlight w:val="none"/>
          <w:lang w:val="en" w:eastAsia="zh-CN"/>
        </w:rPr>
        <w:t>附</w:t>
      </w:r>
      <w:r>
        <w:rPr>
          <w:rFonts w:hint="eastAsia" w:ascii="宋体" w:hAnsi="宋体" w:cs="宋体"/>
          <w:color w:val="auto"/>
          <w:szCs w:val="21"/>
          <w:highlight w:val="none"/>
          <w:lang w:val="en" w:eastAsia="zh-CN"/>
        </w:rPr>
        <w:t>件</w:t>
      </w:r>
      <w:r>
        <w:rPr>
          <w:rFonts w:hint="eastAsia" w:ascii="宋体" w:hAnsi="宋体" w:cs="宋体"/>
          <w:color w:val="auto"/>
          <w:szCs w:val="21"/>
          <w:highlight w:val="none"/>
          <w:lang w:val="en-US" w:eastAsia="zh-CN"/>
        </w:rPr>
        <w:t>11进度款支付申请（核准）表填写</w:t>
      </w:r>
      <w:r>
        <w:rPr>
          <w:rFonts w:hint="eastAsia" w:hAnsi="宋体" w:cs="宋体"/>
          <w:color w:val="auto"/>
          <w:highlight w:val="none"/>
        </w:rPr>
        <w:t>。</w:t>
      </w:r>
    </w:p>
    <w:p w14:paraId="0F3E9A96">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12.5.4过程结算支付时间及支付比例</w:t>
      </w:r>
    </w:p>
    <w:p w14:paraId="53196B8E">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（1）支付时间：在发承包双方签字确认过程结算文件后  天内按照合同约定的付款比例支付；</w:t>
      </w:r>
    </w:p>
    <w:p w14:paraId="6250C015">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（2）支付比例：按过程结算工程造价的   %（取值区间90%-97%）</w:t>
      </w:r>
    </w:p>
    <w:bookmarkEnd w:id="1662"/>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14:paraId="79866B68">
      <w:pPr>
        <w:pStyle w:val="3"/>
        <w:rPr>
          <w:color w:val="auto"/>
          <w:highlight w:val="none"/>
        </w:rPr>
      </w:pPr>
      <w:bookmarkStart w:id="1928" w:name="_Toc351203645"/>
      <w:bookmarkStart w:id="1929" w:name="_Toc728899116"/>
      <w:bookmarkStart w:id="1930" w:name="_Toc389065318"/>
      <w:bookmarkStart w:id="1931" w:name="_Toc78449842"/>
      <w:bookmarkStart w:id="1932" w:name="_Toc29308"/>
      <w:bookmarkStart w:id="1933" w:name="_Toc407135256"/>
      <w:bookmarkStart w:id="1934" w:name="_Toc373478400"/>
      <w:bookmarkStart w:id="1935" w:name="_Toc373227753"/>
      <w:bookmarkStart w:id="1936" w:name="_Toc296891047"/>
      <w:bookmarkStart w:id="1937" w:name="_Toc296503219"/>
      <w:bookmarkStart w:id="1938" w:name="_Toc296944558"/>
      <w:bookmarkStart w:id="1939" w:name="_Toc292559929"/>
      <w:bookmarkStart w:id="1940" w:name="_Toc303539172"/>
      <w:bookmarkStart w:id="1941" w:name="_Toc296347218"/>
      <w:bookmarkStart w:id="1942" w:name="_Toc297048405"/>
      <w:bookmarkStart w:id="1943" w:name="_Toc292559424"/>
      <w:bookmarkStart w:id="1944" w:name="_Toc300935015"/>
      <w:bookmarkStart w:id="1945" w:name="_Toc304295593"/>
      <w:bookmarkStart w:id="1946" w:name="_Toc297123564"/>
      <w:bookmarkStart w:id="1947" w:name="_Toc297216223"/>
      <w:bookmarkStart w:id="1948" w:name="_Toc312678053"/>
      <w:bookmarkStart w:id="1949" w:name="_Toc297120519"/>
      <w:bookmarkStart w:id="1950" w:name="_Toc296346720"/>
      <w:bookmarkStart w:id="1951" w:name="_Toc296891259"/>
      <w:r>
        <w:rPr>
          <w:color w:val="auto"/>
          <w:highlight w:val="none"/>
        </w:rPr>
        <w:t xml:space="preserve">13. </w:t>
      </w:r>
      <w:r>
        <w:rPr>
          <w:rFonts w:hint="eastAsia" w:cs="黑体"/>
          <w:color w:val="auto"/>
          <w:highlight w:val="none"/>
        </w:rPr>
        <w:t>验收和工程试车</w:t>
      </w:r>
      <w:bookmarkEnd w:id="1928"/>
      <w:bookmarkEnd w:id="1929"/>
      <w:bookmarkEnd w:id="1930"/>
      <w:bookmarkEnd w:id="1931"/>
      <w:bookmarkEnd w:id="1932"/>
      <w:bookmarkEnd w:id="1933"/>
      <w:bookmarkEnd w:id="1934"/>
      <w:bookmarkEnd w:id="1935"/>
    </w:p>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14:paraId="30D3C994">
      <w:pPr>
        <w:pStyle w:val="4"/>
        <w:rPr>
          <w:color w:val="auto"/>
          <w:highlight w:val="none"/>
        </w:rPr>
      </w:pPr>
      <w:bookmarkStart w:id="1952" w:name="_Toc407135257"/>
      <w:bookmarkStart w:id="1953" w:name="_Toc26423"/>
      <w:bookmarkStart w:id="1954" w:name="_Toc373227754"/>
      <w:bookmarkStart w:id="1955" w:name="_Toc740353520"/>
      <w:bookmarkStart w:id="1956" w:name="_Toc23263"/>
      <w:bookmarkStart w:id="1957" w:name="_Toc373478401"/>
      <w:bookmarkStart w:id="1958" w:name="_Toc78449843"/>
      <w:bookmarkStart w:id="1959" w:name="_Toc389065319"/>
      <w:r>
        <w:rPr>
          <w:color w:val="auto"/>
          <w:highlight w:val="none"/>
        </w:rPr>
        <w:t xml:space="preserve">13.1 </w:t>
      </w:r>
      <w:r>
        <w:rPr>
          <w:rFonts w:hint="eastAsia" w:cs="黑体"/>
          <w:color w:val="auto"/>
          <w:highlight w:val="none"/>
        </w:rPr>
        <w:t>分部分项工程验收</w:t>
      </w:r>
      <w:bookmarkEnd w:id="1952"/>
      <w:bookmarkEnd w:id="1953"/>
      <w:bookmarkEnd w:id="1954"/>
      <w:bookmarkEnd w:id="1955"/>
      <w:bookmarkEnd w:id="1956"/>
      <w:bookmarkEnd w:id="1957"/>
      <w:bookmarkEnd w:id="1958"/>
      <w:bookmarkEnd w:id="1959"/>
    </w:p>
    <w:p w14:paraId="293C382E">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hAnsi="宋体" w:cs="宋体"/>
          <w:color w:val="auto"/>
          <w:highlight w:val="none"/>
        </w:rPr>
        <w:t>小时提交书面延期要求。</w:t>
      </w:r>
    </w:p>
    <w:p w14:paraId="6306CD7B">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hAnsi="宋体" w:cs="宋体"/>
          <w:color w:val="auto"/>
          <w:highlight w:val="none"/>
        </w:rPr>
        <w:t>小时。</w:t>
      </w:r>
    </w:p>
    <w:p w14:paraId="12BC9C9C">
      <w:pPr>
        <w:pStyle w:val="4"/>
        <w:rPr>
          <w:color w:val="auto"/>
          <w:highlight w:val="none"/>
        </w:rPr>
      </w:pPr>
      <w:bookmarkStart w:id="1960" w:name="_Toc1578431234"/>
      <w:bookmarkStart w:id="1961" w:name="_Toc389065320"/>
      <w:bookmarkStart w:id="1962" w:name="_Toc373478402"/>
      <w:bookmarkStart w:id="1963" w:name="_Toc24981"/>
      <w:bookmarkStart w:id="1964" w:name="_Toc78449844"/>
      <w:bookmarkStart w:id="1965" w:name="_Toc8842"/>
      <w:bookmarkStart w:id="1966" w:name="_Toc373227755"/>
      <w:bookmarkStart w:id="1967" w:name="_Toc407135258"/>
      <w:bookmarkStart w:id="1968" w:name="_Toc296347222"/>
      <w:bookmarkStart w:id="1969" w:name="_Toc312678056"/>
      <w:bookmarkStart w:id="1970" w:name="_Toc296944562"/>
      <w:bookmarkStart w:id="1971" w:name="_Toc304295596"/>
      <w:bookmarkStart w:id="1972" w:name="_Toc296346724"/>
      <w:bookmarkStart w:id="1973" w:name="_Toc296891051"/>
      <w:bookmarkStart w:id="1974" w:name="_Toc292559428"/>
      <w:bookmarkStart w:id="1975" w:name="_Toc300935016"/>
      <w:bookmarkStart w:id="1976" w:name="_Toc297120523"/>
      <w:bookmarkStart w:id="1977" w:name="_Toc297123565"/>
      <w:bookmarkStart w:id="1978" w:name="_Toc292559933"/>
      <w:bookmarkStart w:id="1979" w:name="_Toc297048409"/>
      <w:bookmarkStart w:id="1980" w:name="_Toc303539173"/>
      <w:bookmarkStart w:id="1981" w:name="_Toc297216224"/>
      <w:bookmarkStart w:id="1982" w:name="_Toc296503223"/>
      <w:bookmarkStart w:id="1983" w:name="_Toc296891263"/>
      <w:bookmarkStart w:id="1984" w:name="_Toc267251470"/>
      <w:bookmarkStart w:id="1985" w:name="_Toc267251473"/>
      <w:bookmarkStart w:id="1986" w:name="_Toc267251471"/>
      <w:bookmarkStart w:id="1987" w:name="_Toc267251476"/>
      <w:bookmarkStart w:id="1988" w:name="_Toc267251472"/>
      <w:bookmarkStart w:id="1989" w:name="_Toc267251474"/>
      <w:bookmarkStart w:id="1990" w:name="_Toc267251475"/>
      <w:r>
        <w:rPr>
          <w:color w:val="auto"/>
          <w:highlight w:val="none"/>
        </w:rPr>
        <w:t xml:space="preserve">13.2 </w:t>
      </w:r>
      <w:r>
        <w:rPr>
          <w:rFonts w:hint="eastAsia" w:hAnsi="宋体" w:cs="黑体"/>
          <w:color w:val="auto"/>
          <w:highlight w:val="none"/>
        </w:rPr>
        <w:t>竣工验收</w:t>
      </w:r>
      <w:bookmarkEnd w:id="1960"/>
      <w:bookmarkEnd w:id="1961"/>
      <w:bookmarkEnd w:id="1962"/>
      <w:bookmarkEnd w:id="1963"/>
      <w:bookmarkEnd w:id="1964"/>
      <w:bookmarkEnd w:id="1965"/>
      <w:bookmarkEnd w:id="1966"/>
      <w:bookmarkEnd w:id="1967"/>
    </w:p>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14:paraId="25038ED1">
      <w:pPr>
        <w:spacing w:line="360" w:lineRule="auto"/>
        <w:ind w:firstLine="420" w:firstLineChars="200"/>
        <w:jc w:val="left"/>
        <w:rPr>
          <w:color w:val="auto"/>
          <w:highlight w:val="none"/>
        </w:rPr>
      </w:pPr>
      <w:bookmarkStart w:id="1991" w:name="_Toc280868704"/>
      <w:bookmarkStart w:id="1992" w:name="_Toc280868705"/>
      <w:bookmarkStart w:id="1993" w:name="_Toc280868706"/>
      <w:bookmarkStart w:id="1994" w:name="_Toc280868707"/>
      <w:bookmarkStart w:id="1995" w:name="_Toc280868708"/>
      <w:bookmarkStart w:id="1996" w:name="_Toc280868709"/>
      <w:r>
        <w:rPr>
          <w:color w:val="auto"/>
          <w:highlight w:val="none"/>
        </w:rPr>
        <w:t>13.2.1</w:t>
      </w:r>
      <w:r>
        <w:rPr>
          <w:rFonts w:hint="eastAsia" w:hAnsi="宋体" w:cs="宋体"/>
          <w:color w:val="auto"/>
          <w:highlight w:val="none"/>
        </w:rPr>
        <w:t>竣工验收条件</w:t>
      </w:r>
    </w:p>
    <w:p w14:paraId="479CF0A7">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hAnsi="宋体" w:cs="宋体"/>
          <w:color w:val="auto"/>
          <w:highlight w:val="none"/>
        </w:rPr>
        <w:t>。</w:t>
      </w:r>
    </w:p>
    <w:p w14:paraId="057A79F6">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Fonts w:hint="eastAsia" w:hAnsi="宋体" w:cs="宋体"/>
          <w:color w:val="auto"/>
          <w:highlight w:val="none"/>
        </w:rPr>
        <w:t>。</w:t>
      </w:r>
    </w:p>
    <w:p w14:paraId="22E8B09D">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w:t>
      </w:r>
      <w:r>
        <w:rPr>
          <w:color w:val="auto"/>
          <w:highlight w:val="none"/>
          <w:u w:val="single"/>
        </w:rPr>
        <w:t>5</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万元以下含</w:t>
      </w:r>
      <w:r>
        <w:rPr>
          <w:color w:val="auto"/>
          <w:highlight w:val="none"/>
          <w:u w:val="single"/>
        </w:rPr>
        <w:t>500</w:t>
      </w:r>
      <w:r>
        <w:rPr>
          <w:rFonts w:hint="eastAsia" w:hAnsi="宋体" w:cs="宋体"/>
          <w:color w:val="auto"/>
          <w:highlight w:val="none"/>
          <w:u w:val="single"/>
        </w:rPr>
        <w:t>万元）、</w:t>
      </w:r>
      <w:r>
        <w:rPr>
          <w:color w:val="auto"/>
          <w:highlight w:val="none"/>
          <w:u w:val="single"/>
        </w:rPr>
        <w:t>10</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万元至</w:t>
      </w:r>
      <w:r>
        <w:rPr>
          <w:color w:val="auto"/>
          <w:highlight w:val="none"/>
          <w:u w:val="single"/>
        </w:rPr>
        <w:t>1000</w:t>
      </w:r>
      <w:r>
        <w:rPr>
          <w:rFonts w:hint="eastAsia" w:hAnsi="宋体" w:cs="宋体"/>
          <w:color w:val="auto"/>
          <w:highlight w:val="none"/>
          <w:u w:val="single"/>
        </w:rPr>
        <w:t>万元之间含</w:t>
      </w:r>
      <w:r>
        <w:rPr>
          <w:color w:val="auto"/>
          <w:highlight w:val="none"/>
          <w:u w:val="single"/>
        </w:rPr>
        <w:t>1000</w:t>
      </w:r>
      <w:r>
        <w:rPr>
          <w:rFonts w:hint="eastAsia" w:hAnsi="宋体" w:cs="宋体"/>
          <w:color w:val="auto"/>
          <w:highlight w:val="none"/>
          <w:u w:val="single"/>
        </w:rPr>
        <w:t>万元）、</w:t>
      </w:r>
      <w:r>
        <w:rPr>
          <w:color w:val="auto"/>
          <w:highlight w:val="none"/>
          <w:u w:val="single"/>
        </w:rPr>
        <w:t>15</w:t>
      </w:r>
      <w:r>
        <w:rPr>
          <w:rFonts w:hint="eastAsia" w:hAnsi="宋体" w:cs="宋体"/>
          <w:color w:val="auto"/>
          <w:highlight w:val="none"/>
          <w:u w:val="single"/>
        </w:rPr>
        <w:t>天（工程造价在</w:t>
      </w:r>
      <w:r>
        <w:rPr>
          <w:color w:val="auto"/>
          <w:highlight w:val="none"/>
          <w:u w:val="single"/>
        </w:rPr>
        <w:t>1000</w:t>
      </w:r>
      <w:r>
        <w:rPr>
          <w:rFonts w:hint="eastAsia" w:hAnsi="宋体" w:cs="宋体"/>
          <w:color w:val="auto"/>
          <w:highlight w:val="none"/>
          <w:u w:val="single"/>
        </w:rPr>
        <w:t>万元以上），提供竣工图的数量分别为</w:t>
      </w:r>
      <w:r>
        <w:rPr>
          <w:color w:val="auto"/>
          <w:highlight w:val="none"/>
          <w:u w:val="single"/>
        </w:rPr>
        <w:t>2</w:t>
      </w:r>
      <w:r>
        <w:rPr>
          <w:rFonts w:hint="eastAsia" w:hAnsi="宋体" w:cs="宋体"/>
          <w:color w:val="auto"/>
          <w:highlight w:val="none"/>
          <w:u w:val="single"/>
        </w:rPr>
        <w:t>套、</w:t>
      </w:r>
      <w:r>
        <w:rPr>
          <w:color w:val="auto"/>
          <w:highlight w:val="none"/>
          <w:u w:val="single"/>
        </w:rPr>
        <w:t>4</w:t>
      </w:r>
      <w:r>
        <w:rPr>
          <w:rFonts w:hint="eastAsia" w:hAnsi="宋体" w:cs="宋体"/>
          <w:color w:val="auto"/>
          <w:highlight w:val="none"/>
          <w:u w:val="single"/>
        </w:rPr>
        <w:t>套、</w:t>
      </w:r>
      <w:r>
        <w:rPr>
          <w:color w:val="auto"/>
          <w:highlight w:val="none"/>
          <w:u w:val="single"/>
        </w:rPr>
        <w:t>6</w:t>
      </w:r>
      <w:r>
        <w:rPr>
          <w:rFonts w:hint="eastAsia" w:hAnsi="宋体" w:cs="宋体"/>
          <w:color w:val="auto"/>
          <w:highlight w:val="none"/>
          <w:u w:val="single"/>
        </w:rPr>
        <w:t>套。</w:t>
      </w:r>
    </w:p>
    <w:p w14:paraId="545D1388">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1991"/>
    <w:p w14:paraId="3F0330FB">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hAnsi="宋体" w:cs="宋体"/>
          <w:color w:val="auto"/>
          <w:highlight w:val="none"/>
        </w:rPr>
        <w:t>。</w:t>
      </w:r>
    </w:p>
    <w:p w14:paraId="141392AE">
      <w:pPr>
        <w:spacing w:line="360" w:lineRule="auto"/>
        <w:ind w:firstLine="420" w:firstLineChars="200"/>
        <w:jc w:val="left"/>
        <w:rPr>
          <w:color w:val="auto"/>
          <w:highlight w:val="none"/>
          <w:u w:val="singl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p>
    <w:p w14:paraId="7B2AC5FD">
      <w:pPr>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bookmarkEnd w:id="1992"/>
    <w:p w14:paraId="0280FEB8">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1993"/>
    <w:p w14:paraId="116A62E8">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color w:val="auto"/>
          <w:highlight w:val="none"/>
          <w:u w:val="single"/>
        </w:rPr>
        <w:t xml:space="preserve">                        </w:t>
      </w:r>
      <w:r>
        <w:rPr>
          <w:rFonts w:hint="eastAsia" w:hAnsi="宋体" w:cs="宋体"/>
          <w:color w:val="auto"/>
          <w:highlight w:val="none"/>
        </w:rPr>
        <w:t>。</w:t>
      </w:r>
    </w:p>
    <w:p w14:paraId="3317DF08">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hAnsi="宋体" w:cs="宋体"/>
          <w:color w:val="auto"/>
          <w:highlight w:val="none"/>
        </w:rPr>
        <w:t>。</w:t>
      </w:r>
    </w:p>
    <w:bookmarkEnd w:id="1994"/>
    <w:p w14:paraId="4C4FFF71">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hAnsi="宋体" w:cs="宋体"/>
          <w:color w:val="auto"/>
          <w:highlight w:val="none"/>
        </w:rPr>
        <w:t>。</w:t>
      </w:r>
    </w:p>
    <w:p w14:paraId="3C6BA543">
      <w:pPr>
        <w:pStyle w:val="4"/>
        <w:rPr>
          <w:color w:val="auto"/>
          <w:highlight w:val="none"/>
        </w:rPr>
      </w:pPr>
      <w:bookmarkStart w:id="1997" w:name="_Toc1470255881"/>
      <w:bookmarkStart w:id="1998" w:name="_Toc1727"/>
      <w:bookmarkStart w:id="1999" w:name="_Toc373227756"/>
      <w:bookmarkStart w:id="2000" w:name="_Toc389065321"/>
      <w:bookmarkStart w:id="2001" w:name="_Toc24630"/>
      <w:bookmarkStart w:id="2002" w:name="_Toc78449845"/>
      <w:bookmarkStart w:id="2003" w:name="_Toc407135259"/>
      <w:bookmarkStart w:id="2004" w:name="_Toc373478403"/>
      <w:r>
        <w:rPr>
          <w:color w:val="auto"/>
          <w:highlight w:val="none"/>
        </w:rPr>
        <w:t xml:space="preserve">13.3 </w:t>
      </w:r>
      <w:r>
        <w:rPr>
          <w:rFonts w:hint="eastAsia" w:hAnsi="宋体" w:cs="黑体"/>
          <w:color w:val="auto"/>
          <w:highlight w:val="none"/>
        </w:rPr>
        <w:t>工程试车</w:t>
      </w:r>
      <w:bookmarkEnd w:id="1997"/>
      <w:bookmarkEnd w:id="1998"/>
      <w:bookmarkEnd w:id="1999"/>
      <w:bookmarkEnd w:id="2000"/>
      <w:bookmarkEnd w:id="2001"/>
      <w:bookmarkEnd w:id="2002"/>
      <w:bookmarkEnd w:id="2003"/>
      <w:bookmarkEnd w:id="2004"/>
    </w:p>
    <w:bookmarkEnd w:id="1995"/>
    <w:p w14:paraId="76B7D702">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5B1C50D1">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hAnsi="宋体" w:cs="宋体"/>
          <w:color w:val="auto"/>
          <w:highlight w:val="none"/>
        </w:rPr>
        <w:t>。</w:t>
      </w:r>
    </w:p>
    <w:p w14:paraId="0DCEB54B">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hAnsi="宋体" w:cs="宋体"/>
          <w:color w:val="auto"/>
          <w:kern w:val="0"/>
          <w:highlight w:val="none"/>
        </w:rPr>
        <w:t>承担；</w:t>
      </w:r>
    </w:p>
    <w:p w14:paraId="16035C0D">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hAnsi="宋体" w:cs="宋体"/>
          <w:color w:val="auto"/>
          <w:kern w:val="0"/>
          <w:highlight w:val="none"/>
        </w:rPr>
        <w:t>承担。</w:t>
      </w:r>
    </w:p>
    <w:p w14:paraId="33327806">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2825E5C8">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hAnsi="宋体" w:cs="宋体"/>
          <w:color w:val="auto"/>
          <w:highlight w:val="none"/>
        </w:rPr>
        <w:t>。</w:t>
      </w:r>
    </w:p>
    <w:p w14:paraId="5DB27DFA">
      <w:pPr>
        <w:pStyle w:val="4"/>
        <w:rPr>
          <w:color w:val="auto"/>
          <w:highlight w:val="none"/>
        </w:rPr>
      </w:pPr>
      <w:bookmarkStart w:id="2005" w:name="_Toc389065322"/>
      <w:bookmarkStart w:id="2006" w:name="_Toc78449846"/>
      <w:bookmarkStart w:id="2007" w:name="_Toc12147"/>
      <w:bookmarkStart w:id="2008" w:name="_Toc10307455"/>
      <w:bookmarkStart w:id="2009" w:name="_Toc373478404"/>
      <w:bookmarkStart w:id="2010" w:name="_Toc373227757"/>
      <w:bookmarkStart w:id="2011" w:name="_Toc22225"/>
      <w:bookmarkStart w:id="2012" w:name="_Toc407135260"/>
      <w:r>
        <w:rPr>
          <w:color w:val="auto"/>
          <w:highlight w:val="none"/>
        </w:rPr>
        <w:t xml:space="preserve">13.6 </w:t>
      </w:r>
      <w:r>
        <w:rPr>
          <w:rFonts w:hint="eastAsia" w:hAnsi="宋体" w:cs="黑体"/>
          <w:color w:val="auto"/>
          <w:highlight w:val="none"/>
        </w:rPr>
        <w:t>竣工退场</w:t>
      </w:r>
      <w:bookmarkEnd w:id="2005"/>
      <w:bookmarkEnd w:id="2006"/>
      <w:bookmarkEnd w:id="2007"/>
      <w:bookmarkEnd w:id="2008"/>
      <w:bookmarkEnd w:id="2009"/>
      <w:bookmarkEnd w:id="2010"/>
      <w:bookmarkEnd w:id="2011"/>
      <w:bookmarkEnd w:id="2012"/>
    </w:p>
    <w:p w14:paraId="4658D09F">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0071D990">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hAnsi="宋体" w:cs="宋体"/>
          <w:color w:val="auto"/>
          <w:kern w:val="0"/>
          <w:highlight w:val="none"/>
        </w:rPr>
        <w:t>。</w:t>
      </w:r>
    </w:p>
    <w:p w14:paraId="2354262B">
      <w:pPr>
        <w:pStyle w:val="3"/>
        <w:rPr>
          <w:color w:val="auto"/>
          <w:highlight w:val="none"/>
        </w:rPr>
      </w:pPr>
      <w:bookmarkStart w:id="2013" w:name="_Toc24722"/>
      <w:bookmarkStart w:id="2014" w:name="_Toc407135261"/>
      <w:bookmarkStart w:id="2015" w:name="_Toc389065323"/>
      <w:bookmarkStart w:id="2016" w:name="_Toc351203646"/>
      <w:bookmarkStart w:id="2017" w:name="_Toc1385490858"/>
      <w:bookmarkStart w:id="2018" w:name="_Toc373227758"/>
      <w:bookmarkStart w:id="2019" w:name="_Toc373478405"/>
      <w:bookmarkStart w:id="2020" w:name="_Toc78449847"/>
      <w:r>
        <w:rPr>
          <w:color w:val="auto"/>
          <w:highlight w:val="none"/>
        </w:rPr>
        <w:t xml:space="preserve">14. </w:t>
      </w:r>
      <w:r>
        <w:rPr>
          <w:rFonts w:hint="eastAsia" w:hAnsi="宋体" w:cs="黑体"/>
          <w:color w:val="auto"/>
          <w:highlight w:val="none"/>
        </w:rPr>
        <w:t>竣工结算</w:t>
      </w:r>
      <w:bookmarkEnd w:id="2013"/>
      <w:bookmarkEnd w:id="2014"/>
      <w:bookmarkEnd w:id="2015"/>
      <w:bookmarkEnd w:id="2016"/>
      <w:bookmarkEnd w:id="2017"/>
      <w:bookmarkEnd w:id="2018"/>
      <w:bookmarkEnd w:id="2019"/>
      <w:bookmarkEnd w:id="2020"/>
    </w:p>
    <w:p w14:paraId="3AF4F378">
      <w:pPr>
        <w:pStyle w:val="4"/>
        <w:rPr>
          <w:color w:val="auto"/>
          <w:highlight w:val="none"/>
        </w:rPr>
      </w:pPr>
      <w:bookmarkStart w:id="2021" w:name="_Toc373478406"/>
      <w:bookmarkStart w:id="2022" w:name="_Toc389065324"/>
      <w:bookmarkStart w:id="2023" w:name="_Toc11356"/>
      <w:bookmarkStart w:id="2024" w:name="_Toc174652718"/>
      <w:bookmarkStart w:id="2025" w:name="_Toc78449848"/>
      <w:bookmarkStart w:id="2026" w:name="_Toc2542"/>
      <w:bookmarkStart w:id="2027" w:name="_Toc373227759"/>
      <w:bookmarkStart w:id="2028" w:name="_Toc407135262"/>
      <w:r>
        <w:rPr>
          <w:color w:val="auto"/>
          <w:highlight w:val="none"/>
        </w:rPr>
        <w:t xml:space="preserve">14.1 </w:t>
      </w:r>
      <w:r>
        <w:rPr>
          <w:rFonts w:hint="eastAsia" w:hAnsi="宋体" w:cs="黑体"/>
          <w:color w:val="auto"/>
          <w:highlight w:val="none"/>
        </w:rPr>
        <w:t>竣工付款申请</w:t>
      </w:r>
      <w:bookmarkEnd w:id="2021"/>
      <w:bookmarkEnd w:id="2022"/>
      <w:bookmarkEnd w:id="2023"/>
      <w:bookmarkEnd w:id="2024"/>
      <w:bookmarkEnd w:id="2025"/>
      <w:bookmarkEnd w:id="2026"/>
      <w:bookmarkEnd w:id="2027"/>
      <w:bookmarkEnd w:id="2028"/>
    </w:p>
    <w:p w14:paraId="74EC7310">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hAnsi="宋体" w:cs="宋体"/>
          <w:color w:val="auto"/>
          <w:highlight w:val="none"/>
        </w:rPr>
        <w:t>。</w:t>
      </w:r>
    </w:p>
    <w:p w14:paraId="20606D79">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color w:val="auto"/>
          <w:highlight w:val="none"/>
          <w:u w:val="single"/>
        </w:rPr>
        <w:t xml:space="preserve">                        </w:t>
      </w:r>
      <w:r>
        <w:rPr>
          <w:rFonts w:hint="eastAsia" w:hAnsi="宋体" w:cs="宋体"/>
          <w:color w:val="auto"/>
          <w:highlight w:val="none"/>
        </w:rPr>
        <w:t>。竣工结算款支付申请（核准）表见合同附件12。</w:t>
      </w:r>
    </w:p>
    <w:p w14:paraId="188222A6">
      <w:pPr>
        <w:pStyle w:val="4"/>
        <w:rPr>
          <w:color w:val="auto"/>
          <w:highlight w:val="none"/>
        </w:rPr>
      </w:pPr>
      <w:bookmarkStart w:id="2029" w:name="_Toc78449849"/>
      <w:bookmarkStart w:id="2030" w:name="_Toc373478407"/>
      <w:bookmarkStart w:id="2031" w:name="_Toc389065325"/>
      <w:bookmarkStart w:id="2032" w:name="_Toc407135263"/>
      <w:bookmarkStart w:id="2033" w:name="_Toc373227760"/>
      <w:bookmarkStart w:id="2034" w:name="_Toc10913"/>
      <w:bookmarkStart w:id="2035" w:name="_Toc23646"/>
      <w:bookmarkStart w:id="2036" w:name="_Toc667492935"/>
      <w:r>
        <w:rPr>
          <w:color w:val="auto"/>
          <w:highlight w:val="none"/>
        </w:rPr>
        <w:t xml:space="preserve">14.2 </w:t>
      </w:r>
      <w:r>
        <w:rPr>
          <w:rFonts w:hint="eastAsia" w:hAnsi="宋体" w:cs="黑体"/>
          <w:color w:val="auto"/>
          <w:highlight w:val="none"/>
        </w:rPr>
        <w:t>竣工结算审核</w:t>
      </w:r>
      <w:bookmarkEnd w:id="2029"/>
      <w:bookmarkEnd w:id="2030"/>
      <w:bookmarkEnd w:id="2031"/>
      <w:bookmarkEnd w:id="2032"/>
      <w:bookmarkEnd w:id="2033"/>
      <w:bookmarkEnd w:id="2034"/>
      <w:bookmarkEnd w:id="2035"/>
      <w:bookmarkEnd w:id="2036"/>
    </w:p>
    <w:p w14:paraId="5D93DECE">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14.2.1承包人</w:t>
      </w:r>
      <w:r>
        <w:rPr>
          <w:rFonts w:hint="eastAsia" w:ascii="宋体" w:hAnsi="宋体" w:cs="宋体"/>
          <w:color w:val="auto"/>
          <w:szCs w:val="21"/>
          <w:highlight w:val="none"/>
          <w:u w:val="single"/>
        </w:rPr>
        <w:t xml:space="preserve">□是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否</w:t>
      </w:r>
      <w:r>
        <w:rPr>
          <w:rFonts w:hint="eastAsia" w:ascii="Times New Roman" w:hAnsi="宋体" w:eastAsia="宋体" w:cs="宋体"/>
          <w:i w:val="0"/>
          <w:caps w:val="0"/>
          <w:color w:val="auto"/>
          <w:spacing w:val="0"/>
          <w:sz w:val="21"/>
          <w:szCs w:val="21"/>
          <w:highlight w:val="none"/>
          <w:lang w:val="en-US" w:eastAsia="zh-CN"/>
        </w:rPr>
        <w:t>属于中小微企业。</w:t>
      </w:r>
    </w:p>
    <w:p w14:paraId="5DA28EA9">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14.2.2</w:t>
      </w:r>
      <w:r>
        <w:rPr>
          <w:rFonts w:hint="eastAsia" w:ascii="宋体" w:hAnsi="宋体" w:eastAsia="宋体" w:cs="宋体"/>
          <w:color w:val="auto"/>
          <w:szCs w:val="21"/>
          <w:highlight w:val="none"/>
          <w:lang w:val="en-US" w:eastAsia="zh-CN"/>
        </w:rPr>
        <w:t>项目推行过程结算的，</w:t>
      </w:r>
      <w:r>
        <w:rPr>
          <w:rFonts w:hint="eastAsia" w:ascii="宋体" w:hAnsi="宋体" w:cs="宋体"/>
          <w:color w:val="auto"/>
          <w:szCs w:val="21"/>
          <w:highlight w:val="none"/>
          <w:lang w:val="zh-TW"/>
        </w:rPr>
        <w:t>承包人应在经发承包双方确认的施工过程结算的基础上，</w:t>
      </w:r>
      <w:r>
        <w:rPr>
          <w:rFonts w:hint="eastAsia" w:ascii="宋体" w:hAnsi="宋体" w:cs="宋体"/>
          <w:color w:val="auto"/>
          <w:szCs w:val="21"/>
          <w:highlight w:val="none"/>
        </w:rPr>
        <w:t>补充完善相关质量合格验收证明等资料，</w:t>
      </w:r>
      <w:r>
        <w:rPr>
          <w:rFonts w:hint="eastAsia" w:ascii="宋体" w:hAnsi="宋体" w:cs="宋体"/>
          <w:color w:val="auto"/>
          <w:szCs w:val="21"/>
          <w:highlight w:val="none"/>
          <w:lang w:val="zh-TW"/>
        </w:rPr>
        <w:t>按合同约定及相关规定编制并向发包人提交完整的工程竣工结算文件。</w:t>
      </w:r>
      <w:r>
        <w:rPr>
          <w:rFonts w:hint="eastAsia" w:ascii="Times New Roman" w:hAnsi="宋体" w:eastAsia="宋体" w:cs="宋体"/>
          <w:i w:val="0"/>
          <w:caps w:val="0"/>
          <w:color w:val="auto"/>
          <w:spacing w:val="0"/>
          <w:sz w:val="21"/>
          <w:szCs w:val="21"/>
          <w:highlight w:val="none"/>
        </w:rPr>
        <w:t>经发承包双方签署确认的施工过程结算文件作为竣工结算文件的组成部分。</w:t>
      </w:r>
      <w:r>
        <w:rPr>
          <w:rFonts w:hint="eastAsia" w:ascii="Times New Roman" w:hAnsi="宋体" w:eastAsia="宋体" w:cs="宋体"/>
          <w:i w:val="0"/>
          <w:caps w:val="0"/>
          <w:color w:val="auto"/>
          <w:spacing w:val="0"/>
          <w:sz w:val="21"/>
          <w:szCs w:val="21"/>
          <w:highlight w:val="none"/>
          <w:lang w:val="en-US" w:eastAsia="zh-CN"/>
        </w:rPr>
        <w:t>根据合同约定具有过程结算效力的过程结算文件作为竣工结算文件的组成部分，竣工后原则上不再重复审核。</w:t>
      </w:r>
    </w:p>
    <w:p w14:paraId="783100FF">
      <w:pPr>
        <w:spacing w:line="400" w:lineRule="exact"/>
        <w:ind w:firstLine="420" w:firstLineChars="200"/>
        <w:outlineLvl w:val="3"/>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14.2.3</w:t>
      </w:r>
      <w:r>
        <w:rPr>
          <w:rFonts w:hint="default" w:ascii="Times New Roman" w:hAnsi="Times New Roman" w:cs="Times New Roman"/>
          <w:color w:val="auto"/>
          <w:szCs w:val="21"/>
          <w:highlight w:val="none"/>
        </w:rPr>
        <w:t>发包</w:t>
      </w:r>
      <w:r>
        <w:rPr>
          <w:rFonts w:hint="default" w:ascii="Times New Roman" w:hAnsi="Times New Roman" w:cs="Times New Roman"/>
          <w:color w:val="auto"/>
          <w:szCs w:val="21"/>
          <w:highlight w:val="none"/>
          <w:u w:val="none"/>
        </w:rPr>
        <w:t>人</w:t>
      </w:r>
      <w:r>
        <w:rPr>
          <w:rFonts w:hint="eastAsia" w:ascii="Times New Roman" w:hAnsi="Times New Roman" w:cs="Times New Roman"/>
          <w:color w:val="auto"/>
          <w:szCs w:val="21"/>
          <w:highlight w:val="none"/>
          <w:u w:val="none"/>
          <w:lang w:val="en-US" w:eastAsia="zh-CN"/>
        </w:rPr>
        <w:t>在期限内</w:t>
      </w:r>
      <w:r>
        <w:rPr>
          <w:rFonts w:hint="eastAsia" w:ascii="Times New Roman" w:hAnsi="Times New Roman" w:cs="Times New Roman"/>
          <w:color w:val="auto"/>
          <w:szCs w:val="21"/>
          <w:highlight w:val="none"/>
          <w:lang w:val="en-US" w:eastAsia="zh-CN"/>
        </w:rPr>
        <w:t>按照第</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none"/>
          <w:lang w:val="en-US" w:eastAsia="zh-CN"/>
        </w:rPr>
        <w:t>种方式</w:t>
      </w:r>
      <w:r>
        <w:rPr>
          <w:rFonts w:hint="eastAsia" w:ascii="Times New Roman" w:hAnsi="Times New Roman" w:cs="Times New Roman"/>
          <w:color w:val="auto"/>
          <w:szCs w:val="21"/>
          <w:highlight w:val="none"/>
          <w:lang w:val="en-US" w:eastAsia="zh-CN"/>
        </w:rPr>
        <w:t>进行</w:t>
      </w:r>
      <w:r>
        <w:rPr>
          <w:rFonts w:hint="default" w:ascii="Times New Roman" w:hAnsi="Times New Roman" w:cs="Times New Roman"/>
          <w:color w:val="auto"/>
          <w:szCs w:val="21"/>
          <w:highlight w:val="none"/>
        </w:rPr>
        <w:t>竣工</w:t>
      </w:r>
      <w:r>
        <w:rPr>
          <w:rFonts w:hint="eastAsia" w:ascii="Times New Roman" w:hAnsi="Times New Roman" w:cs="Times New Roman"/>
          <w:color w:val="auto"/>
          <w:szCs w:val="21"/>
          <w:highlight w:val="none"/>
          <w:lang w:val="en-US" w:eastAsia="zh-CN"/>
        </w:rPr>
        <w:t>结算文件审核</w:t>
      </w:r>
      <w:r>
        <w:rPr>
          <w:rFonts w:hint="default" w:ascii="Times New Roman" w:hAnsi="Times New Roman" w:cs="Times New Roman"/>
          <w:color w:val="auto"/>
          <w:szCs w:val="21"/>
          <w:highlight w:val="none"/>
        </w:rPr>
        <w:t>。</w:t>
      </w:r>
    </w:p>
    <w:p w14:paraId="67B3D978">
      <w:pPr>
        <w:numPr>
          <w:ilvl w:val="0"/>
          <w:numId w:val="5"/>
        </w:numPr>
        <w:spacing w:line="400" w:lineRule="exact"/>
        <w:ind w:firstLine="420" w:firstLineChars="200"/>
        <w:jc w:val="left"/>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本工程项目的的竣工结算以发包人</w:t>
      </w:r>
      <w:r>
        <w:rPr>
          <w:rFonts w:hint="eastAsia" w:ascii="Times New Roman" w:hAnsi="Times New Roman" w:eastAsia="宋体" w:cs="Times New Roman"/>
          <w:b w:val="0"/>
          <w:bCs w:val="0"/>
          <w:color w:val="auto"/>
          <w:szCs w:val="21"/>
          <w:highlight w:val="none"/>
          <w:lang w:val="en-US" w:eastAsia="zh-CN"/>
        </w:rPr>
        <w:t>审核的结论为准。</w:t>
      </w:r>
    </w:p>
    <w:p w14:paraId="5FACA126">
      <w:pPr>
        <w:spacing w:line="360" w:lineRule="auto"/>
        <w:ind w:firstLine="420" w:firstLineChars="200"/>
        <w:jc w:val="left"/>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rPr>
        <w:t>发承包双方</w:t>
      </w:r>
      <w:r>
        <w:rPr>
          <w:rFonts w:hint="eastAsia" w:ascii="Times New Roman" w:hAnsi="宋体" w:eastAsia="宋体" w:cs="宋体"/>
          <w:i w:val="0"/>
          <w:caps w:val="0"/>
          <w:color w:val="auto"/>
          <w:spacing w:val="0"/>
          <w:sz w:val="21"/>
          <w:szCs w:val="21"/>
          <w:highlight w:val="none"/>
          <w:lang w:val="en-US" w:eastAsia="zh-CN"/>
        </w:rPr>
        <w:t>可参照下表，约定发包人审核竣工结算文件</w:t>
      </w:r>
      <w:r>
        <w:rPr>
          <w:rFonts w:hint="eastAsia" w:ascii="Times New Roman" w:hAnsi="宋体" w:eastAsia="宋体" w:cs="宋体"/>
          <w:i w:val="0"/>
          <w:caps w:val="0"/>
          <w:color w:val="auto"/>
          <w:spacing w:val="0"/>
          <w:sz w:val="21"/>
          <w:szCs w:val="21"/>
          <w:highlight w:val="none"/>
        </w:rPr>
        <w:t>的期限</w:t>
      </w:r>
      <w:r>
        <w:rPr>
          <w:rFonts w:hint="eastAsia" w:hAnsi="宋体" w:cs="宋体"/>
          <w:color w:val="auto"/>
          <w:highlight w:val="none"/>
          <w:lang w:val="en-US" w:eastAsia="zh-CN"/>
        </w:rPr>
        <w:t>。</w:t>
      </w:r>
    </w:p>
    <w:p w14:paraId="1AE60A06">
      <w:pPr>
        <w:spacing w:line="360" w:lineRule="auto"/>
        <w:ind w:firstLine="420" w:firstLineChars="200"/>
        <w:jc w:val="left"/>
        <w:rPr>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33B0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2217C8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2466" w:type="dxa"/>
            <w:noWrap w:val="0"/>
            <w:vAlign w:val="center"/>
          </w:tcPr>
          <w:p w14:paraId="29ADEFA5">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工程竣工结算</w:t>
            </w:r>
            <w:r>
              <w:rPr>
                <w:rFonts w:hint="eastAsia" w:ascii="Calibri" w:hAnsi="宋体" w:eastAsia="宋体" w:cs="宋体"/>
                <w:color w:val="auto"/>
                <w:highlight w:val="none"/>
                <w:lang w:eastAsia="zh-CN"/>
              </w:rPr>
              <w:t>申请</w:t>
            </w:r>
            <w:r>
              <w:rPr>
                <w:rFonts w:hint="eastAsia" w:ascii="Calibri" w:hAnsi="宋体" w:eastAsia="宋体" w:cs="宋体"/>
                <w:color w:val="auto"/>
                <w:highlight w:val="none"/>
              </w:rPr>
              <w:t>金额</w:t>
            </w:r>
          </w:p>
        </w:tc>
        <w:tc>
          <w:tcPr>
            <w:tcW w:w="5967" w:type="dxa"/>
            <w:noWrap w:val="0"/>
            <w:vAlign w:val="center"/>
          </w:tcPr>
          <w:p w14:paraId="72D661B9">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发包人</w:t>
            </w:r>
            <w:r>
              <w:rPr>
                <w:rFonts w:hint="eastAsia" w:ascii="Calibri" w:hAnsi="宋体" w:eastAsia="宋体" w:cs="宋体"/>
                <w:color w:val="auto"/>
                <w:highlight w:val="none"/>
                <w:lang w:val="en-US" w:eastAsia="zh-CN"/>
              </w:rPr>
              <w:t>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Calibri" w:hAnsi="宋体" w:eastAsia="宋体" w:cs="宋体"/>
                <w:color w:val="auto"/>
                <w:highlight w:val="none"/>
              </w:rPr>
              <w:t>时间</w:t>
            </w:r>
          </w:p>
        </w:tc>
      </w:tr>
      <w:tr w14:paraId="48CD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83D7D2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66" w:type="dxa"/>
            <w:noWrap w:val="0"/>
            <w:vAlign w:val="center"/>
          </w:tcPr>
          <w:p w14:paraId="7FFC6067">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万元以下</w:t>
            </w:r>
          </w:p>
        </w:tc>
        <w:tc>
          <w:tcPr>
            <w:tcW w:w="5967" w:type="dxa"/>
            <w:noWrap w:val="0"/>
            <w:vAlign w:val="center"/>
          </w:tcPr>
          <w:p w14:paraId="310D0391">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20</w:t>
            </w:r>
            <w:r>
              <w:rPr>
                <w:rFonts w:hint="eastAsia" w:ascii="Calibri" w:hAnsi="宋体" w:eastAsia="宋体" w:cs="宋体"/>
                <w:color w:val="auto"/>
                <w:highlight w:val="none"/>
              </w:rPr>
              <w:t>天</w:t>
            </w:r>
          </w:p>
        </w:tc>
      </w:tr>
      <w:tr w14:paraId="7751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2B004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66" w:type="dxa"/>
            <w:noWrap w:val="0"/>
            <w:vAlign w:val="center"/>
          </w:tcPr>
          <w:p w14:paraId="7C3AD758">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p>
        </w:tc>
        <w:tc>
          <w:tcPr>
            <w:tcW w:w="5967" w:type="dxa"/>
            <w:noWrap w:val="0"/>
            <w:vAlign w:val="center"/>
          </w:tcPr>
          <w:p w14:paraId="5D38949F">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30</w:t>
            </w:r>
            <w:r>
              <w:rPr>
                <w:rFonts w:hint="eastAsia" w:ascii="Calibri" w:hAnsi="宋体" w:eastAsia="宋体" w:cs="宋体"/>
                <w:color w:val="auto"/>
                <w:highlight w:val="none"/>
              </w:rPr>
              <w:t>天</w:t>
            </w:r>
          </w:p>
        </w:tc>
      </w:tr>
      <w:tr w14:paraId="13FF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CB63E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66" w:type="dxa"/>
            <w:noWrap w:val="0"/>
            <w:vAlign w:val="center"/>
          </w:tcPr>
          <w:p w14:paraId="635B9B49">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-5000</w:t>
            </w:r>
            <w:r>
              <w:rPr>
                <w:rFonts w:hint="eastAsia" w:ascii="Calibri" w:hAnsi="宋体" w:eastAsia="宋体" w:cs="宋体"/>
                <w:color w:val="auto"/>
                <w:highlight w:val="none"/>
              </w:rPr>
              <w:t>万元</w:t>
            </w:r>
          </w:p>
        </w:tc>
        <w:tc>
          <w:tcPr>
            <w:tcW w:w="5967" w:type="dxa"/>
            <w:noWrap w:val="0"/>
            <w:vAlign w:val="center"/>
          </w:tcPr>
          <w:p w14:paraId="2C3909E8">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45</w:t>
            </w:r>
            <w:r>
              <w:rPr>
                <w:rFonts w:hint="eastAsia" w:ascii="Calibri" w:hAnsi="宋体" w:eastAsia="宋体" w:cs="宋体"/>
                <w:color w:val="auto"/>
                <w:highlight w:val="none"/>
              </w:rPr>
              <w:t>天</w:t>
            </w:r>
          </w:p>
        </w:tc>
      </w:tr>
      <w:tr w14:paraId="4A97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8460E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66" w:type="dxa"/>
            <w:noWrap w:val="0"/>
            <w:vAlign w:val="center"/>
          </w:tcPr>
          <w:p w14:paraId="334D1E9F">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5000</w:t>
            </w:r>
            <w:r>
              <w:rPr>
                <w:rFonts w:hint="eastAsia" w:ascii="Calibri" w:hAnsi="宋体" w:eastAsia="宋体" w:cs="宋体"/>
                <w:color w:val="auto"/>
                <w:highlight w:val="none"/>
              </w:rPr>
              <w:t>万元以上</w:t>
            </w:r>
          </w:p>
        </w:tc>
        <w:tc>
          <w:tcPr>
            <w:tcW w:w="5967" w:type="dxa"/>
            <w:noWrap w:val="0"/>
            <w:vAlign w:val="center"/>
          </w:tcPr>
          <w:p w14:paraId="3D6E498C">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60</w:t>
            </w:r>
            <w:r>
              <w:rPr>
                <w:rFonts w:hint="eastAsia" w:ascii="Calibri" w:hAnsi="宋体" w:eastAsia="宋体" w:cs="宋体"/>
                <w:color w:val="auto"/>
                <w:highlight w:val="none"/>
              </w:rPr>
              <w:t>天</w:t>
            </w:r>
          </w:p>
        </w:tc>
      </w:tr>
      <w:tr w14:paraId="5083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8C824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466" w:type="dxa"/>
            <w:noWrap w:val="0"/>
            <w:vAlign w:val="center"/>
          </w:tcPr>
          <w:p w14:paraId="3E878CA9">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5000万以上每增加</w:t>
            </w:r>
            <w:r>
              <w:rPr>
                <w:rFonts w:hint="default" w:ascii="Calibri" w:hAnsi="Calibri" w:eastAsia="宋体" w:cs="Times New Roman"/>
                <w:color w:val="auto"/>
                <w:highlight w:val="none"/>
              </w:rPr>
              <w:t>0.5</w:t>
            </w:r>
            <w:r>
              <w:rPr>
                <w:rFonts w:hint="eastAsia" w:ascii="Calibri" w:hAnsi="Calibri" w:eastAsia="宋体" w:cs="Times New Roman"/>
                <w:color w:val="auto"/>
                <w:highlight w:val="none"/>
              </w:rPr>
              <w:t>亿</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不足0.5亿不增加</w:t>
            </w:r>
            <w:r>
              <w:rPr>
                <w:rFonts w:hint="eastAsia" w:ascii="Calibri" w:hAnsi="Calibri" w:cs="Times New Roman"/>
                <w:color w:val="auto"/>
                <w:highlight w:val="none"/>
                <w:lang w:eastAsia="zh-CN"/>
              </w:rPr>
              <w:t>）</w:t>
            </w:r>
          </w:p>
        </w:tc>
        <w:tc>
          <w:tcPr>
            <w:tcW w:w="5967" w:type="dxa"/>
            <w:noWrap w:val="0"/>
            <w:vAlign w:val="center"/>
          </w:tcPr>
          <w:p w14:paraId="47BFC87F">
            <w:pPr>
              <w:keepNext w:val="0"/>
              <w:keepLines w:val="0"/>
              <w:suppressLineNumbers w:val="0"/>
              <w:spacing w:before="0" w:beforeAutospacing="0" w:after="0" w:afterAutospacing="0" w:line="360" w:lineRule="auto"/>
              <w:ind w:left="0" w:right="0" w:firstLine="441" w:firstLineChars="210"/>
              <w:jc w:val="center"/>
              <w:rPr>
                <w:rFonts w:hint="eastAsia" w:ascii="Calibri" w:hAnsi="宋体" w:eastAsia="宋体" w:cs="宋体"/>
                <w:color w:val="auto"/>
                <w:highlight w:val="none"/>
              </w:rPr>
            </w:pPr>
            <w:r>
              <w:rPr>
                <w:rFonts w:hint="eastAsia" w:ascii="Calibri" w:hAnsi="宋体" w:eastAsia="宋体" w:cs="宋体"/>
                <w:color w:val="auto"/>
                <w:highlight w:val="none"/>
              </w:rPr>
              <w:t>增加10天</w:t>
            </w:r>
          </w:p>
        </w:tc>
      </w:tr>
    </w:tbl>
    <w:p w14:paraId="6D6C9246">
      <w:pPr>
        <w:spacing w:line="400" w:lineRule="exact"/>
        <w:ind w:left="0" w:leftChars="0" w:firstLine="0" w:firstLineChars="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15475013">
      <w:pPr>
        <w:spacing w:line="360" w:lineRule="auto"/>
        <w:ind w:firstLine="420" w:firstLineChars="200"/>
        <w:jc w:val="left"/>
        <w:rPr>
          <w:rFonts w:hint="eastAsia" w:hAnsi="宋体" w:cs="宋体"/>
          <w:color w:val="auto"/>
          <w:highlight w:val="none"/>
        </w:rPr>
      </w:pPr>
    </w:p>
    <w:p w14:paraId="7ACD584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发包人约定审核竣工结算申请文件的期限：从接到竣工结算报告和完整的竣工结算资料之日起       天内审核完毕。没有约定期限的，发包人应当在收到承包人提交的竣工结算申请与竣工结算文件之日起的28天内完成竣工结算审核。</w:t>
      </w:r>
    </w:p>
    <w:p w14:paraId="577F750C">
      <w:pPr>
        <w:spacing w:line="360" w:lineRule="auto"/>
        <w:ind w:firstLine="420" w:firstLineChars="200"/>
        <w:jc w:val="left"/>
        <w:rPr>
          <w:rFonts w:hint="eastAsia" w:hAnsi="宋体" w:cs="宋体"/>
          <w:color w:val="auto"/>
          <w:highlight w:val="none"/>
        </w:rPr>
      </w:pPr>
    </w:p>
    <w:p w14:paraId="45DABF3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47BF34A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除发承包双方共同约定以财政评审结论作为竣工结算的依据以外，不应以财政评审结论作为竣工结算的依据。</w:t>
      </w:r>
    </w:p>
    <w:p w14:paraId="7E032FB2">
      <w:pPr>
        <w:spacing w:line="400" w:lineRule="exact"/>
        <w:ind w:firstLine="420" w:firstLineChars="2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本工程项目的的竣工结算以</w:t>
      </w:r>
      <w:r>
        <w:rPr>
          <w:rFonts w:hint="eastAsia" w:ascii="Times New Roman" w:hAnsi="Times New Roman" w:eastAsia="宋体" w:cs="Times New Roman"/>
          <w:color w:val="auto"/>
          <w:szCs w:val="21"/>
          <w:highlight w:val="none"/>
          <w:u w:val="single"/>
          <w:lang w:val="en-US" w:eastAsia="zh-CN"/>
        </w:rPr>
        <w:t xml:space="preserve">                </w:t>
      </w:r>
      <w:r>
        <w:rPr>
          <w:rFonts w:hint="eastAsia" w:ascii="Times New Roman" w:hAnsi="Times New Roman" w:eastAsia="宋体" w:cs="Times New Roman"/>
          <w:color w:val="auto"/>
          <w:szCs w:val="21"/>
          <w:highlight w:val="none"/>
          <w:lang w:val="en-US" w:eastAsia="zh-CN"/>
        </w:rPr>
        <w:t>财政评审的结论为准。</w:t>
      </w:r>
    </w:p>
    <w:p w14:paraId="58620750">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财政部门应按照下表，根据承包人报送的工程竣工结算申请金额，在对应的</w:t>
      </w:r>
      <w:r>
        <w:rPr>
          <w:rFonts w:hint="eastAsia" w:hAnsi="宋体" w:cs="宋体"/>
          <w:color w:val="auto"/>
          <w:highlight w:val="none"/>
          <w:lang w:val="en-US" w:eastAsia="zh-CN"/>
        </w:rPr>
        <w:t>发包人和财政部门的审核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hAnsi="宋体" w:cs="宋体"/>
          <w:color w:val="auto"/>
          <w:highlight w:val="none"/>
        </w:rPr>
        <w:t>时间</w:t>
      </w:r>
      <w:r>
        <w:rPr>
          <w:rFonts w:hint="eastAsia" w:hAnsi="宋体" w:cs="宋体"/>
          <w:color w:val="auto"/>
          <w:highlight w:val="none"/>
          <w:lang w:val="en-US" w:eastAsia="zh-CN"/>
        </w:rPr>
        <w:t>期限内</w:t>
      </w:r>
      <w:r>
        <w:rPr>
          <w:rFonts w:hint="eastAsia" w:hAnsi="宋体" w:cs="宋体"/>
          <w:color w:val="auto"/>
          <w:highlight w:val="none"/>
          <w:lang w:eastAsia="zh-CN"/>
        </w:rPr>
        <w:t>，</w:t>
      </w:r>
      <w:r>
        <w:rPr>
          <w:rFonts w:hint="eastAsia" w:ascii="Times New Roman" w:hAnsi="Times New Roman" w:eastAsia="宋体" w:cs="Times New Roman"/>
          <w:color w:val="auto"/>
          <w:szCs w:val="21"/>
          <w:highlight w:val="none"/>
          <w:lang w:val="en-US" w:eastAsia="zh-CN"/>
        </w:rPr>
        <w:t>完成项目竣工结算的评审，并得出最终结论。</w:t>
      </w:r>
      <w:r>
        <w:rPr>
          <w:rFonts w:hint="default" w:ascii="Times New Roman" w:hAnsi="Times New Roman" w:eastAsia="宋体" w:cs="Times New Roman"/>
          <w:color w:val="auto"/>
          <w:szCs w:val="21"/>
          <w:highlight w:val="none"/>
        </w:rPr>
        <w:t>发承包双方已经确认财政评审的结论的，不得重复评审。</w:t>
      </w:r>
    </w:p>
    <w:p w14:paraId="0BEB589C">
      <w:pPr>
        <w:spacing w:line="400" w:lineRule="exact"/>
        <w:ind w:firstLine="420" w:firstLineChars="200"/>
        <w:jc w:val="left"/>
        <w:rPr>
          <w:rFonts w:hint="eastAsia" w:ascii="Times New Roman" w:hAnsi="Times New Roman" w:eastAsia="宋体" w:cs="Times New Roman"/>
          <w:color w:val="auto"/>
          <w:szCs w:val="21"/>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7ABD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2A905A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2466" w:type="dxa"/>
            <w:noWrap w:val="0"/>
            <w:vAlign w:val="center"/>
          </w:tcPr>
          <w:p w14:paraId="1A1DC133">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工程竣工结算</w:t>
            </w:r>
            <w:r>
              <w:rPr>
                <w:rFonts w:hint="eastAsia" w:ascii="Calibri" w:hAnsi="宋体" w:eastAsia="宋体" w:cs="宋体"/>
                <w:color w:val="auto"/>
                <w:highlight w:val="none"/>
                <w:lang w:val="en-US" w:eastAsia="zh-CN"/>
              </w:rPr>
              <w:t>申请</w:t>
            </w:r>
            <w:r>
              <w:rPr>
                <w:rFonts w:hint="eastAsia" w:ascii="Calibri" w:hAnsi="宋体" w:eastAsia="宋体" w:cs="宋体"/>
                <w:color w:val="auto"/>
                <w:highlight w:val="none"/>
              </w:rPr>
              <w:t>金额</w:t>
            </w:r>
          </w:p>
        </w:tc>
        <w:tc>
          <w:tcPr>
            <w:tcW w:w="5967" w:type="dxa"/>
            <w:noWrap w:val="0"/>
            <w:vAlign w:val="center"/>
          </w:tcPr>
          <w:p w14:paraId="1E519109">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lang w:val="en-US" w:eastAsia="zh-CN"/>
              </w:rPr>
              <w:t>发包人和财政部门的审核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Calibri" w:hAnsi="宋体" w:eastAsia="宋体" w:cs="宋体"/>
                <w:color w:val="auto"/>
                <w:highlight w:val="none"/>
              </w:rPr>
              <w:t>时间</w:t>
            </w:r>
          </w:p>
        </w:tc>
      </w:tr>
      <w:tr w14:paraId="63E6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F5D64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66" w:type="dxa"/>
            <w:noWrap w:val="0"/>
            <w:vAlign w:val="center"/>
          </w:tcPr>
          <w:p w14:paraId="608CE481">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万元以下</w:t>
            </w:r>
          </w:p>
        </w:tc>
        <w:tc>
          <w:tcPr>
            <w:tcW w:w="5967" w:type="dxa"/>
            <w:noWrap w:val="0"/>
            <w:vAlign w:val="center"/>
          </w:tcPr>
          <w:p w14:paraId="573E1BFB">
            <w:pPr>
              <w:keepNext w:val="0"/>
              <w:keepLines w:val="0"/>
              <w:suppressLineNumbers w:val="0"/>
              <w:spacing w:before="0" w:beforeAutospacing="0" w:after="0" w:afterAutospacing="0" w:line="360" w:lineRule="auto"/>
              <w:ind w:left="0" w:right="0" w:firstLine="648" w:firstLineChars="309"/>
              <w:jc w:val="both"/>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eastAsia" w:ascii="Calibri" w:hAnsi="宋体" w:eastAsia="宋体" w:cs="宋体"/>
                <w:color w:val="auto"/>
                <w:highlight w:val="none"/>
                <w:lang w:val="en-US" w:eastAsia="zh-CN"/>
              </w:rPr>
              <w:t>40</w:t>
            </w:r>
            <w:r>
              <w:rPr>
                <w:rFonts w:hint="eastAsia" w:ascii="Calibri" w:hAnsi="宋体" w:eastAsia="宋体" w:cs="宋体"/>
                <w:color w:val="auto"/>
                <w:highlight w:val="none"/>
              </w:rPr>
              <w:t>天</w:t>
            </w:r>
          </w:p>
        </w:tc>
      </w:tr>
      <w:tr w14:paraId="2A6F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55E3BC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66" w:type="dxa"/>
            <w:noWrap w:val="0"/>
            <w:vAlign w:val="center"/>
          </w:tcPr>
          <w:p w14:paraId="68D6CA7E">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p>
        </w:tc>
        <w:tc>
          <w:tcPr>
            <w:tcW w:w="5967" w:type="dxa"/>
            <w:noWrap w:val="0"/>
            <w:vAlign w:val="center"/>
          </w:tcPr>
          <w:p w14:paraId="74423C74">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eastAsia" w:ascii="Calibri" w:hAnsi="宋体" w:eastAsia="宋体" w:cs="宋体"/>
                <w:color w:val="auto"/>
                <w:highlight w:val="none"/>
                <w:lang w:val="en-US" w:eastAsia="zh-CN"/>
              </w:rPr>
              <w:t>60</w:t>
            </w:r>
            <w:r>
              <w:rPr>
                <w:rFonts w:hint="eastAsia" w:ascii="Calibri" w:hAnsi="宋体" w:eastAsia="宋体" w:cs="宋体"/>
                <w:color w:val="auto"/>
                <w:highlight w:val="none"/>
              </w:rPr>
              <w:t>天</w:t>
            </w:r>
          </w:p>
        </w:tc>
      </w:tr>
      <w:tr w14:paraId="6905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6C27A6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66" w:type="dxa"/>
            <w:noWrap w:val="0"/>
            <w:vAlign w:val="center"/>
          </w:tcPr>
          <w:p w14:paraId="133BD638">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-5000</w:t>
            </w:r>
            <w:r>
              <w:rPr>
                <w:rFonts w:hint="eastAsia" w:ascii="Calibri" w:hAnsi="宋体" w:eastAsia="宋体" w:cs="宋体"/>
                <w:color w:val="auto"/>
                <w:highlight w:val="none"/>
              </w:rPr>
              <w:t>万元</w:t>
            </w:r>
          </w:p>
        </w:tc>
        <w:tc>
          <w:tcPr>
            <w:tcW w:w="5967" w:type="dxa"/>
            <w:noWrap w:val="0"/>
            <w:vAlign w:val="center"/>
          </w:tcPr>
          <w:p w14:paraId="54D07D25">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eastAsia" w:ascii="Calibri" w:hAnsi="宋体" w:eastAsia="宋体" w:cs="宋体"/>
                <w:color w:val="auto"/>
                <w:highlight w:val="none"/>
                <w:lang w:val="en-US" w:eastAsia="zh-CN"/>
              </w:rPr>
              <w:t>90</w:t>
            </w:r>
            <w:r>
              <w:rPr>
                <w:rFonts w:hint="eastAsia" w:ascii="Calibri" w:hAnsi="宋体" w:eastAsia="宋体" w:cs="宋体"/>
                <w:color w:val="auto"/>
                <w:highlight w:val="none"/>
              </w:rPr>
              <w:t>天</w:t>
            </w:r>
          </w:p>
        </w:tc>
      </w:tr>
      <w:tr w14:paraId="4FAA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80FC3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66" w:type="dxa"/>
            <w:noWrap w:val="0"/>
            <w:vAlign w:val="center"/>
          </w:tcPr>
          <w:p w14:paraId="5D00F21A">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5000</w:t>
            </w:r>
            <w:r>
              <w:rPr>
                <w:rFonts w:hint="eastAsia" w:ascii="Calibri" w:hAnsi="宋体" w:eastAsia="宋体" w:cs="宋体"/>
                <w:color w:val="auto"/>
                <w:highlight w:val="none"/>
              </w:rPr>
              <w:t>万元以上</w:t>
            </w:r>
          </w:p>
        </w:tc>
        <w:tc>
          <w:tcPr>
            <w:tcW w:w="5967" w:type="dxa"/>
            <w:noWrap w:val="0"/>
            <w:vAlign w:val="center"/>
          </w:tcPr>
          <w:p w14:paraId="0251BBDB">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eastAsia" w:ascii="Calibri" w:hAnsi="宋体" w:eastAsia="宋体" w:cs="宋体"/>
                <w:color w:val="auto"/>
                <w:highlight w:val="none"/>
                <w:lang w:val="en-US" w:eastAsia="zh-CN"/>
              </w:rPr>
              <w:t>120</w:t>
            </w:r>
            <w:r>
              <w:rPr>
                <w:rFonts w:hint="eastAsia" w:ascii="Calibri" w:hAnsi="宋体" w:eastAsia="宋体" w:cs="宋体"/>
                <w:color w:val="auto"/>
                <w:highlight w:val="none"/>
              </w:rPr>
              <w:t>天</w:t>
            </w:r>
          </w:p>
        </w:tc>
      </w:tr>
      <w:tr w14:paraId="1916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ECE96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466" w:type="dxa"/>
            <w:noWrap w:val="0"/>
            <w:vAlign w:val="center"/>
          </w:tcPr>
          <w:p w14:paraId="34FCBDBD">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5000万以上每增加</w:t>
            </w:r>
            <w:r>
              <w:rPr>
                <w:rFonts w:hint="default" w:ascii="Calibri" w:hAnsi="Calibri" w:eastAsia="宋体" w:cs="Times New Roman"/>
                <w:color w:val="auto"/>
                <w:highlight w:val="none"/>
              </w:rPr>
              <w:t>0.5</w:t>
            </w:r>
            <w:r>
              <w:rPr>
                <w:rFonts w:hint="eastAsia" w:ascii="Calibri" w:hAnsi="Calibri" w:eastAsia="宋体" w:cs="Times New Roman"/>
                <w:color w:val="auto"/>
                <w:highlight w:val="none"/>
              </w:rPr>
              <w:t>亿</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不足0.5亿不增加</w:t>
            </w:r>
            <w:r>
              <w:rPr>
                <w:rFonts w:hint="eastAsia" w:ascii="Calibri" w:hAnsi="Calibri" w:cs="Times New Roman"/>
                <w:color w:val="auto"/>
                <w:highlight w:val="none"/>
                <w:lang w:eastAsia="zh-CN"/>
              </w:rPr>
              <w:t>）</w:t>
            </w:r>
          </w:p>
        </w:tc>
        <w:tc>
          <w:tcPr>
            <w:tcW w:w="5967" w:type="dxa"/>
            <w:noWrap w:val="0"/>
            <w:vAlign w:val="center"/>
          </w:tcPr>
          <w:p w14:paraId="12F62D4D">
            <w:pPr>
              <w:keepNext w:val="0"/>
              <w:keepLines w:val="0"/>
              <w:suppressLineNumbers w:val="0"/>
              <w:spacing w:before="0" w:beforeAutospacing="0" w:after="0" w:afterAutospacing="0" w:line="360" w:lineRule="auto"/>
              <w:ind w:left="0" w:right="0" w:firstLine="441" w:firstLineChars="210"/>
              <w:jc w:val="center"/>
              <w:rPr>
                <w:rFonts w:hint="eastAsia" w:ascii="Calibri" w:hAnsi="宋体" w:eastAsia="宋体" w:cs="宋体"/>
                <w:color w:val="auto"/>
                <w:highlight w:val="none"/>
              </w:rPr>
            </w:pPr>
            <w:r>
              <w:rPr>
                <w:rFonts w:hint="eastAsia" w:ascii="Calibri" w:hAnsi="宋体" w:eastAsia="宋体" w:cs="宋体"/>
                <w:color w:val="auto"/>
                <w:highlight w:val="none"/>
              </w:rPr>
              <w:t>增加10天</w:t>
            </w:r>
          </w:p>
        </w:tc>
      </w:tr>
    </w:tbl>
    <w:p w14:paraId="36B91504">
      <w:pPr>
        <w:spacing w:line="400" w:lineRule="exact"/>
        <w:ind w:left="0" w:leftChars="0" w:firstLine="0" w:firstLineChars="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6110BEC0">
      <w:pPr>
        <w:spacing w:beforeLines="0" w:afterLines="0" w:line="360" w:lineRule="auto"/>
        <w:ind w:firstLine="420" w:firstLineChars="200"/>
        <w:jc w:val="left"/>
        <w:rPr>
          <w:rFonts w:hint="eastAsia" w:ascii="Times New Roman" w:hAnsi="Times New Roman" w:eastAsia="宋体" w:cs="Times New Roman"/>
          <w:color w:val="auto"/>
          <w:szCs w:val="21"/>
          <w:highlight w:val="none"/>
          <w:lang w:val="en-US" w:eastAsia="zh-CN"/>
        </w:rPr>
      </w:pPr>
    </w:p>
    <w:p w14:paraId="0B80440A">
      <w:pPr>
        <w:spacing w:line="400" w:lineRule="exact"/>
        <w:ind w:firstLine="420" w:firstLineChars="200"/>
        <w:outlineLvl w:val="3"/>
        <w:rPr>
          <w:rFonts w:hint="default" w:hAnsi="宋体" w:cs="宋体"/>
          <w:color w:val="auto"/>
          <w:highlight w:val="none"/>
          <w:lang w:val="en-US" w:eastAsia="zh-CN"/>
        </w:rPr>
      </w:pPr>
      <w:r>
        <w:rPr>
          <w:rFonts w:hint="eastAsia" w:hAnsi="宋体" w:cs="宋体"/>
          <w:color w:val="auto"/>
          <w:highlight w:val="none"/>
          <w:lang w:val="en-US" w:eastAsia="zh-CN"/>
        </w:rPr>
        <w:t>14.2.4审核异议处理</w:t>
      </w:r>
    </w:p>
    <w:p w14:paraId="3429D283">
      <w:pPr>
        <w:spacing w:line="400" w:lineRule="exact"/>
        <w:ind w:firstLine="420" w:firstLineChars="200"/>
        <w:outlineLvl w:val="3"/>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lang w:val="en-US" w:eastAsia="zh-CN"/>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w:t>
      </w:r>
      <w:r>
        <w:rPr>
          <w:rFonts w:hint="eastAsia" w:hAnsi="宋体" w:cs="宋体"/>
          <w:color w:val="auto"/>
          <w:highlight w:val="none"/>
        </w:rPr>
        <w:t>因承包人提供的</w:t>
      </w:r>
      <w:r>
        <w:rPr>
          <w:rFonts w:hint="eastAsia" w:hAnsi="宋体" w:cs="宋体"/>
          <w:color w:val="auto"/>
          <w:highlight w:val="none"/>
          <w:lang w:val="en-US" w:eastAsia="zh-CN"/>
        </w:rPr>
        <w:t>竣工</w:t>
      </w:r>
      <w:r>
        <w:rPr>
          <w:rFonts w:hint="eastAsia" w:hAnsi="宋体" w:cs="宋体"/>
          <w:color w:val="auto"/>
          <w:highlight w:val="none"/>
        </w:rPr>
        <w:t>结算资料不完整而需要补充或承包人不按时对账耽误时间时，</w:t>
      </w:r>
      <w:r>
        <w:rPr>
          <w:rFonts w:hint="eastAsia" w:hAnsi="宋体" w:cs="宋体"/>
          <w:color w:val="auto"/>
          <w:highlight w:val="none"/>
          <w:lang w:val="en-US" w:eastAsia="zh-CN"/>
        </w:rPr>
        <w:t>审核</w:t>
      </w:r>
      <w:r>
        <w:rPr>
          <w:rFonts w:hint="eastAsia" w:hAnsi="宋体" w:cs="宋体"/>
          <w:color w:val="auto"/>
          <w:highlight w:val="none"/>
        </w:rPr>
        <w:t>时间应相应顺延。</w:t>
      </w:r>
    </w:p>
    <w:p w14:paraId="56C956A0">
      <w:pPr>
        <w:numPr>
          <w:ilvl w:val="0"/>
          <w:numId w:val="0"/>
        </w:numPr>
        <w:spacing w:line="400" w:lineRule="exact"/>
        <w:ind w:firstLine="420" w:firstLineChars="200"/>
        <w:rPr>
          <w:rFonts w:hint="eastAsia" w:hAnsi="宋体" w:cs="宋体"/>
          <w:color w:val="auto"/>
          <w:highlight w:val="none"/>
          <w:u w:val="none"/>
        </w:rPr>
      </w:pPr>
      <w:r>
        <w:rPr>
          <w:rFonts w:hint="eastAsia" w:hAnsi="宋体" w:cs="宋体"/>
          <w:color w:val="auto"/>
          <w:highlight w:val="none"/>
          <w:u w:val="none"/>
        </w:rPr>
        <w:t>承包人对发包人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确认的结算价款或审核意见有异议的，应在收到发包人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确认的价款或审核意见之日起</w:t>
      </w:r>
      <w:r>
        <w:rPr>
          <w:rFonts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none"/>
        </w:rPr>
        <w:t>天内提出异议，必要时合同当事人要当面核对，直至完成工程竣工结算。除非有特殊情形，否则从承包人递交竣工结算报告到完成竣工结算的时间应控制在</w:t>
      </w:r>
      <w:r>
        <w:rPr>
          <w:rFonts w:hint="eastAsia" w:hAnsi="宋体" w:cs="宋体"/>
          <w:color w:val="auto"/>
          <w:highlight w:val="none"/>
          <w:u w:val="none"/>
          <w:lang w:val="en-US" w:eastAsia="zh-CN"/>
        </w:rPr>
        <w:t>审核竣工结算文件</w:t>
      </w:r>
      <w:r>
        <w:rPr>
          <w:rFonts w:hint="eastAsia" w:hAnsi="宋体" w:cs="宋体"/>
          <w:color w:val="auto"/>
          <w:highlight w:val="none"/>
          <w:u w:val="none"/>
        </w:rPr>
        <w:t>期限</w:t>
      </w:r>
      <w:r>
        <w:rPr>
          <w:rFonts w:hint="eastAsia" w:hAnsi="宋体" w:cs="宋体"/>
          <w:color w:val="auto"/>
          <w:highlight w:val="none"/>
          <w:u w:val="none"/>
          <w:lang w:val="en-US" w:eastAsia="zh-CN"/>
        </w:rPr>
        <w:t>之</w:t>
      </w:r>
      <w:r>
        <w:rPr>
          <w:rFonts w:hint="eastAsia" w:hAnsi="宋体" w:cs="宋体"/>
          <w:color w:val="auto"/>
          <w:highlight w:val="none"/>
          <w:u w:val="none"/>
        </w:rPr>
        <w:t>内。</w:t>
      </w:r>
    </w:p>
    <w:p w14:paraId="02E6D555">
      <w:pPr>
        <w:spacing w:line="400" w:lineRule="exact"/>
        <w:ind w:firstLine="420" w:firstLineChars="200"/>
        <w:outlineLvl w:val="3"/>
        <w:rPr>
          <w:rFonts w:hint="eastAsia" w:hAnsi="宋体" w:cs="宋体"/>
          <w:color w:val="auto"/>
          <w:highlight w:val="none"/>
        </w:rPr>
      </w:pPr>
      <w:r>
        <w:rPr>
          <w:rFonts w:hint="eastAsia" w:ascii="Times New Roman" w:hAnsi="Times New Roman" w:eastAsia="宋体" w:cs="Times New Roman"/>
          <w:color w:val="auto"/>
          <w:szCs w:val="21"/>
          <w:highlight w:val="none"/>
          <w:lang w:val="en-US" w:eastAsia="zh-CN"/>
        </w:rPr>
        <w:t>竣工结算审核期限届满，</w:t>
      </w:r>
      <w:r>
        <w:rPr>
          <w:rFonts w:hint="eastAsia" w:ascii="Times New Roman" w:hAnsi="Times New Roman" w:eastAsia="宋体" w:cs="Times New Roman"/>
          <w:color w:val="auto"/>
          <w:szCs w:val="21"/>
          <w:highlight w:val="none"/>
          <w:lang w:val="en-US"/>
        </w:rPr>
        <w:t>发包人</w:t>
      </w:r>
      <w:r>
        <w:rPr>
          <w:rFonts w:hint="eastAsia" w:ascii="Times New Roman" w:hAnsi="Times New Roman" w:eastAsia="宋体" w:cs="Times New Roman"/>
          <w:color w:val="auto"/>
          <w:szCs w:val="21"/>
          <w:highlight w:val="none"/>
          <w:lang w:val="en-US" w:eastAsia="zh-CN"/>
        </w:rPr>
        <w:t>（财政部门）</w:t>
      </w:r>
      <w:r>
        <w:rPr>
          <w:rFonts w:hint="eastAsia" w:ascii="Times New Roman" w:hAnsi="Times New Roman" w:eastAsia="宋体" w:cs="Times New Roman"/>
          <w:color w:val="auto"/>
          <w:szCs w:val="21"/>
          <w:highlight w:val="none"/>
          <w:lang w:val="en-US"/>
        </w:rPr>
        <w:t>或承包人对</w:t>
      </w:r>
      <w:r>
        <w:rPr>
          <w:rFonts w:hint="eastAsia" w:ascii="Times New Roman" w:hAnsi="Times New Roman" w:eastAsia="宋体" w:cs="Times New Roman"/>
          <w:color w:val="auto"/>
          <w:szCs w:val="21"/>
          <w:highlight w:val="none"/>
          <w:lang w:val="en-US" w:eastAsia="zh-CN"/>
        </w:rPr>
        <w:t>审核</w:t>
      </w:r>
      <w:r>
        <w:rPr>
          <w:rFonts w:hint="eastAsia" w:ascii="Times New Roman" w:hAnsi="Times New Roman" w:eastAsia="宋体" w:cs="Times New Roman"/>
          <w:color w:val="auto"/>
          <w:szCs w:val="21"/>
          <w:highlight w:val="none"/>
          <w:lang w:val="en-US"/>
        </w:rPr>
        <w:t>结果</w:t>
      </w:r>
      <w:r>
        <w:rPr>
          <w:rFonts w:hint="eastAsia" w:ascii="Times New Roman" w:hAnsi="Times New Roman" w:eastAsia="宋体" w:cs="Times New Roman"/>
          <w:color w:val="auto"/>
          <w:szCs w:val="21"/>
          <w:highlight w:val="none"/>
          <w:lang w:val="en-US" w:eastAsia="zh-CN"/>
        </w:rPr>
        <w:t>部分</w:t>
      </w:r>
      <w:r>
        <w:rPr>
          <w:rFonts w:hint="eastAsia" w:ascii="Times New Roman" w:hAnsi="Times New Roman" w:eastAsia="宋体" w:cs="Times New Roman"/>
          <w:color w:val="auto"/>
          <w:szCs w:val="21"/>
          <w:highlight w:val="none"/>
          <w:lang w:val="en-US"/>
        </w:rPr>
        <w:t>存有异议的，</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无异议部分办理不完全竣工结算</w:t>
      </w:r>
      <w:r>
        <w:rPr>
          <w:rFonts w:hint="eastAsia" w:ascii="Times New Roman" w:hAnsi="Times New Roman" w:eastAsia="宋体" w:cs="Times New Roman"/>
          <w:color w:val="auto"/>
          <w:szCs w:val="21"/>
          <w:highlight w:val="none"/>
          <w:lang w:val="en-US" w:eastAsia="zh-CN"/>
        </w:rPr>
        <w:t>，发包人应按照不完全竣工结算金额依约向承包人支付对应的工程款</w:t>
      </w:r>
      <w:r>
        <w:rPr>
          <w:rFonts w:hint="eastAsia" w:ascii="Times New Roman" w:hAnsi="Times New Roman" w:eastAsia="宋体" w:cs="Times New Roman"/>
          <w:color w:val="auto"/>
          <w:szCs w:val="21"/>
          <w:highlight w:val="none"/>
          <w:lang w:val="en-US"/>
        </w:rPr>
        <w:t>；</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有异议部分</w:t>
      </w:r>
      <w:r>
        <w:rPr>
          <w:rFonts w:hint="eastAsia" w:ascii="Times New Roman" w:hAnsi="Times New Roman" w:eastAsia="宋体" w:cs="Times New Roman"/>
          <w:color w:val="auto"/>
          <w:szCs w:val="21"/>
          <w:highlight w:val="none"/>
          <w:lang w:val="en-US" w:eastAsia="zh-CN"/>
        </w:rPr>
        <w:t>发承包</w:t>
      </w:r>
      <w:r>
        <w:rPr>
          <w:rFonts w:hint="eastAsia" w:ascii="Times New Roman" w:hAnsi="Times New Roman" w:eastAsia="宋体" w:cs="Times New Roman"/>
          <w:color w:val="auto"/>
          <w:szCs w:val="21"/>
          <w:highlight w:val="none"/>
          <w:lang w:val="en-US"/>
        </w:rPr>
        <w:t>双方按</w:t>
      </w:r>
      <w:r>
        <w:rPr>
          <w:rFonts w:hint="eastAsia" w:ascii="Times New Roman" w:hAnsi="Times New Roman" w:eastAsia="宋体" w:cs="Times New Roman"/>
          <w:color w:val="auto"/>
          <w:szCs w:val="21"/>
          <w:highlight w:val="none"/>
          <w:lang w:val="en-US" w:eastAsia="zh-CN"/>
        </w:rPr>
        <w:t>本合同约定的</w:t>
      </w:r>
      <w:r>
        <w:rPr>
          <w:rFonts w:hint="eastAsia" w:ascii="Times New Roman" w:hAnsi="Times New Roman" w:eastAsia="宋体" w:cs="Times New Roman"/>
          <w:color w:val="auto"/>
          <w:szCs w:val="21"/>
          <w:highlight w:val="none"/>
          <w:lang w:val="en-US"/>
        </w:rPr>
        <w:t>争议解决方式处理</w:t>
      </w:r>
      <w:r>
        <w:rPr>
          <w:rFonts w:hint="eastAsia" w:ascii="Times New Roman" w:hAnsi="Times New Roman" w:eastAsia="宋体" w:cs="Times New Roman"/>
          <w:color w:val="auto"/>
          <w:szCs w:val="21"/>
          <w:highlight w:val="none"/>
          <w:lang w:val="en-US" w:eastAsia="zh-CN"/>
        </w:rPr>
        <w:t>，达成一致后，按争议部分的结算金额依约向承包人支付对应的工程款</w:t>
      </w:r>
      <w:r>
        <w:rPr>
          <w:rFonts w:hint="eastAsia" w:ascii="Times New Roman" w:hAnsi="Times New Roman" w:eastAsia="宋体" w:cs="Times New Roman"/>
          <w:color w:val="auto"/>
          <w:szCs w:val="21"/>
          <w:highlight w:val="none"/>
          <w:lang w:val="en-US"/>
        </w:rPr>
        <w:t>。</w:t>
      </w:r>
    </w:p>
    <w:p w14:paraId="29916243">
      <w:pPr>
        <w:numPr>
          <w:ilvl w:val="0"/>
          <w:numId w:val="0"/>
        </w:numPr>
        <w:spacing w:line="360" w:lineRule="auto"/>
        <w:ind w:firstLine="420" w:firstLineChars="200"/>
        <w:jc w:val="left"/>
        <w:rPr>
          <w:rFonts w:hint="eastAsia" w:hAnsi="宋体" w:cs="宋体"/>
          <w:color w:val="auto"/>
          <w:highlight w:val="none"/>
          <w:u w:val="single"/>
        </w:rPr>
      </w:pPr>
      <w:r>
        <w:rPr>
          <w:rFonts w:hint="eastAsia" w:ascii="宋体" w:hAnsi="宋体" w:cs="宋体"/>
          <w:color w:val="auto"/>
          <w:szCs w:val="21"/>
          <w:highlight w:val="none"/>
          <w:lang w:val="zh-TW"/>
        </w:rPr>
        <w:t>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在收到承包人竣工结算文件后约定</w:t>
      </w:r>
      <w:r>
        <w:rPr>
          <w:rFonts w:hint="eastAsia" w:ascii="宋体" w:hAnsi="宋体" w:cs="宋体"/>
          <w:color w:val="auto"/>
          <w:szCs w:val="21"/>
          <w:highlight w:val="none"/>
          <w:lang w:val="en-US" w:eastAsia="zh-CN"/>
        </w:rPr>
        <w:t>审核期限</w:t>
      </w:r>
      <w:r>
        <w:rPr>
          <w:rFonts w:hint="eastAsia" w:ascii="宋体" w:hAnsi="宋体" w:cs="宋体"/>
          <w:color w:val="auto"/>
          <w:szCs w:val="21"/>
          <w:highlight w:val="none"/>
          <w:lang w:val="zh-TW"/>
        </w:rPr>
        <w:t>内，未按合同约定核对竣工结算或未提出核对意见的，应视为承包人提交的竣工结算文件已被发包人认可，竣工结算确认完毕。承包人在收到发包人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提出的核对（或复核）意见后，在约定的时间内未按合同约定确认也未提出异议的，应视为发包人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提出的核对意见已被承包人认可，竣工结算确认完毕。</w:t>
      </w:r>
    </w:p>
    <w:p w14:paraId="6596672D">
      <w:pPr>
        <w:spacing w:line="400" w:lineRule="exact"/>
        <w:ind w:firstLine="411" w:firstLineChars="196"/>
        <w:jc w:val="left"/>
        <w:rPr>
          <w:rFonts w:hint="default" w:ascii="Times New Roman" w:hAnsi="Times New Roman" w:cs="Times New Roman"/>
          <w:color w:val="auto"/>
          <w:szCs w:val="21"/>
          <w:highlight w:val="none"/>
          <w:u w:val="none"/>
        </w:rPr>
      </w:pPr>
      <w:r>
        <w:rPr>
          <w:rFonts w:hint="eastAsia" w:hAnsi="宋体" w:cs="宋体"/>
          <w:color w:val="auto"/>
          <w:highlight w:val="none"/>
          <w:u w:val="none"/>
          <w:lang w:val="en-US" w:eastAsia="zh-CN"/>
        </w:rPr>
        <w:t>14.2.5</w:t>
      </w:r>
      <w:r>
        <w:rPr>
          <w:rFonts w:hint="eastAsia" w:hAnsi="宋体" w:cs="宋体"/>
          <w:color w:val="auto"/>
          <w:highlight w:val="none"/>
          <w:u w:val="none"/>
        </w:rPr>
        <w:t>自竣工结算</w:t>
      </w:r>
      <w:r>
        <w:rPr>
          <w:rFonts w:hint="eastAsia" w:hAnsi="宋体" w:cs="宋体"/>
          <w:color w:val="auto"/>
          <w:highlight w:val="none"/>
          <w:u w:val="none"/>
          <w:lang w:eastAsia="zh-CN"/>
        </w:rPr>
        <w:t>（</w:t>
      </w:r>
      <w:r>
        <w:rPr>
          <w:rFonts w:hint="eastAsia" w:hAnsi="宋体" w:cs="宋体"/>
          <w:color w:val="auto"/>
          <w:highlight w:val="none"/>
          <w:u w:val="none"/>
          <w:lang w:val="en-US" w:eastAsia="zh-CN"/>
        </w:rPr>
        <w:t>或办理不完全竣工结算</w:t>
      </w:r>
      <w:r>
        <w:rPr>
          <w:rFonts w:hint="eastAsia" w:hAnsi="宋体" w:cs="宋体"/>
          <w:color w:val="auto"/>
          <w:highlight w:val="none"/>
          <w:u w:val="none"/>
          <w:lang w:eastAsia="zh-CN"/>
        </w:rPr>
        <w:t>）</w:t>
      </w:r>
      <w:r>
        <w:rPr>
          <w:rFonts w:hint="eastAsia" w:hAnsi="宋体" w:cs="宋体"/>
          <w:color w:val="auto"/>
          <w:highlight w:val="none"/>
          <w:u w:val="none"/>
        </w:rPr>
        <w:t>完毕之日起</w:t>
      </w:r>
      <w:r>
        <w:rPr>
          <w:rFonts w:hint="eastAsia" w:hAnsi="宋体"/>
          <w:color w:val="auto"/>
          <w:highlight w:val="none"/>
          <w:u w:val="single"/>
          <w:lang w:val="en-US" w:eastAsia="zh-CN"/>
        </w:rPr>
        <w:t xml:space="preserve">      </w:t>
      </w:r>
      <w:r>
        <w:rPr>
          <w:rFonts w:hint="eastAsia" w:hAnsi="宋体" w:cs="宋体"/>
          <w:color w:val="auto"/>
          <w:highlight w:val="none"/>
          <w:u w:val="none"/>
        </w:rPr>
        <w:t>天内，发包人按审定的结算</w:t>
      </w:r>
      <w:r>
        <w:rPr>
          <w:rFonts w:hint="eastAsia" w:hAnsi="宋体" w:cs="宋体"/>
          <w:color w:val="auto"/>
          <w:highlight w:val="none"/>
          <w:u w:val="none"/>
          <w:lang w:val="en-US" w:eastAsia="zh-CN"/>
        </w:rPr>
        <w:t>金额</w:t>
      </w:r>
      <w:r>
        <w:rPr>
          <w:rFonts w:hint="eastAsia" w:hAnsi="宋体" w:cs="宋体"/>
          <w:color w:val="auto"/>
          <w:highlight w:val="none"/>
          <w:u w:val="none"/>
        </w:rPr>
        <w:t>向承包人支付结算价款。</w:t>
      </w:r>
    </w:p>
    <w:p w14:paraId="7320A0FB">
      <w:pPr>
        <w:pStyle w:val="4"/>
        <w:rPr>
          <w:color w:val="auto"/>
          <w:highlight w:val="none"/>
        </w:rPr>
      </w:pPr>
      <w:bookmarkStart w:id="2037" w:name="_Toc373227761"/>
      <w:bookmarkStart w:id="2038" w:name="_Toc540165641"/>
      <w:bookmarkStart w:id="2039" w:name="_Toc389065326"/>
      <w:bookmarkStart w:id="2040" w:name="_Toc78449850"/>
      <w:bookmarkStart w:id="2041" w:name="_Toc407135264"/>
      <w:bookmarkStart w:id="2042" w:name="_Toc29846"/>
      <w:bookmarkStart w:id="2043" w:name="_Toc373478408"/>
      <w:bookmarkStart w:id="2044" w:name="_Toc11123"/>
      <w:r>
        <w:rPr>
          <w:color w:val="auto"/>
          <w:highlight w:val="none"/>
        </w:rPr>
        <w:t xml:space="preserve">14.4 </w:t>
      </w:r>
      <w:r>
        <w:rPr>
          <w:rFonts w:hint="eastAsia" w:hAnsi="宋体" w:cs="黑体"/>
          <w:color w:val="auto"/>
          <w:highlight w:val="none"/>
        </w:rPr>
        <w:t>最终结清</w:t>
      </w:r>
      <w:bookmarkEnd w:id="2037"/>
      <w:bookmarkEnd w:id="2038"/>
      <w:bookmarkEnd w:id="2039"/>
      <w:bookmarkEnd w:id="2040"/>
      <w:bookmarkEnd w:id="2041"/>
      <w:bookmarkEnd w:id="2042"/>
      <w:bookmarkEnd w:id="2043"/>
      <w:bookmarkEnd w:id="2044"/>
    </w:p>
    <w:p w14:paraId="75DB439B">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5AF3B8CB">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hAnsi="宋体" w:cs="宋体"/>
          <w:color w:val="auto"/>
          <w:highlight w:val="none"/>
        </w:rPr>
        <w:t>。</w:t>
      </w:r>
    </w:p>
    <w:p w14:paraId="22C55C20">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0C1CCEFC">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5AE2744A">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4B482C2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hAnsi="宋体" w:cs="宋体"/>
          <w:color w:val="auto"/>
          <w:highlight w:val="none"/>
        </w:rPr>
        <w:t>。</w:t>
      </w:r>
    </w:p>
    <w:p w14:paraId="0C4A5F71">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hAnsi="宋体" w:cs="宋体"/>
          <w:color w:val="auto"/>
          <w:highlight w:val="none"/>
        </w:rPr>
        <w:t>。</w:t>
      </w:r>
    </w:p>
    <w:bookmarkEnd w:id="1984"/>
    <w:bookmarkEnd w:id="1985"/>
    <w:bookmarkEnd w:id="1986"/>
    <w:bookmarkEnd w:id="1987"/>
    <w:bookmarkEnd w:id="1988"/>
    <w:bookmarkEnd w:id="1989"/>
    <w:bookmarkEnd w:id="1990"/>
    <w:bookmarkEnd w:id="1996"/>
    <w:p w14:paraId="3D248547">
      <w:pPr>
        <w:pStyle w:val="3"/>
        <w:rPr>
          <w:color w:val="auto"/>
          <w:highlight w:val="none"/>
        </w:rPr>
      </w:pPr>
      <w:bookmarkStart w:id="2045" w:name="_Toc407135265"/>
      <w:bookmarkStart w:id="2046" w:name="_Toc373478409"/>
      <w:bookmarkStart w:id="2047" w:name="_Toc389065327"/>
      <w:bookmarkStart w:id="2048" w:name="_Toc1294213766"/>
      <w:bookmarkStart w:id="2049" w:name="_Toc5429"/>
      <w:bookmarkStart w:id="2050" w:name="_Toc351203647"/>
      <w:bookmarkStart w:id="2051" w:name="_Toc373227762"/>
      <w:bookmarkStart w:id="2052" w:name="_Toc78449851"/>
      <w:bookmarkStart w:id="2053" w:name="_Toc267251483"/>
      <w:bookmarkStart w:id="2054" w:name="_Toc267251482"/>
      <w:bookmarkStart w:id="2055" w:name="_Toc267251484"/>
      <w:bookmarkStart w:id="2056" w:name="_Toc267251485"/>
      <w:bookmarkStart w:id="2057" w:name="_Toc267251489"/>
      <w:bookmarkStart w:id="2058" w:name="_Toc267251488"/>
      <w:bookmarkStart w:id="2059" w:name="_Toc267251486"/>
      <w:bookmarkStart w:id="2060" w:name="_Toc267251490"/>
      <w:bookmarkStart w:id="2061" w:name="_Toc267251503"/>
      <w:bookmarkStart w:id="2062" w:name="_Toc267251498"/>
      <w:bookmarkStart w:id="2063" w:name="_Toc267251499"/>
      <w:bookmarkStart w:id="2064" w:name="_Toc267251502"/>
      <w:bookmarkStart w:id="2065" w:name="_Toc267251493"/>
      <w:bookmarkStart w:id="2066" w:name="_Toc267251501"/>
      <w:bookmarkStart w:id="2067" w:name="_Toc267251497"/>
      <w:bookmarkStart w:id="2068" w:name="_Toc267251495"/>
      <w:bookmarkStart w:id="2069" w:name="_Toc267251494"/>
      <w:bookmarkStart w:id="2070" w:name="_Toc267251492"/>
      <w:bookmarkStart w:id="2071" w:name="_Toc267251491"/>
      <w:bookmarkStart w:id="2072" w:name="_Toc267251496"/>
      <w:bookmarkStart w:id="2073" w:name="_Toc267251506"/>
      <w:bookmarkStart w:id="2074" w:name="_Toc267251504"/>
      <w:bookmarkStart w:id="2075" w:name="_Toc267251507"/>
      <w:bookmarkStart w:id="2076" w:name="_Toc267251508"/>
      <w:bookmarkStart w:id="2077" w:name="_Toc267251513"/>
      <w:bookmarkStart w:id="2078" w:name="_Toc267251510"/>
      <w:bookmarkStart w:id="2079" w:name="_Toc267251509"/>
      <w:bookmarkStart w:id="2080" w:name="_Toc267251514"/>
      <w:bookmarkStart w:id="2081" w:name="_Toc267251511"/>
      <w:bookmarkStart w:id="2082" w:name="_Toc267251515"/>
      <w:r>
        <w:rPr>
          <w:color w:val="auto"/>
          <w:highlight w:val="none"/>
        </w:rPr>
        <w:t xml:space="preserve">15. </w:t>
      </w:r>
      <w:r>
        <w:rPr>
          <w:rFonts w:hint="eastAsia" w:cs="黑体"/>
          <w:color w:val="auto"/>
          <w:highlight w:val="none"/>
        </w:rPr>
        <w:t>缺陷责任期与保修</w:t>
      </w:r>
      <w:bookmarkEnd w:id="2045"/>
      <w:bookmarkEnd w:id="2046"/>
      <w:bookmarkEnd w:id="2047"/>
      <w:bookmarkEnd w:id="2048"/>
      <w:bookmarkEnd w:id="2049"/>
      <w:bookmarkEnd w:id="2050"/>
      <w:bookmarkEnd w:id="2051"/>
      <w:bookmarkEnd w:id="2052"/>
    </w:p>
    <w:p w14:paraId="39DFCAF8">
      <w:pPr>
        <w:pStyle w:val="4"/>
        <w:rPr>
          <w:color w:val="auto"/>
          <w:highlight w:val="none"/>
        </w:rPr>
      </w:pPr>
      <w:bookmarkStart w:id="2083" w:name="_Toc78449852"/>
      <w:bookmarkStart w:id="2084" w:name="_Toc389065328"/>
      <w:bookmarkStart w:id="2085" w:name="_Toc407135266"/>
      <w:bookmarkStart w:id="2086" w:name="_Toc5211"/>
      <w:bookmarkStart w:id="2087" w:name="_Toc1468458868"/>
      <w:bookmarkStart w:id="2088" w:name="_Toc14431"/>
      <w:bookmarkStart w:id="2089" w:name="_Toc373227763"/>
      <w:bookmarkStart w:id="2090" w:name="_Toc373478410"/>
      <w:r>
        <w:rPr>
          <w:color w:val="auto"/>
          <w:highlight w:val="none"/>
        </w:rPr>
        <w:t xml:space="preserve">15.2 </w:t>
      </w:r>
      <w:r>
        <w:rPr>
          <w:rFonts w:hint="eastAsia" w:hAnsi="宋体" w:cs="黑体"/>
          <w:color w:val="auto"/>
          <w:highlight w:val="none"/>
        </w:rPr>
        <w:t>缺陷责任期</w:t>
      </w:r>
      <w:bookmarkEnd w:id="2053"/>
      <w:bookmarkEnd w:id="2083"/>
      <w:bookmarkEnd w:id="2084"/>
      <w:bookmarkEnd w:id="2085"/>
      <w:bookmarkEnd w:id="2086"/>
      <w:bookmarkEnd w:id="2087"/>
      <w:bookmarkEnd w:id="2088"/>
      <w:bookmarkEnd w:id="2089"/>
      <w:bookmarkEnd w:id="2090"/>
    </w:p>
    <w:p w14:paraId="5F185E4A">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hAnsi="宋体" w:cs="宋体"/>
          <w:color w:val="auto"/>
          <w:highlight w:val="none"/>
        </w:rPr>
        <w:t>。</w:t>
      </w:r>
    </w:p>
    <w:p w14:paraId="701FAE4A">
      <w:pPr>
        <w:pStyle w:val="4"/>
        <w:rPr>
          <w:color w:val="auto"/>
          <w:highlight w:val="none"/>
        </w:rPr>
      </w:pPr>
      <w:bookmarkStart w:id="2091" w:name="_Toc23897"/>
      <w:bookmarkStart w:id="2092" w:name="_Toc373227764"/>
      <w:bookmarkStart w:id="2093" w:name="_Toc373478411"/>
      <w:bookmarkStart w:id="2094" w:name="_Toc78449853"/>
      <w:bookmarkStart w:id="2095" w:name="_Toc666080472"/>
      <w:bookmarkStart w:id="2096" w:name="_Toc389065329"/>
      <w:bookmarkStart w:id="2097" w:name="_Toc13775"/>
      <w:bookmarkStart w:id="2098" w:name="_Toc407135267"/>
      <w:r>
        <w:rPr>
          <w:color w:val="auto"/>
          <w:highlight w:val="none"/>
        </w:rPr>
        <w:t xml:space="preserve">15.3 </w:t>
      </w:r>
      <w:r>
        <w:rPr>
          <w:rFonts w:hint="eastAsia" w:hAnsi="宋体" w:cs="黑体"/>
          <w:color w:val="auto"/>
          <w:highlight w:val="none"/>
        </w:rPr>
        <w:t>质量保证金</w:t>
      </w:r>
      <w:bookmarkEnd w:id="2091"/>
      <w:bookmarkEnd w:id="2092"/>
      <w:bookmarkEnd w:id="2093"/>
      <w:bookmarkEnd w:id="2094"/>
      <w:bookmarkEnd w:id="2095"/>
      <w:bookmarkEnd w:id="2096"/>
      <w:bookmarkEnd w:id="2097"/>
      <w:bookmarkEnd w:id="2098"/>
    </w:p>
    <w:p w14:paraId="1E8E827E">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49DE38D4">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hAnsi="宋体" w:cs="宋体"/>
          <w:color w:val="auto"/>
          <w:highlight w:val="none"/>
        </w:rPr>
        <w:t>种方式：</w:t>
      </w:r>
    </w:p>
    <w:p w14:paraId="3AA8EA7A">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工程担保保证人应将出具的保函相关信息录入“广西建筑市场监管云”平台（</w:t>
      </w:r>
      <w:r>
        <w:rPr>
          <w:rFonts w:hint="eastAsia" w:hAnsi="宋体" w:cs="宋体"/>
          <w:color w:val="auto"/>
          <w:kern w:val="0"/>
          <w:highlight w:val="none"/>
          <w:lang w:eastAsia="zh-CN"/>
        </w:rPr>
        <w:t>https://gxjzsc.gxcic.net）</w:t>
      </w:r>
      <w:r>
        <w:rPr>
          <w:rFonts w:hint="eastAsia" w:hAnsi="宋体" w:cs="宋体"/>
          <w:color w:val="auto"/>
          <w:kern w:val="0"/>
          <w:highlight w:val="none"/>
        </w:rPr>
        <w:t>，以实现保函查询及验真功能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eastAsia" w:hAnsi="宋体" w:cs="宋体"/>
          <w:color w:val="auto"/>
          <w:kern w:val="0"/>
          <w:highlight w:val="none"/>
        </w:rPr>
        <w:t>，保证金额</w:t>
      </w:r>
      <w:r>
        <w:rPr>
          <w:rFonts w:hint="eastAsia" w:hAnsi="宋体" w:cs="宋体"/>
          <w:color w:val="auto"/>
          <w:kern w:val="0"/>
          <w:highlight w:val="none"/>
          <w:lang w:val="en-US" w:eastAsia="zh-CN"/>
        </w:rPr>
        <w:t>度</w:t>
      </w:r>
      <w:r>
        <w:rPr>
          <w:rFonts w:hint="eastAsia" w:hAnsi="宋体" w:cs="宋体"/>
          <w:color w:val="auto"/>
          <w:kern w:val="0"/>
          <w:highlight w:val="none"/>
        </w:rPr>
        <w:t>为：</w:t>
      </w:r>
      <w:r>
        <w:rPr>
          <w:color w:val="auto"/>
          <w:kern w:val="0"/>
          <w:highlight w:val="none"/>
          <w:u w:val="single"/>
        </w:rPr>
        <w:t xml:space="preserve">                   </w:t>
      </w:r>
      <w:r>
        <w:rPr>
          <w:rFonts w:hint="eastAsia" w:hAnsi="宋体" w:cs="宋体"/>
          <w:color w:val="auto"/>
          <w:kern w:val="0"/>
          <w:highlight w:val="none"/>
        </w:rPr>
        <w:t>；</w:t>
      </w:r>
    </w:p>
    <w:p w14:paraId="1A87112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w:t>
      </w:r>
      <w:r>
        <w:rPr>
          <w:rFonts w:hint="eastAsia" w:hAnsi="宋体" w:cs="宋体"/>
          <w:color w:val="auto"/>
          <w:kern w:val="0"/>
          <w:highlight w:val="none"/>
        </w:rPr>
        <w:t>；</w:t>
      </w:r>
    </w:p>
    <w:p w14:paraId="2809E9C5">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rPr>
        <w:t>。</w:t>
      </w:r>
    </w:p>
    <w:p w14:paraId="26AC8E73">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243EE6C9">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hAnsi="宋体" w:cs="宋体"/>
          <w:color w:val="auto"/>
          <w:highlight w:val="none"/>
        </w:rPr>
        <w:t>种方式：</w:t>
      </w:r>
    </w:p>
    <w:p w14:paraId="25E0C086">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不缴纳履</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r>
        <w:rPr>
          <w:rFonts w:hint="eastAsia" w:hAnsi="宋体" w:cs="宋体"/>
          <w:color w:val="auto"/>
          <w:kern w:val="0"/>
          <w:highlight w:val="none"/>
          <w:lang w:eastAsia="zh-CN"/>
        </w:rPr>
        <w:t>。</w:t>
      </w:r>
      <w:r>
        <w:rPr>
          <w:rFonts w:hint="eastAsia" w:hAnsi="宋体" w:cs="宋体"/>
          <w:color w:val="auto"/>
          <w:highlight w:val="none"/>
        </w:rPr>
        <w:t>在工程项目竣工前，承包人按专用合同条款第3.7条提供履约担保的，发包人不得同时预留工程质量保证金</w:t>
      </w:r>
      <w:r>
        <w:rPr>
          <w:rFonts w:hint="eastAsia" w:hAnsi="宋体" w:cs="宋体"/>
          <w:color w:val="auto"/>
          <w:highlight w:val="none"/>
          <w:lang w:eastAsia="zh-CN"/>
        </w:rPr>
        <w:t>。</w:t>
      </w:r>
    </w:p>
    <w:p w14:paraId="42F0F71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67B73BE3">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ascii="Times New Roman" w:hAnsi="宋体" w:eastAsia="宋体" w:cs="宋体"/>
          <w:color w:val="auto"/>
          <w:highlight w:val="none"/>
          <w:lang w:val="en-US" w:eastAsia="zh-CN"/>
        </w:rPr>
        <w:t xml:space="preserve">                           </w:t>
      </w:r>
      <w:r>
        <w:rPr>
          <w:rFonts w:hint="eastAsia" w:hAnsi="宋体" w:cs="宋体"/>
          <w:color w:val="auto"/>
          <w:kern w:val="0"/>
          <w:highlight w:val="none"/>
        </w:rPr>
        <w:t>。</w:t>
      </w:r>
    </w:p>
    <w:p w14:paraId="331DBE5D">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hAnsi="宋体" w:cs="宋体"/>
          <w:color w:val="auto"/>
          <w:kern w:val="0"/>
          <w:highlight w:val="none"/>
        </w:rPr>
        <w:t>。</w:t>
      </w:r>
    </w:p>
    <w:bookmarkEnd w:id="2054"/>
    <w:bookmarkEnd w:id="2055"/>
    <w:p w14:paraId="7D43B2AE">
      <w:pPr>
        <w:pStyle w:val="4"/>
        <w:rPr>
          <w:color w:val="auto"/>
          <w:highlight w:val="none"/>
        </w:rPr>
      </w:pPr>
      <w:bookmarkStart w:id="2099" w:name="_Toc26279"/>
      <w:bookmarkStart w:id="2100" w:name="_Toc389065330"/>
      <w:bookmarkStart w:id="2101" w:name="_Toc78449854"/>
      <w:bookmarkStart w:id="2102" w:name="_Toc373227765"/>
      <w:bookmarkStart w:id="2103" w:name="_Toc31747"/>
      <w:bookmarkStart w:id="2104" w:name="_Toc196306762"/>
      <w:bookmarkStart w:id="2105" w:name="_Toc373478412"/>
      <w:bookmarkStart w:id="2106" w:name="_Toc407135268"/>
      <w:r>
        <w:rPr>
          <w:color w:val="auto"/>
          <w:highlight w:val="none"/>
        </w:rPr>
        <w:t xml:space="preserve">15.4 </w:t>
      </w:r>
      <w:r>
        <w:rPr>
          <w:rFonts w:hint="eastAsia" w:hAnsi="宋体" w:cs="黑体"/>
          <w:color w:val="auto"/>
          <w:highlight w:val="none"/>
        </w:rPr>
        <w:t>保修</w:t>
      </w:r>
      <w:bookmarkEnd w:id="2099"/>
      <w:bookmarkEnd w:id="2100"/>
      <w:bookmarkEnd w:id="2101"/>
      <w:bookmarkEnd w:id="2102"/>
      <w:bookmarkEnd w:id="2103"/>
      <w:bookmarkEnd w:id="2104"/>
      <w:bookmarkEnd w:id="2105"/>
      <w:bookmarkEnd w:id="2106"/>
    </w:p>
    <w:bookmarkEnd w:id="2056"/>
    <w:p w14:paraId="4E3C7CCA">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3C4EDDFB">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hAnsi="宋体" w:cs="宋体"/>
          <w:color w:val="auto"/>
          <w:kern w:val="0"/>
          <w:highlight w:val="none"/>
        </w:rPr>
        <w:t>。</w:t>
      </w:r>
    </w:p>
    <w:p w14:paraId="123144FF">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2541C1F4">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6620172F">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hAnsi="宋体" w:cs="宋体"/>
          <w:color w:val="auto"/>
          <w:kern w:val="0"/>
          <w:highlight w:val="none"/>
        </w:rPr>
        <w:t>。</w:t>
      </w:r>
    </w:p>
    <w:bookmarkEnd w:id="2057"/>
    <w:bookmarkEnd w:id="2058"/>
    <w:bookmarkEnd w:id="2059"/>
    <w:bookmarkEnd w:id="2060"/>
    <w:p w14:paraId="55704CFA">
      <w:pPr>
        <w:pStyle w:val="3"/>
        <w:rPr>
          <w:color w:val="auto"/>
          <w:highlight w:val="none"/>
        </w:rPr>
      </w:pPr>
      <w:bookmarkStart w:id="2107" w:name="_Toc351203648"/>
      <w:bookmarkStart w:id="2108" w:name="_Toc78449855"/>
      <w:bookmarkStart w:id="2109" w:name="_Toc373227766"/>
      <w:bookmarkStart w:id="2110" w:name="_Toc389065331"/>
      <w:bookmarkStart w:id="2111" w:name="_Toc1360137061"/>
      <w:bookmarkStart w:id="2112" w:name="_Toc407135269"/>
      <w:bookmarkStart w:id="2113" w:name="_Toc373478413"/>
      <w:bookmarkStart w:id="2114" w:name="_Toc3143"/>
      <w:bookmarkStart w:id="2115" w:name="_Toc280868717"/>
      <w:bookmarkStart w:id="2116" w:name="_Toc280868718"/>
      <w:r>
        <w:rPr>
          <w:color w:val="auto"/>
          <w:highlight w:val="none"/>
        </w:rPr>
        <w:t xml:space="preserve">16. </w:t>
      </w:r>
      <w:r>
        <w:rPr>
          <w:rFonts w:hint="eastAsia" w:hAnsi="宋体" w:cs="黑体"/>
          <w:color w:val="auto"/>
          <w:highlight w:val="none"/>
        </w:rPr>
        <w:t>违约</w:t>
      </w:r>
      <w:bookmarkEnd w:id="2107"/>
      <w:bookmarkEnd w:id="2108"/>
      <w:bookmarkEnd w:id="2109"/>
      <w:bookmarkEnd w:id="2110"/>
      <w:bookmarkEnd w:id="2111"/>
      <w:bookmarkEnd w:id="2112"/>
      <w:bookmarkEnd w:id="2113"/>
      <w:bookmarkEnd w:id="2114"/>
    </w:p>
    <w:p w14:paraId="501786AE">
      <w:pPr>
        <w:pStyle w:val="4"/>
        <w:rPr>
          <w:color w:val="auto"/>
          <w:highlight w:val="none"/>
        </w:rPr>
      </w:pPr>
      <w:bookmarkStart w:id="2117" w:name="_Toc1973395665"/>
      <w:bookmarkStart w:id="2118" w:name="_Toc19236"/>
      <w:bookmarkStart w:id="2119" w:name="_Toc389065332"/>
      <w:bookmarkStart w:id="2120" w:name="_Toc407135270"/>
      <w:bookmarkStart w:id="2121" w:name="_Toc78449856"/>
      <w:bookmarkStart w:id="2122" w:name="_Toc373478414"/>
      <w:bookmarkStart w:id="2123" w:name="_Toc7570"/>
      <w:bookmarkStart w:id="2124" w:name="_Toc373227767"/>
      <w:r>
        <w:rPr>
          <w:color w:val="auto"/>
          <w:highlight w:val="none"/>
        </w:rPr>
        <w:t xml:space="preserve">16.1 </w:t>
      </w:r>
      <w:r>
        <w:rPr>
          <w:rFonts w:hint="eastAsia" w:hAnsi="宋体" w:cs="黑体"/>
          <w:color w:val="auto"/>
          <w:highlight w:val="none"/>
        </w:rPr>
        <w:t>发包人违约</w:t>
      </w:r>
      <w:bookmarkEnd w:id="2117"/>
      <w:bookmarkEnd w:id="2118"/>
      <w:bookmarkEnd w:id="2119"/>
      <w:bookmarkEnd w:id="2120"/>
      <w:bookmarkEnd w:id="2121"/>
      <w:bookmarkEnd w:id="2122"/>
      <w:bookmarkEnd w:id="2123"/>
      <w:bookmarkEnd w:id="2124"/>
    </w:p>
    <w:p w14:paraId="00A17DE2">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18F39BC4">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hAnsi="宋体" w:cs="宋体"/>
          <w:color w:val="auto"/>
          <w:kern w:val="0"/>
          <w:highlight w:val="none"/>
        </w:rPr>
        <w:t>。</w:t>
      </w:r>
    </w:p>
    <w:p w14:paraId="4689E7B9">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16F2EB25">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27E4E614">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color w:val="auto"/>
          <w:kern w:val="0"/>
          <w:highlight w:val="none"/>
          <w:u w:val="single"/>
        </w:rPr>
        <w:t xml:space="preserve">           </w:t>
      </w:r>
      <w:r>
        <w:rPr>
          <w:rFonts w:hint="eastAsia" w:hAnsi="宋体" w:cs="宋体"/>
          <w:color w:val="auto"/>
          <w:kern w:val="0"/>
          <w:highlight w:val="none"/>
        </w:rPr>
        <w:t>。</w:t>
      </w:r>
    </w:p>
    <w:p w14:paraId="01AB8131">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hAnsi="宋体" w:cs="宋体"/>
          <w:color w:val="auto"/>
          <w:kern w:val="0"/>
          <w:highlight w:val="none"/>
        </w:rPr>
        <w:t>。</w:t>
      </w:r>
    </w:p>
    <w:p w14:paraId="28474C54">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hAnsi="宋体" w:cs="宋体"/>
          <w:color w:val="auto"/>
          <w:kern w:val="0"/>
          <w:highlight w:val="none"/>
        </w:rPr>
        <w:t>。</w:t>
      </w:r>
    </w:p>
    <w:p w14:paraId="7DDCCF4A">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hAnsi="宋体" w:cs="宋体"/>
          <w:color w:val="auto"/>
          <w:kern w:val="0"/>
          <w:highlight w:val="none"/>
        </w:rPr>
        <w:t>。</w:t>
      </w:r>
    </w:p>
    <w:p w14:paraId="74AF96D8">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hAnsi="宋体" w:cs="宋体"/>
          <w:color w:val="auto"/>
          <w:kern w:val="0"/>
          <w:highlight w:val="none"/>
        </w:rPr>
        <w:t>。</w:t>
      </w:r>
    </w:p>
    <w:p w14:paraId="34A0ECB6">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hAnsi="宋体" w:cs="宋体"/>
          <w:color w:val="auto"/>
          <w:kern w:val="0"/>
          <w:highlight w:val="none"/>
        </w:rPr>
        <w:t>。</w:t>
      </w:r>
    </w:p>
    <w:p w14:paraId="0072A245">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hAnsi="宋体" w:cs="宋体"/>
          <w:color w:val="auto"/>
          <w:kern w:val="0"/>
          <w:highlight w:val="none"/>
        </w:rPr>
        <w:t>。</w:t>
      </w:r>
    </w:p>
    <w:p w14:paraId="6682ACFD">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658044FF">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2BBF5182">
      <w:pPr>
        <w:pStyle w:val="4"/>
        <w:rPr>
          <w:color w:val="auto"/>
          <w:highlight w:val="none"/>
        </w:rPr>
      </w:pPr>
      <w:bookmarkStart w:id="2125" w:name="_Toc28597"/>
      <w:bookmarkStart w:id="2126" w:name="_Toc373478415"/>
      <w:bookmarkStart w:id="2127" w:name="_Toc373227768"/>
      <w:bookmarkStart w:id="2128" w:name="_Toc389065333"/>
      <w:bookmarkStart w:id="2129" w:name="_Toc407135271"/>
      <w:bookmarkStart w:id="2130" w:name="_Toc78449857"/>
      <w:bookmarkStart w:id="2131" w:name="_Toc61078193"/>
      <w:bookmarkStart w:id="2132" w:name="_Toc25155"/>
      <w:r>
        <w:rPr>
          <w:color w:val="auto"/>
          <w:highlight w:val="none"/>
        </w:rPr>
        <w:t xml:space="preserve">16.2 </w:t>
      </w:r>
      <w:r>
        <w:rPr>
          <w:rFonts w:hint="eastAsia" w:hAnsi="宋体" w:cs="黑体"/>
          <w:color w:val="auto"/>
          <w:highlight w:val="none"/>
        </w:rPr>
        <w:t>承包人违约</w:t>
      </w:r>
      <w:bookmarkEnd w:id="2125"/>
      <w:bookmarkEnd w:id="2126"/>
      <w:bookmarkEnd w:id="2127"/>
      <w:bookmarkEnd w:id="2128"/>
      <w:bookmarkEnd w:id="2129"/>
      <w:bookmarkEnd w:id="2130"/>
      <w:bookmarkEnd w:id="2131"/>
      <w:bookmarkEnd w:id="2132"/>
    </w:p>
    <w:p w14:paraId="7031E4A4">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670CD161">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hAnsi="宋体" w:cs="宋体"/>
          <w:color w:val="auto"/>
          <w:kern w:val="0"/>
          <w:highlight w:val="none"/>
        </w:rPr>
        <w:t>。</w:t>
      </w:r>
    </w:p>
    <w:p w14:paraId="19A24B6B">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163660D1">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3343D292">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w:t>
      </w:r>
      <w:r>
        <w:rPr>
          <w:rFonts w:hint="eastAsia" w:hAnsi="宋体" w:cs="宋体"/>
          <w:color w:val="auto"/>
          <w:kern w:val="0"/>
          <w:highlight w:val="none"/>
          <w:lang w:val="en-US" w:eastAsia="zh-CN"/>
        </w:rPr>
        <w:t>除</w:t>
      </w:r>
      <w:r>
        <w:rPr>
          <w:rFonts w:hint="eastAsia" w:hAnsi="宋体" w:cs="宋体"/>
          <w:color w:val="auto"/>
          <w:kern w:val="0"/>
          <w:highlight w:val="none"/>
        </w:rPr>
        <w:t>该分项工程</w:t>
      </w:r>
      <w:r>
        <w:rPr>
          <w:color w:val="auto"/>
          <w:kern w:val="0"/>
          <w:highlight w:val="none"/>
        </w:rPr>
        <w:t>10%</w:t>
      </w:r>
      <w:r>
        <w:rPr>
          <w:rFonts w:hint="eastAsia" w:hAnsi="宋体" w:cs="宋体"/>
          <w:color w:val="auto"/>
          <w:kern w:val="0"/>
          <w:highlight w:val="none"/>
        </w:rPr>
        <w:t>的工程款作为</w:t>
      </w:r>
      <w:r>
        <w:rPr>
          <w:rFonts w:hint="eastAsia" w:hAnsi="宋体" w:cs="宋体"/>
          <w:color w:val="auto"/>
          <w:kern w:val="0"/>
          <w:highlight w:val="none"/>
          <w:lang w:val="en-US" w:eastAsia="zh-CN"/>
        </w:rPr>
        <w:t>违约金</w:t>
      </w:r>
      <w:r>
        <w:rPr>
          <w:rFonts w:hint="eastAsia" w:hAnsi="宋体" w:cs="宋体"/>
          <w:color w:val="auto"/>
          <w:kern w:val="0"/>
          <w:highlight w:val="none"/>
        </w:rPr>
        <w:t>。</w:t>
      </w:r>
    </w:p>
    <w:p w14:paraId="254E27BC">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37A743D8">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w:t>
      </w:r>
      <w:r>
        <w:rPr>
          <w:rFonts w:hint="eastAsia"/>
          <w:color w:val="auto"/>
          <w:kern w:val="0"/>
          <w:highlight w:val="none"/>
          <w:lang w:eastAsia="zh-CN"/>
        </w:rPr>
        <w:t>2.</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w:t>
      </w:r>
      <w:r>
        <w:rPr>
          <w:rFonts w:hint="eastAsia" w:hAnsi="宋体" w:cs="宋体"/>
          <w:color w:val="auto"/>
          <w:kern w:val="0"/>
          <w:highlight w:val="none"/>
          <w:lang w:val="en-US" w:eastAsia="zh-CN"/>
        </w:rPr>
        <w:t>扣除违约金</w:t>
      </w:r>
      <w:r>
        <w:rPr>
          <w:rFonts w:hint="eastAsia" w:hAnsi="宋体" w:cs="宋体"/>
          <w:color w:val="auto"/>
          <w:kern w:val="0"/>
          <w:highlight w:val="none"/>
        </w:rPr>
        <w:t>意向的指令，如承包人不及时采取措施纠正，则在指令下达后十五天下发</w:t>
      </w:r>
      <w:r>
        <w:rPr>
          <w:rFonts w:hint="eastAsia" w:hAnsi="宋体" w:cs="宋体"/>
          <w:color w:val="auto"/>
          <w:kern w:val="0"/>
          <w:highlight w:val="none"/>
          <w:lang w:val="en-US" w:eastAsia="zh-CN"/>
        </w:rPr>
        <w:t>扣除违约金</w:t>
      </w:r>
      <w:r>
        <w:rPr>
          <w:rFonts w:hint="eastAsia" w:hAnsi="宋体" w:cs="宋体"/>
          <w:color w:val="auto"/>
          <w:kern w:val="0"/>
          <w:highlight w:val="none"/>
        </w:rPr>
        <w:t>通知书（不再陈述</w:t>
      </w:r>
      <w:r>
        <w:rPr>
          <w:rFonts w:hint="eastAsia" w:hAnsi="宋体" w:cs="宋体"/>
          <w:color w:val="auto"/>
          <w:kern w:val="0"/>
          <w:highlight w:val="none"/>
          <w:lang w:val="en-US" w:eastAsia="zh-CN"/>
        </w:rPr>
        <w:t>扣除违约金</w:t>
      </w:r>
      <w:r>
        <w:rPr>
          <w:rFonts w:hint="eastAsia" w:hAnsi="宋体" w:cs="宋体"/>
          <w:color w:val="auto"/>
          <w:kern w:val="0"/>
          <w:highlight w:val="none"/>
        </w:rPr>
        <w:t>理由）。承包人履约保证金被</w:t>
      </w:r>
      <w:r>
        <w:rPr>
          <w:rFonts w:hint="eastAsia" w:hAnsi="宋体" w:cs="宋体"/>
          <w:color w:val="auto"/>
          <w:kern w:val="0"/>
          <w:highlight w:val="none"/>
          <w:lang w:val="en-US" w:eastAsia="zh-CN"/>
        </w:rPr>
        <w:t>扣除</w:t>
      </w:r>
      <w:r>
        <w:rPr>
          <w:rFonts w:hint="eastAsia" w:hAnsi="宋体" w:cs="宋体"/>
          <w:color w:val="auto"/>
          <w:kern w:val="0"/>
          <w:highlight w:val="none"/>
        </w:rPr>
        <w:t>后由发包人从最后一次计量支付时扣除相应金额补足履约保证金。承包人在合同期内，完成合同规定的全部工程，且质量合格，在本工程施工竣工验收后十五天内可申请返还全部或部分</w:t>
      </w:r>
      <w:r>
        <w:rPr>
          <w:rFonts w:hint="eastAsia" w:hAnsi="宋体" w:cs="宋体"/>
          <w:color w:val="auto"/>
          <w:kern w:val="0"/>
          <w:highlight w:val="none"/>
          <w:lang w:val="en-US" w:eastAsia="zh-CN"/>
        </w:rPr>
        <w:t>违约金</w:t>
      </w:r>
      <w:r>
        <w:rPr>
          <w:rFonts w:hint="eastAsia" w:hAnsi="宋体" w:cs="宋体"/>
          <w:color w:val="auto"/>
          <w:kern w:val="0"/>
          <w:highlight w:val="none"/>
        </w:rPr>
        <w:t>，返还金额由监理人审核，发包人批准。</w:t>
      </w:r>
      <w:r>
        <w:rPr>
          <w:rFonts w:hint="eastAsia" w:hAnsi="宋体" w:cs="宋体"/>
          <w:color w:val="auto"/>
          <w:kern w:val="0"/>
          <w:highlight w:val="none"/>
          <w:lang w:val="en-US" w:eastAsia="zh-CN"/>
        </w:rPr>
        <w:t>违约金</w:t>
      </w:r>
      <w:r>
        <w:rPr>
          <w:rFonts w:hint="eastAsia" w:hAnsi="宋体" w:cs="宋体"/>
          <w:color w:val="auto"/>
          <w:kern w:val="0"/>
          <w:highlight w:val="none"/>
        </w:rPr>
        <w:t>金额返还时不包括银行利息。</w:t>
      </w:r>
    </w:p>
    <w:p w14:paraId="5A4DADAD">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50867AFE">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4D55561B">
      <w:pPr>
        <w:spacing w:line="360" w:lineRule="auto"/>
        <w:ind w:firstLine="420" w:firstLineChars="200"/>
        <w:jc w:val="left"/>
        <w:rPr>
          <w:rFonts w:hAnsi="宋体"/>
          <w:color w:val="auto"/>
          <w:kern w:val="0"/>
          <w:highlight w:val="none"/>
        </w:rPr>
      </w:pPr>
      <w:r>
        <w:rPr>
          <w:color w:val="auto"/>
          <w:kern w:val="0"/>
          <w:highlight w:val="none"/>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19445691">
      <w:pPr>
        <w:spacing w:line="360" w:lineRule="auto"/>
        <w:ind w:firstLine="420" w:firstLineChars="200"/>
        <w:jc w:val="left"/>
        <w:rPr>
          <w:rFonts w:hAnsi="宋体"/>
          <w:color w:val="auto"/>
          <w:kern w:val="0"/>
          <w:highlight w:val="none"/>
        </w:rPr>
      </w:pPr>
      <w:r>
        <w:rPr>
          <w:color w:val="auto"/>
          <w:kern w:val="0"/>
          <w:highlight w:val="none"/>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00555FF3">
      <w:pPr>
        <w:spacing w:line="360" w:lineRule="auto"/>
        <w:ind w:firstLine="420" w:firstLineChars="200"/>
        <w:jc w:val="left"/>
        <w:rPr>
          <w:rFonts w:hAnsi="宋体"/>
          <w:color w:val="auto"/>
          <w:kern w:val="0"/>
          <w:highlight w:val="none"/>
        </w:rPr>
      </w:pPr>
      <w:r>
        <w:rPr>
          <w:color w:val="auto"/>
          <w:kern w:val="0"/>
          <w:highlight w:val="none"/>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6AA4C02A">
      <w:pPr>
        <w:spacing w:line="360" w:lineRule="auto"/>
        <w:ind w:firstLine="420" w:firstLineChars="200"/>
        <w:jc w:val="left"/>
        <w:rPr>
          <w:color w:val="auto"/>
          <w:kern w:val="0"/>
          <w:highlight w:val="none"/>
        </w:rPr>
      </w:pPr>
      <w:r>
        <w:rPr>
          <w:color w:val="auto"/>
          <w:kern w:val="0"/>
          <w:highlight w:val="none"/>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7C0A2CB2">
      <w:pPr>
        <w:spacing w:line="360" w:lineRule="auto"/>
        <w:ind w:firstLine="420" w:firstLineChars="200"/>
        <w:rPr>
          <w:color w:val="auto"/>
          <w:kern w:val="0"/>
          <w:highlight w:val="none"/>
        </w:rPr>
      </w:pPr>
      <w:r>
        <w:rPr>
          <w:color w:val="auto"/>
          <w:kern w:val="0"/>
          <w:highlight w:val="none"/>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1C38297E">
      <w:pPr>
        <w:spacing w:line="360" w:lineRule="auto"/>
        <w:ind w:firstLine="420" w:firstLineChars="200"/>
        <w:rPr>
          <w:color w:val="auto"/>
          <w:kern w:val="0"/>
          <w:highlight w:val="none"/>
        </w:rPr>
      </w:pPr>
      <w:r>
        <w:rPr>
          <w:color w:val="auto"/>
          <w:kern w:val="0"/>
          <w:highlight w:val="none"/>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0A4203BD">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hAnsi="宋体" w:cs="宋体"/>
          <w:color w:val="auto"/>
          <w:kern w:val="0"/>
          <w:highlight w:val="none"/>
        </w:rPr>
        <w:t>。</w:t>
      </w:r>
    </w:p>
    <w:p w14:paraId="103002A7">
      <w:pPr>
        <w:pStyle w:val="3"/>
        <w:rPr>
          <w:color w:val="auto"/>
          <w:highlight w:val="none"/>
        </w:rPr>
      </w:pPr>
      <w:bookmarkStart w:id="2133" w:name="_Toc373478416"/>
      <w:bookmarkStart w:id="2134" w:name="_Toc1753556740"/>
      <w:bookmarkStart w:id="2135" w:name="_Toc78449858"/>
      <w:bookmarkStart w:id="2136" w:name="_Toc373227769"/>
      <w:bookmarkStart w:id="2137" w:name="_Toc351203649"/>
      <w:bookmarkStart w:id="2138" w:name="_Toc407135272"/>
      <w:bookmarkStart w:id="2139" w:name="_Toc389065334"/>
      <w:bookmarkStart w:id="2140" w:name="_Toc31157"/>
      <w:r>
        <w:rPr>
          <w:color w:val="auto"/>
          <w:highlight w:val="none"/>
        </w:rPr>
        <w:t xml:space="preserve">17. </w:t>
      </w:r>
      <w:r>
        <w:rPr>
          <w:rFonts w:hint="eastAsia" w:hAnsi="宋体" w:cs="黑体"/>
          <w:color w:val="auto"/>
          <w:highlight w:val="none"/>
        </w:rPr>
        <w:t>不可抗力</w:t>
      </w:r>
      <w:bookmarkEnd w:id="2133"/>
      <w:bookmarkEnd w:id="2134"/>
      <w:bookmarkEnd w:id="2135"/>
      <w:bookmarkEnd w:id="2136"/>
      <w:bookmarkEnd w:id="2137"/>
      <w:bookmarkEnd w:id="2138"/>
      <w:bookmarkEnd w:id="2139"/>
      <w:bookmarkEnd w:id="2140"/>
      <w:r>
        <w:rPr>
          <w:color w:val="auto"/>
          <w:highlight w:val="none"/>
        </w:rPr>
        <w:t xml:space="preserve"> </w:t>
      </w:r>
      <w:bookmarkEnd w:id="2115"/>
    </w:p>
    <w:p w14:paraId="13E3E58A">
      <w:pPr>
        <w:pStyle w:val="4"/>
        <w:rPr>
          <w:color w:val="auto"/>
          <w:highlight w:val="none"/>
        </w:rPr>
      </w:pPr>
      <w:bookmarkStart w:id="2141" w:name="_Toc429574049"/>
      <w:bookmarkStart w:id="2142" w:name="_Toc373227770"/>
      <w:bookmarkStart w:id="2143" w:name="_Toc373478417"/>
      <w:bookmarkStart w:id="2144" w:name="_Toc12406"/>
      <w:bookmarkStart w:id="2145" w:name="_Toc389065335"/>
      <w:bookmarkStart w:id="2146" w:name="_Toc21791"/>
      <w:bookmarkStart w:id="2147" w:name="_Toc78449859"/>
      <w:bookmarkStart w:id="2148" w:name="_Toc407135273"/>
      <w:r>
        <w:rPr>
          <w:color w:val="auto"/>
          <w:highlight w:val="none"/>
        </w:rPr>
        <w:t xml:space="preserve">17.1 </w:t>
      </w:r>
      <w:r>
        <w:rPr>
          <w:rFonts w:hint="eastAsia" w:cs="黑体"/>
          <w:color w:val="auto"/>
          <w:highlight w:val="none"/>
        </w:rPr>
        <w:t>不可抗力的确认</w:t>
      </w:r>
      <w:bookmarkEnd w:id="2141"/>
      <w:bookmarkEnd w:id="2142"/>
      <w:bookmarkEnd w:id="2143"/>
      <w:bookmarkEnd w:id="2144"/>
      <w:bookmarkEnd w:id="2145"/>
      <w:bookmarkEnd w:id="2146"/>
      <w:bookmarkEnd w:id="2147"/>
      <w:bookmarkEnd w:id="2148"/>
    </w:p>
    <w:p w14:paraId="79B588F2">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hAnsi="宋体" w:cs="宋体"/>
          <w:color w:val="auto"/>
          <w:kern w:val="0"/>
          <w:highlight w:val="none"/>
        </w:rPr>
        <w:t>。</w:t>
      </w:r>
    </w:p>
    <w:p w14:paraId="2EE67C6E">
      <w:pPr>
        <w:pStyle w:val="4"/>
        <w:rPr>
          <w:color w:val="auto"/>
          <w:highlight w:val="none"/>
        </w:rPr>
      </w:pPr>
      <w:bookmarkStart w:id="2149" w:name="_Toc1951449751"/>
      <w:bookmarkStart w:id="2150" w:name="_Toc373478418"/>
      <w:bookmarkStart w:id="2151" w:name="_Toc29972"/>
      <w:bookmarkStart w:id="2152" w:name="_Toc407135274"/>
      <w:bookmarkStart w:id="2153" w:name="_Toc78449860"/>
      <w:bookmarkStart w:id="2154" w:name="_Toc373227771"/>
      <w:bookmarkStart w:id="2155" w:name="_Toc15401"/>
      <w:bookmarkStart w:id="2156" w:name="_Toc389065336"/>
      <w:r>
        <w:rPr>
          <w:color w:val="auto"/>
          <w:highlight w:val="none"/>
        </w:rPr>
        <w:t xml:space="preserve">17.4 </w:t>
      </w:r>
      <w:r>
        <w:rPr>
          <w:rFonts w:hint="eastAsia" w:cs="黑体"/>
          <w:color w:val="auto"/>
          <w:highlight w:val="none"/>
        </w:rPr>
        <w:t>因不可抗力解除合同</w:t>
      </w:r>
      <w:bookmarkEnd w:id="2149"/>
      <w:bookmarkEnd w:id="2150"/>
      <w:bookmarkEnd w:id="2151"/>
      <w:bookmarkEnd w:id="2152"/>
      <w:bookmarkEnd w:id="2153"/>
      <w:bookmarkEnd w:id="2154"/>
      <w:bookmarkEnd w:id="2155"/>
      <w:bookmarkEnd w:id="2156"/>
    </w:p>
    <w:p w14:paraId="5008579F">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hAnsi="宋体" w:cs="宋体"/>
          <w:color w:val="auto"/>
          <w:highlight w:val="none"/>
        </w:rPr>
        <w:t>天内完成款项的支付。</w:t>
      </w:r>
    </w:p>
    <w:p w14:paraId="06965E0C">
      <w:pPr>
        <w:pStyle w:val="3"/>
        <w:rPr>
          <w:color w:val="auto"/>
          <w:highlight w:val="none"/>
        </w:rPr>
      </w:pPr>
      <w:bookmarkStart w:id="2157" w:name="_Toc373227772"/>
      <w:bookmarkStart w:id="2158" w:name="_Toc56822299"/>
      <w:bookmarkStart w:id="2159" w:name="_Toc373478419"/>
      <w:bookmarkStart w:id="2160" w:name="_Toc389065337"/>
      <w:bookmarkStart w:id="2161" w:name="_Toc407135275"/>
      <w:bookmarkStart w:id="2162" w:name="_Toc78449861"/>
      <w:bookmarkStart w:id="2163" w:name="_Toc30795"/>
      <w:bookmarkStart w:id="2164" w:name="_Toc351203650"/>
      <w:r>
        <w:rPr>
          <w:color w:val="auto"/>
          <w:highlight w:val="none"/>
        </w:rPr>
        <w:t xml:space="preserve">18. </w:t>
      </w:r>
      <w:r>
        <w:rPr>
          <w:rFonts w:hint="eastAsia" w:hAnsi="宋体" w:cs="黑体"/>
          <w:color w:val="auto"/>
          <w:highlight w:val="none"/>
        </w:rPr>
        <w:t>保险</w:t>
      </w:r>
      <w:bookmarkEnd w:id="2157"/>
      <w:bookmarkEnd w:id="2158"/>
      <w:bookmarkEnd w:id="2159"/>
      <w:bookmarkEnd w:id="2160"/>
      <w:bookmarkEnd w:id="2161"/>
      <w:bookmarkEnd w:id="2162"/>
      <w:bookmarkEnd w:id="2163"/>
      <w:bookmarkEnd w:id="2164"/>
    </w:p>
    <w:bookmarkEnd w:id="2116"/>
    <w:p w14:paraId="410E2BC2">
      <w:pPr>
        <w:pStyle w:val="4"/>
        <w:rPr>
          <w:color w:val="auto"/>
          <w:highlight w:val="none"/>
        </w:rPr>
      </w:pPr>
      <w:bookmarkStart w:id="2165" w:name="_Toc373227773"/>
      <w:bookmarkStart w:id="2166" w:name="_Toc16039"/>
      <w:bookmarkStart w:id="2167" w:name="_Toc6222"/>
      <w:bookmarkStart w:id="2168" w:name="_Toc78449862"/>
      <w:bookmarkStart w:id="2169" w:name="_Toc2075285517"/>
      <w:bookmarkStart w:id="2170" w:name="_Toc373478420"/>
      <w:bookmarkStart w:id="2171" w:name="_Toc389065338"/>
      <w:bookmarkStart w:id="2172" w:name="_Toc407135276"/>
      <w:r>
        <w:rPr>
          <w:color w:val="auto"/>
          <w:highlight w:val="none"/>
        </w:rPr>
        <w:t xml:space="preserve">18.1 </w:t>
      </w:r>
      <w:r>
        <w:rPr>
          <w:rFonts w:hint="eastAsia" w:hAnsi="宋体" w:cs="黑体"/>
          <w:color w:val="auto"/>
          <w:highlight w:val="none"/>
        </w:rPr>
        <w:t>工程保险</w:t>
      </w:r>
      <w:bookmarkEnd w:id="2165"/>
      <w:bookmarkEnd w:id="2166"/>
      <w:bookmarkEnd w:id="2167"/>
      <w:bookmarkEnd w:id="2168"/>
      <w:bookmarkEnd w:id="2169"/>
      <w:bookmarkEnd w:id="2170"/>
      <w:bookmarkEnd w:id="2171"/>
      <w:bookmarkEnd w:id="2172"/>
    </w:p>
    <w:p w14:paraId="4A0EADDA">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hAnsi="宋体" w:cs="宋体"/>
          <w:color w:val="auto"/>
          <w:kern w:val="0"/>
          <w:highlight w:val="none"/>
        </w:rPr>
        <w:t>。</w:t>
      </w:r>
    </w:p>
    <w:p w14:paraId="325CD17A">
      <w:pPr>
        <w:pStyle w:val="4"/>
        <w:rPr>
          <w:color w:val="auto"/>
          <w:highlight w:val="none"/>
        </w:rPr>
      </w:pPr>
      <w:bookmarkStart w:id="2173" w:name="_Toc454766369"/>
      <w:bookmarkStart w:id="2174" w:name="_Toc639"/>
      <w:bookmarkStart w:id="2175" w:name="_Toc373478421"/>
      <w:bookmarkStart w:id="2176" w:name="_Toc380"/>
      <w:bookmarkStart w:id="2177" w:name="_Toc407135277"/>
      <w:bookmarkStart w:id="2178" w:name="_Toc78449863"/>
      <w:bookmarkStart w:id="2179" w:name="_Toc373227774"/>
      <w:bookmarkStart w:id="2180" w:name="_Toc389065339"/>
      <w:r>
        <w:rPr>
          <w:color w:val="auto"/>
          <w:highlight w:val="none"/>
        </w:rPr>
        <w:t xml:space="preserve">18.3 </w:t>
      </w:r>
      <w:r>
        <w:rPr>
          <w:rFonts w:hint="eastAsia" w:hAnsi="宋体" w:cs="黑体"/>
          <w:color w:val="auto"/>
          <w:highlight w:val="none"/>
        </w:rPr>
        <w:t>其他保险</w:t>
      </w:r>
      <w:bookmarkEnd w:id="2173"/>
      <w:bookmarkEnd w:id="2174"/>
      <w:bookmarkEnd w:id="2175"/>
      <w:bookmarkEnd w:id="2176"/>
      <w:bookmarkEnd w:id="2177"/>
      <w:bookmarkEnd w:id="2178"/>
      <w:bookmarkEnd w:id="2179"/>
      <w:bookmarkEnd w:id="2180"/>
    </w:p>
    <w:p w14:paraId="05311128">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s="宋体"/>
          <w:color w:val="auto"/>
          <w:highlight w:val="none"/>
        </w:rPr>
        <w:t>。</w:t>
      </w:r>
    </w:p>
    <w:p w14:paraId="5E70DB9A">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hAnsi="宋体" w:cs="宋体"/>
          <w:color w:val="auto"/>
          <w:highlight w:val="none"/>
        </w:rPr>
        <w:t>。</w:t>
      </w:r>
    </w:p>
    <w:p w14:paraId="043198A1">
      <w:pPr>
        <w:pStyle w:val="4"/>
        <w:rPr>
          <w:color w:val="auto"/>
          <w:highlight w:val="none"/>
        </w:rPr>
      </w:pPr>
      <w:bookmarkStart w:id="2181" w:name="_Toc9387"/>
      <w:bookmarkStart w:id="2182" w:name="_Toc373227775"/>
      <w:bookmarkStart w:id="2183" w:name="_Toc2102614655"/>
      <w:bookmarkStart w:id="2184" w:name="_Toc407135278"/>
      <w:bookmarkStart w:id="2185" w:name="_Toc20403"/>
      <w:bookmarkStart w:id="2186" w:name="_Toc78449864"/>
      <w:bookmarkStart w:id="2187" w:name="_Toc373478422"/>
      <w:bookmarkStart w:id="2188" w:name="_Toc389065340"/>
      <w:r>
        <w:rPr>
          <w:color w:val="auto"/>
          <w:highlight w:val="none"/>
        </w:rPr>
        <w:t xml:space="preserve">18.7 </w:t>
      </w:r>
      <w:r>
        <w:rPr>
          <w:rFonts w:hint="eastAsia" w:hAnsi="宋体" w:cs="黑体"/>
          <w:color w:val="auto"/>
          <w:highlight w:val="none"/>
        </w:rPr>
        <w:t>通知义务</w:t>
      </w:r>
      <w:bookmarkEnd w:id="2181"/>
      <w:bookmarkEnd w:id="2182"/>
      <w:bookmarkEnd w:id="2183"/>
      <w:bookmarkEnd w:id="2184"/>
      <w:bookmarkEnd w:id="2185"/>
      <w:bookmarkEnd w:id="2186"/>
      <w:bookmarkEnd w:id="2187"/>
      <w:bookmarkEnd w:id="2188"/>
    </w:p>
    <w:p w14:paraId="40FE6AE8">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hAnsi="宋体" w:cs="宋体"/>
          <w:color w:val="auto"/>
          <w:highlight w:val="none"/>
        </w:rPr>
        <w:t>。</w:t>
      </w:r>
    </w:p>
    <w:bookmarkEnd w:id="2061"/>
    <w:bookmarkEnd w:id="2062"/>
    <w:bookmarkEnd w:id="2063"/>
    <w:bookmarkEnd w:id="2064"/>
    <w:bookmarkEnd w:id="2065"/>
    <w:bookmarkEnd w:id="2066"/>
    <w:bookmarkEnd w:id="2067"/>
    <w:bookmarkEnd w:id="2068"/>
    <w:bookmarkEnd w:id="2069"/>
    <w:bookmarkEnd w:id="2070"/>
    <w:bookmarkEnd w:id="2071"/>
    <w:bookmarkEnd w:id="2072"/>
    <w:p w14:paraId="0F84280B">
      <w:pPr>
        <w:pStyle w:val="3"/>
        <w:rPr>
          <w:rFonts w:hint="eastAsia"/>
          <w:color w:val="auto"/>
          <w:highlight w:val="none"/>
        </w:rPr>
      </w:pPr>
      <w:bookmarkStart w:id="2189" w:name="_Toc17775"/>
      <w:bookmarkStart w:id="2190" w:name="_Toc1959910599"/>
      <w:bookmarkStart w:id="2191" w:name="_Toc373478423"/>
      <w:bookmarkStart w:id="2192" w:name="_Toc389065341"/>
      <w:bookmarkStart w:id="2193" w:name="_Toc351203651"/>
      <w:bookmarkStart w:id="2194" w:name="_Toc373227776"/>
      <w:bookmarkStart w:id="2195" w:name="_Toc407135279"/>
      <w:bookmarkStart w:id="2196" w:name="_Toc78449865"/>
      <w:r>
        <w:rPr>
          <w:rFonts w:hint="eastAsia"/>
          <w:color w:val="auto"/>
          <w:highlight w:val="none"/>
        </w:rPr>
        <w:t>19.索赔</w:t>
      </w:r>
      <w:bookmarkEnd w:id="2189"/>
    </w:p>
    <w:p w14:paraId="320AD362">
      <w:pPr>
        <w:pStyle w:val="3"/>
        <w:spacing w:line="360" w:lineRule="auto"/>
        <w:ind w:firstLine="420" w:firstLineChars="200"/>
        <w:rPr>
          <w:rFonts w:hint="eastAsia" w:ascii="Times New Roman" w:hAnsi="宋体" w:eastAsia="宋体" w:cs="宋体"/>
          <w:b w:val="0"/>
          <w:bCs w:val="0"/>
          <w:color w:val="auto"/>
          <w:sz w:val="21"/>
          <w:szCs w:val="21"/>
          <w:highlight w:val="none"/>
          <w:lang w:val="en-US"/>
        </w:rPr>
      </w:pPr>
      <w:bookmarkStart w:id="2197" w:name="_Toc2598"/>
      <w:bookmarkStart w:id="2198" w:name="_Toc874"/>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 索赔事项确定</w:t>
      </w:r>
      <w:bookmarkEnd w:id="2197"/>
      <w:bookmarkEnd w:id="2198"/>
    </w:p>
    <w:p w14:paraId="6E83DF2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 按本合同约定计算工期延误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及其引起的索赔费用时，索赔工期所对应的工作应是关键线路上的工作，或索赔事件引起关键线路改变的工作，发包人按本合同约定批准给承包人的工期延长为合同工期延长的时间。发包人对承包人的所有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的索赔费用应对每一索赔事件进行独立评估，不包括前期发生的工期延误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对后期进行的工程造成相应延误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 xml:space="preserve"> 的费用索赔。</w:t>
      </w:r>
    </w:p>
    <w:p w14:paraId="0FCC07F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.2 当发生工期延误事件时，发承包双方根据批准的施工进度计划，确定该事件是否发生在关键线路上，以及是否引发关键线路上的工期延误，并可按以下约定计算索赔的工期：</w:t>
      </w:r>
    </w:p>
    <w:p w14:paraId="3E4FD4F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（1）延误事件为关键线路上的工作，则延误的时间为索赔的工期；</w:t>
      </w:r>
    </w:p>
    <w:p w14:paraId="51ABA76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（2）延误事件为非关键线路上的工作，当该工作由于延误超过总时差而成为关键工作时，其延误时间与总时差的差值为索赔的工期；</w:t>
      </w:r>
    </w:p>
    <w:p w14:paraId="6DB3FD2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（3）工期延误后事件仍为非关键线路上的工作，则不发生工期索赔。</w:t>
      </w:r>
    </w:p>
    <w:p w14:paraId="5490478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 因非承包人的原因发生下列事件，给承包人造成经济损失及费用增加和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工期延误的，承包人可按蒙受的经济损失及费用增加和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受影响延误的工期，提出一项或多项索赔，由于发包人的原因引起的承包人经济损失按本合同19.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w:t>
      </w:r>
      <w:r>
        <w:rPr>
          <w:rFonts w:hint="eastAsia" w:hAnsi="宋体" w:cs="宋体"/>
          <w:b w:val="0"/>
          <w:bCs w:val="0"/>
          <w:color w:val="auto"/>
          <w:sz w:val="21"/>
          <w:szCs w:val="21"/>
          <w:highlight w:val="none"/>
          <w:lang w:val="en-US" w:eastAsia="zh-CN"/>
        </w:rPr>
        <w:t>4.</w:t>
      </w: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w:t>
      </w:r>
      <w:r>
        <w:rPr>
          <w:rFonts w:hint="eastAsia" w:hAnsi="宋体" w:cs="宋体"/>
          <w:b w:val="0"/>
          <w:bCs w:val="0"/>
          <w:color w:val="auto"/>
          <w:sz w:val="21"/>
          <w:szCs w:val="21"/>
          <w:highlight w:val="none"/>
          <w:lang w:val="en-US" w:eastAsia="zh-CN"/>
        </w:rPr>
        <w:t>5</w:t>
      </w:r>
      <w:r>
        <w:rPr>
          <w:rFonts w:hint="eastAsia" w:ascii="Times New Roman" w:hAnsi="宋体" w:eastAsia="宋体" w:cs="宋体"/>
          <w:b w:val="0"/>
          <w:bCs w:val="0"/>
          <w:color w:val="auto"/>
          <w:sz w:val="21"/>
          <w:szCs w:val="21"/>
          <w:highlight w:val="none"/>
          <w:lang w:val="en-US"/>
        </w:rPr>
        <w:t>条的约定执行，由于不可抗力引起的经济损失和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工期延误事件按本合同19.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w:t>
      </w:r>
      <w:r>
        <w:rPr>
          <w:rFonts w:hint="eastAsia" w:hAnsi="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条～19.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.9条的约定执行：</w:t>
      </w:r>
    </w:p>
    <w:p w14:paraId="29ACA9C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（1）因停工、待工、降效、工期延长等造成的人工、材料、施工机具、水电消耗等的费用损失，政府主管部门要求进行的暂停施工按本合同工19.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条约定执行；</w:t>
      </w:r>
    </w:p>
    <w:p w14:paraId="42944B5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（2）因合同工期调整所造成的人工费、材料费、施工机具费物价变化增减的直接费用，但按本合同第11.2.4条约定调整的除外；</w:t>
      </w:r>
    </w:p>
    <w:p w14:paraId="3A813B6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（3）因停工、复工、维护施工现场等发生（包括建设、使用、拆除）的必要措施费用；</w:t>
      </w:r>
    </w:p>
    <w:p w14:paraId="4D2DFEE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（4）因返工、拆改与修复等发生的直接费用，以及报废（损）的材料的直接损失；</w:t>
      </w:r>
    </w:p>
    <w:p w14:paraId="5DF9000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（5）因额外增加的检查、检验、试验等发生的相关费用；</w:t>
      </w:r>
    </w:p>
    <w:p w14:paraId="5FDE473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（6）因合同价款未能按合同约定支付引起的损失；</w:t>
      </w:r>
    </w:p>
    <w:p w14:paraId="7240479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（7）因发掘出文物、古迹以及具有地质研究或考古价值的遗迹、化石、钱币或物品造成的暂缓、间断施工或停工的影响；</w:t>
      </w:r>
    </w:p>
    <w:p w14:paraId="736A764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（8）承包人可举证的上述费用之外的其他损失；</w:t>
      </w:r>
    </w:p>
    <w:p w14:paraId="7580F8D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（9）因事件影响造成的延误（或延长）的合理工期。</w:t>
      </w:r>
    </w:p>
    <w:p w14:paraId="5302BEE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.4  因发包人的原因发生下列事件，给承包人造成经济损失的，承包人除按本合同19.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 条约定进行经济损失和（或）工期延误索赔外，可索赔利润。</w:t>
      </w:r>
    </w:p>
    <w:p w14:paraId="130944E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（1）发包人将合同中的某项工作改变为其他承包人负责完成；</w:t>
      </w:r>
    </w:p>
    <w:p w14:paraId="4387C08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（2）发包人延迟提供图纸或施工场地；</w:t>
      </w:r>
    </w:p>
    <w:p w14:paraId="08D8901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（3）发包人提供材料的质量不合格或延迟提供或改变交货地点等引起工程不合格；</w:t>
      </w:r>
    </w:p>
    <w:p w14:paraId="3E4D3AD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（4）发包人原因引起承包人测量放线错误、工程返工；</w:t>
      </w:r>
    </w:p>
    <w:p w14:paraId="1164DEA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（5）发包人提供的工程项目原始数据和基准资料错误；</w:t>
      </w:r>
    </w:p>
    <w:p w14:paraId="276FD95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（6）发包人对施工场地额外限制、未按时履约审批、干扰正常施工顺序等；</w:t>
      </w:r>
    </w:p>
    <w:p w14:paraId="50E0917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（7）发包人原因引起工期延误、暂停施工、工程暂停后无法按时复工；</w:t>
      </w:r>
    </w:p>
    <w:p w14:paraId="5579A10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（8）发包人在工程竣工前提前占用工程；</w:t>
      </w:r>
    </w:p>
    <w:p w14:paraId="61016AF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（9）发包人原因导致工程试运行失败、缺陷责任期内因非承包人原因引起的缺陷或损坏的修复。</w:t>
      </w:r>
    </w:p>
    <w:p w14:paraId="173771B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.5 因发包人的原因引起下列事件给承包人造成经济损失和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工期延长的，发包人应合理延长受影响的工期，并补偿给承包人造成的损失和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直接费用，不包括利润：</w:t>
      </w:r>
    </w:p>
    <w:p w14:paraId="2BB33FD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（1）按发包人或监理人的要求对材料和工程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包括已覆盖的隐蔽工程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进行重新检测、且检测结果质量合格引起的直接费用，以及修复受影响工程的费用；</w:t>
      </w:r>
    </w:p>
    <w:p w14:paraId="3611267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（2）额外增加的检查、检验、试验等的直接费用；</w:t>
      </w:r>
    </w:p>
    <w:p w14:paraId="31BE21A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（3）工程试运行失败引起的直接费用；</w:t>
      </w:r>
    </w:p>
    <w:p w14:paraId="3F92650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（4）其他情况的直接损失和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费用。</w:t>
      </w:r>
    </w:p>
    <w:p w14:paraId="64BCB3C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除本合同约定发包人购买工程一切险及第三者责任险外，因不可抗力事件引起的人员伤亡、财产损失、费用增加和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工期延误等工程索赔，发承包双方应遵循下列原则承担相应损失及费用：</w:t>
      </w:r>
    </w:p>
    <w:p w14:paraId="595F630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（1）永久工程、已运至施工现场的材料的损坏及修复费用，以及因不可抗力事件引起施工场地内及工程损坏造成的第三方人员伤亡和财产损失应由发包人承担；</w:t>
      </w:r>
    </w:p>
    <w:p w14:paraId="4C0D270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（2）承包人施工机具的损坏及停工损失和措施项目的损坏、清理、修复费用，以及因承包人原因发生的第三方人员伤亡和财产损失应由承包人承担；</w:t>
      </w:r>
    </w:p>
    <w:p w14:paraId="25BA96E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（3）发包人和承包人应承担各自人员伤亡和本条第（1）款、第（2）款约定外的其他财产的损失；</w:t>
      </w:r>
    </w:p>
    <w:p w14:paraId="54A8A7E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1BA2DD2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（5）因不可抗力影响承包人履行合同约定的义务，引起工期延误的，应当顺延工期，发包人要求赶工的，由此增加的赶工费用应由发包人承担；</w:t>
      </w:r>
    </w:p>
    <w:p w14:paraId="645E1CE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（6）其他情形按法律法规规定执行。</w:t>
      </w:r>
    </w:p>
    <w:p w14:paraId="059F688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除本合同11.3条法律法规及政策性变化引起的价格调整，第19.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.6条第（4）款、第（5）款规定外，因发生具有不可抗力性质的下列例外事件引起工期延误的，受影响的工期应相应顺延，发承包双方应各自承担相应的损失：</w:t>
      </w:r>
    </w:p>
    <w:p w14:paraId="2B4D6B6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（1）动乱和暴动等类似事件</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不包括工地现场发生的</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w:t>
      </w:r>
    </w:p>
    <w:p w14:paraId="2BB6E8D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（2）因国家及地方政府有关部门要求而必须的停工、暂停（暂缓）施工、间断施工或区域性施工管控造成的影响；</w:t>
      </w:r>
    </w:p>
    <w:p w14:paraId="29F5FA6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（3）地方建设行政主管部门就安全、环保要求停止施工造成的影响；</w:t>
      </w:r>
    </w:p>
    <w:p w14:paraId="3BBF7A9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（4）地方政府主管部门就健康卫生防疫管控要求停止施工造成的影响；</w:t>
      </w:r>
    </w:p>
    <w:p w14:paraId="5D84EC8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.8  因发生不可抗力引起工期延长，且在延长工期内遭遇物价变化、法律法规及政策性变化的，所引起的影响费用按本合同11.2条、11.3条、19.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.3条的约定处理，调整受影响项目的合同价格。</w:t>
      </w:r>
    </w:p>
    <w:p w14:paraId="121D365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152E22A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.10  本合同约定发包人负责购买工程一切险及第三者责任险，且保险范围包括相关的施工机具、人员伤亡，如发生本合同19.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条约定的事件，发承包双方按下列原则承担相应损失和增加费用：</w:t>
      </w:r>
    </w:p>
    <w:p w14:paraId="1569D74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（1）发包人按合同约定购买建筑工程一切险及第三者责任险的，承包人通过发包人按保险条款向保险人理赔本合同19.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.6条第（1）款～第（4）款约定的财产损失和增加的费用，保险规定免赔额部分的损失及费用和超出理赔部分的本合同19.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.6条第（2）款、第（3）款约定的损失及费用由发承包双方各自承担，超出理赔部分的本合同19.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条第（1）款、第（4）款约定的损失及费用由发包人承担；</w:t>
      </w:r>
    </w:p>
    <w:p w14:paraId="17DD593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（2）发包人未按合同约定购买建筑工程一切险及第三者责任险或购买的保险未生效的，本合同19.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条第（1）款和第（2）款约定的损失及费用由发包人负责，按相关保险条款可以理赔的本合同19.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条第（2）款、第（3）款约定的损失及费用由发包人承担，超出理赔的损失及费用由发承包双方各自承担。</w:t>
      </w:r>
    </w:p>
    <w:p w14:paraId="6F40941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.11  因发生提前竣工</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赶工）事件引起的工程索赔，发承包双方可按下列原则分别承担相应费用，并调整合同价格和工期：</w:t>
      </w:r>
    </w:p>
    <w:p w14:paraId="7A779E5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（1）发包人要求合同工程提前竣工的，承包人应制定合理的加快工程进度的措施并修订进度计划，经发包人同意后实施，由此增加的提前竣工费用</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赶工费）由发包人承担；</w:t>
      </w:r>
    </w:p>
    <w:p w14:paraId="25B0868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（2）非发包人要求，因承包人原因自行提前竣工的，应征得发包人的同意，由此增加的费用应由承包人承担。</w:t>
      </w:r>
    </w:p>
    <w:p w14:paraId="19855CD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.12  因承包人原因发生下列事件，引起工期延误和（或）给发包人造成经济损失的，发包人可根据工期受影响延误的时间和（或）经济损失，提出以下一项或多项索赔： </w:t>
      </w:r>
    </w:p>
    <w:p w14:paraId="579B8B6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（1）承包人未尽承包义务、未按合同约定执行发包人的工程指令等引起发包人发生的额外费用或额外支出；</w:t>
      </w:r>
    </w:p>
    <w:p w14:paraId="6BDAD4D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（2）承包人未按合同要求正确履行对发包人提供材料、专业分包人的总承包服务造成发包人的损失；</w:t>
      </w:r>
    </w:p>
    <w:p w14:paraId="3C205AF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（3）承包人责任事件造成的发包人向政府部门缴纳的罚款或向第三人的赔偿费用；</w:t>
      </w:r>
    </w:p>
    <w:p w14:paraId="4228814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（4）承包人原因引起合同工程发生误期造成发包人的损失；</w:t>
      </w:r>
    </w:p>
    <w:p w14:paraId="0BBBD84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（5）承包人完成的工程质量不符合合同约定标准引起发包人的损失；</w:t>
      </w:r>
    </w:p>
    <w:p w14:paraId="08A983F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（6）发包人可举证的上述费用之外的其他损失。</w:t>
      </w:r>
    </w:p>
    <w:p w14:paraId="58EBE46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.13  因承包人原因引起发包人的损失，发包人可以选择以下一项或多项方式获得补偿：</w:t>
      </w:r>
    </w:p>
    <w:p w14:paraId="75441BB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（1）延长质量缺陷保修期限；</w:t>
      </w:r>
    </w:p>
    <w:p w14:paraId="1A9E1ED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（2）要求承包人支付受影响发生的额外费用；</w:t>
      </w:r>
    </w:p>
    <w:p w14:paraId="7DEC1BC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（3）要求承包人支付误期赔偿费；</w:t>
      </w:r>
    </w:p>
    <w:p w14:paraId="5DEAC5B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（4）要求承包人按合同的约定支付违约金。</w:t>
      </w:r>
    </w:p>
    <w:p w14:paraId="33BE173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.14  发承包双方均应采取措施尽量避免和减少因索赔事件导致的损失扩大，应采取措施的一方当事人不采取积极措施导致损失扩大的，应对扩大的损失承担责任。</w:t>
      </w:r>
    </w:p>
    <w:p w14:paraId="5995C97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.15  发承包双方宜通过协商方式解决工程索赔，经协商不能达成一致意见的，可按本合同第20条争议解决的约定执行，引起合同解除的，按本合同第</w:t>
      </w:r>
      <w:r>
        <w:rPr>
          <w:rFonts w:hint="eastAsia" w:ascii="Times New Roman" w:hAnsi="宋体" w:eastAsia="宋体" w:cs="宋体"/>
          <w:b w:val="0"/>
          <w:bCs w:val="0"/>
          <w:color w:val="auto"/>
          <w:sz w:val="21"/>
          <w:szCs w:val="21"/>
          <w:highlight w:val="none"/>
          <w:lang w:val="en-US" w:eastAsia="zh-CN"/>
        </w:rPr>
        <w:t>16</w:t>
      </w:r>
      <w:r>
        <w:rPr>
          <w:rFonts w:hint="eastAsia" w:ascii="Times New Roman" w:hAnsi="宋体" w:eastAsia="宋体" w:cs="宋体"/>
          <w:b w:val="0"/>
          <w:bCs w:val="0"/>
          <w:color w:val="auto"/>
          <w:sz w:val="21"/>
          <w:szCs w:val="21"/>
          <w:highlight w:val="none"/>
          <w:lang w:val="en-US"/>
        </w:rPr>
        <w:t>条合同解除（中止）结算的约定处理。</w:t>
      </w:r>
    </w:p>
    <w:p w14:paraId="4B663C2C">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5D0B3884">
      <w:pPr>
        <w:pStyle w:val="3"/>
        <w:rPr>
          <w:color w:val="auto"/>
          <w:highlight w:val="none"/>
        </w:rPr>
      </w:pPr>
      <w:bookmarkStart w:id="2199" w:name="_Toc20588"/>
      <w:r>
        <w:rPr>
          <w:color w:val="auto"/>
          <w:highlight w:val="none"/>
        </w:rPr>
        <w:t xml:space="preserve">20. </w:t>
      </w:r>
      <w:r>
        <w:rPr>
          <w:rFonts w:hint="eastAsia" w:hAnsi="宋体" w:cs="黑体"/>
          <w:color w:val="auto"/>
          <w:highlight w:val="none"/>
        </w:rPr>
        <w:t>争议解决</w:t>
      </w:r>
      <w:bookmarkEnd w:id="2190"/>
      <w:bookmarkEnd w:id="2191"/>
      <w:bookmarkEnd w:id="2192"/>
      <w:bookmarkEnd w:id="2193"/>
      <w:bookmarkEnd w:id="2194"/>
      <w:bookmarkEnd w:id="2195"/>
      <w:bookmarkEnd w:id="2196"/>
      <w:bookmarkEnd w:id="2199"/>
    </w:p>
    <w:bookmarkEnd w:id="2073"/>
    <w:bookmarkEnd w:id="2074"/>
    <w:p w14:paraId="0042A0B1">
      <w:pPr>
        <w:pStyle w:val="4"/>
        <w:rPr>
          <w:color w:val="auto"/>
          <w:highlight w:val="none"/>
        </w:rPr>
      </w:pPr>
      <w:bookmarkStart w:id="2200" w:name="_Toc407135280"/>
      <w:bookmarkStart w:id="2201" w:name="_Toc17992"/>
      <w:bookmarkStart w:id="2202" w:name="_Toc1645489822"/>
      <w:bookmarkStart w:id="2203" w:name="_Toc373227777"/>
      <w:bookmarkStart w:id="2204" w:name="_Toc78449866"/>
      <w:bookmarkStart w:id="2205" w:name="_Toc28101"/>
      <w:bookmarkStart w:id="2206" w:name="_Toc389065342"/>
      <w:bookmarkStart w:id="2207" w:name="_Toc373478424"/>
      <w:r>
        <w:rPr>
          <w:color w:val="auto"/>
          <w:highlight w:val="none"/>
        </w:rPr>
        <w:t xml:space="preserve">20.3 </w:t>
      </w:r>
      <w:r>
        <w:rPr>
          <w:rFonts w:hint="eastAsia" w:hAnsi="宋体" w:cs="黑体"/>
          <w:color w:val="auto"/>
          <w:highlight w:val="none"/>
        </w:rPr>
        <w:t>争</w:t>
      </w:r>
      <w:bookmarkEnd w:id="2075"/>
      <w:r>
        <w:rPr>
          <w:rFonts w:hint="eastAsia" w:hAnsi="宋体" w:cs="黑体"/>
          <w:color w:val="auto"/>
          <w:highlight w:val="none"/>
        </w:rPr>
        <w:t>议评审</w:t>
      </w:r>
      <w:bookmarkEnd w:id="2200"/>
      <w:bookmarkEnd w:id="2201"/>
      <w:bookmarkEnd w:id="2202"/>
      <w:bookmarkEnd w:id="2203"/>
      <w:bookmarkEnd w:id="2204"/>
      <w:bookmarkEnd w:id="2205"/>
      <w:bookmarkEnd w:id="2206"/>
      <w:bookmarkEnd w:id="2207"/>
    </w:p>
    <w:p w14:paraId="13FA3CC0">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hAnsi="宋体" w:cs="宋体"/>
          <w:color w:val="auto"/>
          <w:highlight w:val="none"/>
        </w:rPr>
        <w:t>。</w:t>
      </w:r>
    </w:p>
    <w:p w14:paraId="6A2A8ED2">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2DBB76B8">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hAnsi="宋体" w:cs="宋体"/>
          <w:color w:val="auto"/>
          <w:highlight w:val="none"/>
        </w:rPr>
        <w:t>。</w:t>
      </w:r>
    </w:p>
    <w:p w14:paraId="004F4FC9">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hAnsi="宋体" w:cs="宋体"/>
          <w:color w:val="auto"/>
          <w:highlight w:val="none"/>
        </w:rPr>
        <w:t>。</w:t>
      </w:r>
    </w:p>
    <w:p w14:paraId="21C5CD9C">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hAnsi="宋体" w:cs="宋体"/>
          <w:color w:val="auto"/>
          <w:highlight w:val="none"/>
        </w:rPr>
        <w:t>。</w:t>
      </w:r>
    </w:p>
    <w:p w14:paraId="0E5AF191">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hAnsi="宋体" w:cs="宋体"/>
          <w:color w:val="auto"/>
          <w:highlight w:val="none"/>
        </w:rPr>
        <w:t>。</w:t>
      </w:r>
    </w:p>
    <w:p w14:paraId="434D9062">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5158187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hAnsi="宋体" w:cs="宋体"/>
          <w:color w:val="auto"/>
          <w:highlight w:val="none"/>
        </w:rPr>
        <w:t>。</w:t>
      </w:r>
    </w:p>
    <w:p w14:paraId="1F7EEA67">
      <w:pPr>
        <w:spacing w:line="360" w:lineRule="auto"/>
        <w:ind w:firstLine="420" w:firstLineChars="200"/>
        <w:jc w:val="left"/>
        <w:rPr>
          <w:rFonts w:hint="eastAsia" w:hAnsi="宋体" w:cs="宋体"/>
          <w:color w:val="auto"/>
          <w:highlight w:val="none"/>
        </w:rPr>
      </w:pPr>
      <w:bookmarkStart w:id="2208" w:name="_Toc389065343"/>
      <w:bookmarkStart w:id="2209" w:name="_Toc1456517022"/>
      <w:bookmarkStart w:id="2210" w:name="_Toc373227778"/>
      <w:bookmarkStart w:id="2211" w:name="_Toc373478425"/>
      <w:bookmarkStart w:id="2212" w:name="_Toc78449867"/>
      <w:bookmarkStart w:id="2213" w:name="_Toc407135281"/>
      <w:r>
        <w:rPr>
          <w:rFonts w:hint="eastAsia" w:hAnsi="宋体" w:cs="宋体"/>
          <w:color w:val="auto"/>
          <w:highlight w:val="none"/>
        </w:rPr>
        <w:t>20.3.4 争议评审小组决定的效力</w:t>
      </w:r>
    </w:p>
    <w:p w14:paraId="116E391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合同当事人未签字确认争议评审小组作出的书面决定的，对双方无约束力，但双方在争议评审期间提交的证明材料、认可的事实可作为后续仲裁或诉讼的证据使用。</w:t>
      </w:r>
    </w:p>
    <w:p w14:paraId="7EB40A2B">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7D414588">
      <w:pPr>
        <w:pStyle w:val="4"/>
        <w:rPr>
          <w:color w:val="auto"/>
          <w:highlight w:val="none"/>
        </w:rPr>
      </w:pPr>
      <w:bookmarkStart w:id="2214" w:name="_Toc18668"/>
      <w:bookmarkStart w:id="2215" w:name="_Toc31980"/>
      <w:r>
        <w:rPr>
          <w:color w:val="auto"/>
          <w:highlight w:val="none"/>
        </w:rPr>
        <w:t xml:space="preserve">20.4 </w:t>
      </w:r>
      <w:r>
        <w:rPr>
          <w:rFonts w:hint="eastAsia" w:hAnsi="宋体" w:cs="黑体"/>
          <w:color w:val="auto"/>
          <w:highlight w:val="none"/>
        </w:rPr>
        <w:t>仲裁或诉讼</w:t>
      </w:r>
      <w:bookmarkEnd w:id="2076"/>
      <w:bookmarkEnd w:id="2208"/>
      <w:bookmarkEnd w:id="2209"/>
      <w:bookmarkEnd w:id="2210"/>
      <w:bookmarkEnd w:id="2211"/>
      <w:bookmarkEnd w:id="2212"/>
      <w:bookmarkEnd w:id="2213"/>
      <w:bookmarkEnd w:id="2214"/>
      <w:bookmarkEnd w:id="2215"/>
    </w:p>
    <w:p w14:paraId="29AE9D43">
      <w:pPr>
        <w:spacing w:line="360" w:lineRule="auto"/>
        <w:ind w:firstLine="420" w:firstLineChars="200"/>
        <w:rPr>
          <w:color w:val="auto"/>
          <w:highlight w:val="none"/>
        </w:rPr>
      </w:pPr>
      <w:r>
        <w:rPr>
          <w:rFonts w:hint="eastAsia" w:hAnsi="宋体" w:cs="宋体"/>
          <w:color w:val="auto"/>
          <w:highlight w:val="none"/>
        </w:rPr>
        <w:t>因合同及合同有关事项发生的争议，□是 □否 同意先进行调解或争议评审，未达成一致后，按下列第    种方式解决：</w:t>
      </w:r>
    </w:p>
    <w:p w14:paraId="37B088B1">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（1）向                         仲裁委员会申请仲裁；</w:t>
      </w:r>
    </w:p>
    <w:p w14:paraId="3868BFF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1）对于未能友好协商，或未能通过调解或争议评审解决的争议，发包人或承包人任一方均有权提交给约定的仲裁委员会仲裁。</w:t>
      </w:r>
    </w:p>
    <w:p w14:paraId="278FB1A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005EBD8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3）仲裁裁决是终局性的并对发包人和承包人双方具有约束力。</w:t>
      </w:r>
    </w:p>
    <w:p w14:paraId="28E4C7E6">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4）全部仲裁费用应由败诉方承担；或按仲裁委员会裁决的比例分担。</w:t>
      </w:r>
    </w:p>
    <w:p w14:paraId="446C223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hAnsi="宋体" w:cs="宋体"/>
          <w:color w:val="auto"/>
          <w:highlight w:val="none"/>
        </w:rPr>
        <w:t>人民法院起诉。</w:t>
      </w:r>
      <w:bookmarkEnd w:id="2077"/>
      <w:bookmarkEnd w:id="2078"/>
      <w:bookmarkEnd w:id="2079"/>
      <w:bookmarkEnd w:id="2080"/>
      <w:bookmarkEnd w:id="2081"/>
      <w:bookmarkEnd w:id="2082"/>
    </w:p>
    <w:p w14:paraId="1226FEBD">
      <w:pPr>
        <w:spacing w:line="360" w:lineRule="auto"/>
        <w:jc w:val="left"/>
        <w:rPr>
          <w:rFonts w:eastAsia="黑体"/>
          <w:b/>
          <w:bCs/>
          <w:color w:val="auto"/>
          <w:sz w:val="28"/>
          <w:szCs w:val="28"/>
          <w:highlight w:val="none"/>
        </w:rPr>
      </w:pPr>
      <w:bookmarkStart w:id="2216" w:name="_Toc351203652"/>
      <w:r>
        <w:rPr>
          <w:rFonts w:hint="eastAsia" w:eastAsia="黑体" w:cs="黑体"/>
          <w:b/>
          <w:bCs/>
          <w:color w:val="auto"/>
          <w:sz w:val="28"/>
          <w:szCs w:val="28"/>
          <w:highlight w:val="none"/>
        </w:rPr>
        <w:t>附件</w:t>
      </w:r>
      <w:bookmarkEnd w:id="2216"/>
    </w:p>
    <w:p w14:paraId="709C488E">
      <w:pPr>
        <w:spacing w:line="360" w:lineRule="auto"/>
        <w:jc w:val="left"/>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14:paraId="2B88AFE2">
      <w:pPr>
        <w:spacing w:line="360" w:lineRule="auto"/>
        <w:jc w:val="left"/>
        <w:rPr>
          <w:rFonts w:ascii="宋体" w:hAnsi="宋体" w:cs="宋体"/>
          <w:color w:val="auto"/>
          <w:highlight w:val="none"/>
        </w:rPr>
      </w:pPr>
      <w:r>
        <w:rPr>
          <w:rFonts w:hint="eastAsia" w:ascii="宋体" w:hAnsi="宋体" w:cs="宋体"/>
          <w:color w:val="auto"/>
          <w:highlight w:val="none"/>
        </w:rPr>
        <w:t>附件2：工程质量保修书</w:t>
      </w:r>
    </w:p>
    <w:p w14:paraId="17991C5F">
      <w:pPr>
        <w:spacing w:line="360" w:lineRule="auto"/>
        <w:jc w:val="left"/>
        <w:rPr>
          <w:rFonts w:hint="eastAsia" w:ascii="宋体" w:hAnsi="宋体" w:cs="宋体"/>
          <w:color w:val="auto"/>
          <w:highlight w:val="none"/>
        </w:rPr>
      </w:pPr>
      <w:r>
        <w:rPr>
          <w:rFonts w:ascii="宋体" w:hAnsi="宋体" w:cs="宋体"/>
          <w:color w:val="auto"/>
          <w:highlight w:val="none"/>
        </w:rPr>
        <w:t>附件</w:t>
      </w:r>
      <w:r>
        <w:rPr>
          <w:rFonts w:hint="eastAsia" w:ascii="宋体" w:hAnsi="宋体" w:cs="宋体"/>
          <w:color w:val="auto"/>
          <w:highlight w:val="none"/>
        </w:rPr>
        <w:t>3</w:t>
      </w:r>
      <w:r>
        <w:rPr>
          <w:rFonts w:ascii="宋体" w:hAnsi="宋体" w:cs="宋体"/>
          <w:color w:val="auto"/>
          <w:highlight w:val="none"/>
        </w:rPr>
        <w:t>：主要建设工程文件目录</w:t>
      </w:r>
    </w:p>
    <w:p w14:paraId="4BA756B4">
      <w:pPr>
        <w:spacing w:line="360" w:lineRule="auto"/>
        <w:jc w:val="left"/>
        <w:rPr>
          <w:rFonts w:ascii="宋体" w:hAnsi="宋体" w:cs="宋体"/>
          <w:color w:val="auto"/>
          <w:highlight w:val="none"/>
        </w:rPr>
      </w:pPr>
      <w:r>
        <w:rPr>
          <w:rFonts w:hint="eastAsia" w:ascii="宋体" w:hAnsi="宋体" w:cs="宋体"/>
          <w:color w:val="auto"/>
          <w:highlight w:val="none"/>
        </w:rPr>
        <w:t>附件4：承包人用于本工程施工的机械设备表</w:t>
      </w:r>
    </w:p>
    <w:p w14:paraId="5618B622">
      <w:pPr>
        <w:spacing w:line="360" w:lineRule="auto"/>
        <w:jc w:val="left"/>
        <w:rPr>
          <w:rFonts w:ascii="宋体"/>
          <w:color w:val="auto"/>
          <w:highlight w:val="none"/>
        </w:rPr>
      </w:pPr>
      <w:r>
        <w:rPr>
          <w:rFonts w:hint="eastAsia" w:ascii="宋体" w:hAnsi="宋体" w:cs="宋体"/>
          <w:color w:val="auto"/>
          <w:highlight w:val="none"/>
        </w:rPr>
        <w:t>附件5：承包人主要施工管理人员表</w:t>
      </w:r>
    </w:p>
    <w:p w14:paraId="5A9B6696">
      <w:pPr>
        <w:spacing w:line="360" w:lineRule="auto"/>
        <w:jc w:val="left"/>
        <w:rPr>
          <w:rFonts w:ascii="宋体"/>
          <w:color w:val="auto"/>
          <w:highlight w:val="none"/>
        </w:rPr>
      </w:pPr>
      <w:r>
        <w:rPr>
          <w:rFonts w:hint="eastAsia" w:ascii="宋体" w:hAnsi="宋体" w:cs="宋体"/>
          <w:color w:val="auto"/>
          <w:highlight w:val="none"/>
        </w:rPr>
        <w:t>附件6：分包人主要施工管理人员表</w:t>
      </w:r>
    </w:p>
    <w:p w14:paraId="448C5CE6">
      <w:pPr>
        <w:spacing w:line="360" w:lineRule="auto"/>
        <w:jc w:val="left"/>
        <w:rPr>
          <w:rFonts w:ascii="宋体"/>
          <w:color w:val="auto"/>
          <w:highlight w:val="none"/>
        </w:rPr>
      </w:pPr>
      <w:r>
        <w:rPr>
          <w:rFonts w:hint="eastAsia" w:ascii="宋体" w:hAnsi="宋体" w:cs="宋体"/>
          <w:color w:val="auto"/>
          <w:highlight w:val="none"/>
        </w:rPr>
        <w:t>附件7：履约担保格式（独立保函、非独立保函）</w:t>
      </w:r>
    </w:p>
    <w:p w14:paraId="3C9BF98A">
      <w:pPr>
        <w:spacing w:line="360" w:lineRule="auto"/>
        <w:jc w:val="left"/>
        <w:rPr>
          <w:rFonts w:hint="eastAsia" w:ascii="宋体" w:hAnsi="宋体" w:cs="宋体"/>
          <w:color w:val="auto"/>
          <w:highlight w:val="none"/>
        </w:rPr>
      </w:pPr>
      <w:r>
        <w:rPr>
          <w:rFonts w:hint="eastAsia" w:ascii="宋体" w:hAnsi="宋体" w:cs="宋体"/>
          <w:color w:val="auto"/>
          <w:highlight w:val="none"/>
        </w:rPr>
        <w:t>附件8：预付款担保格式（独立保函、非独立保函）</w:t>
      </w:r>
    </w:p>
    <w:p w14:paraId="0CB87A2F">
      <w:pPr>
        <w:spacing w:line="360" w:lineRule="auto"/>
        <w:jc w:val="left"/>
        <w:rPr>
          <w:rFonts w:ascii="宋体" w:hAnsi="宋体" w:cs="宋体"/>
          <w:color w:val="auto"/>
          <w:highlight w:val="none"/>
        </w:rPr>
      </w:pPr>
      <w:r>
        <w:rPr>
          <w:rFonts w:hint="eastAsia" w:ascii="宋体" w:hAnsi="宋体" w:cs="宋体"/>
          <w:color w:val="auto"/>
          <w:highlight w:val="none"/>
        </w:rPr>
        <w:t>附件9：支付担保格式（独立保函、非独立保函）</w:t>
      </w:r>
    </w:p>
    <w:p w14:paraId="1D63AE71">
      <w:pPr>
        <w:spacing w:line="360" w:lineRule="auto"/>
        <w:jc w:val="left"/>
        <w:rPr>
          <w:rFonts w:hint="eastAsia"/>
          <w:color w:val="auto"/>
          <w:highlight w:val="none"/>
        </w:rPr>
      </w:pPr>
      <w:r>
        <w:rPr>
          <w:rFonts w:hint="eastAsia" w:ascii="宋体" w:hAnsi="宋体" w:cs="宋体"/>
          <w:color w:val="auto"/>
          <w:highlight w:val="none"/>
        </w:rPr>
        <w:t>附件10：预付款</w:t>
      </w:r>
      <w:r>
        <w:rPr>
          <w:rFonts w:hint="eastAsia"/>
          <w:color w:val="auto"/>
          <w:highlight w:val="none"/>
        </w:rPr>
        <w:t>支付申请（核准）表</w:t>
      </w:r>
    </w:p>
    <w:p w14:paraId="6C11CFAD">
      <w:pPr>
        <w:spacing w:line="360" w:lineRule="auto"/>
        <w:jc w:val="left"/>
        <w:rPr>
          <w:rFonts w:hint="eastAsia"/>
          <w:color w:val="auto"/>
          <w:highlight w:val="none"/>
        </w:rPr>
      </w:pPr>
      <w:r>
        <w:rPr>
          <w:rFonts w:hint="eastAsia" w:ascii="宋体" w:hAnsi="宋体" w:cs="宋体"/>
          <w:color w:val="auto"/>
          <w:highlight w:val="none"/>
        </w:rPr>
        <w:t>附件11：</w:t>
      </w:r>
      <w:r>
        <w:rPr>
          <w:rFonts w:hint="eastAsia"/>
          <w:color w:val="auto"/>
          <w:highlight w:val="none"/>
        </w:rPr>
        <w:t>进度款支付申请（核准）表</w:t>
      </w:r>
    </w:p>
    <w:p w14:paraId="3A5A43E9">
      <w:pPr>
        <w:spacing w:line="360" w:lineRule="auto"/>
        <w:jc w:val="left"/>
        <w:rPr>
          <w:rFonts w:hint="eastAsia"/>
          <w:color w:val="auto"/>
          <w:highlight w:val="none"/>
        </w:rPr>
      </w:pPr>
      <w:r>
        <w:rPr>
          <w:rFonts w:hint="eastAsia" w:ascii="宋体" w:hAnsi="宋体" w:cs="宋体"/>
          <w:color w:val="auto"/>
          <w:highlight w:val="none"/>
        </w:rPr>
        <w:t>附件12：竣工结算</w:t>
      </w:r>
      <w:r>
        <w:rPr>
          <w:rFonts w:hint="eastAsia"/>
          <w:color w:val="auto"/>
          <w:highlight w:val="none"/>
        </w:rPr>
        <w:t>款支付申请（核准）表</w:t>
      </w:r>
    </w:p>
    <w:p w14:paraId="2402E4D8">
      <w:pPr>
        <w:spacing w:line="360" w:lineRule="auto"/>
        <w:jc w:val="left"/>
        <w:rPr>
          <w:rFonts w:hint="eastAsia"/>
          <w:color w:val="auto"/>
          <w:highlight w:val="none"/>
        </w:rPr>
      </w:pPr>
      <w:r>
        <w:rPr>
          <w:rFonts w:hint="eastAsia" w:ascii="宋体" w:hAnsi="宋体" w:cs="宋体"/>
          <w:color w:val="auto"/>
          <w:highlight w:val="none"/>
        </w:rPr>
        <w:t>附件13：最终结算</w:t>
      </w:r>
      <w:r>
        <w:rPr>
          <w:rFonts w:hint="eastAsia"/>
          <w:color w:val="auto"/>
          <w:highlight w:val="none"/>
        </w:rPr>
        <w:t>款支付申请（核准）表</w:t>
      </w:r>
    </w:p>
    <w:p w14:paraId="074FFC19">
      <w:pPr>
        <w:spacing w:line="360" w:lineRule="auto"/>
        <w:jc w:val="left"/>
        <w:rPr>
          <w:rFonts w:hint="eastAsia"/>
          <w:color w:val="auto"/>
          <w:highlight w:val="none"/>
        </w:rPr>
      </w:pPr>
      <w:r>
        <w:rPr>
          <w:rFonts w:hint="eastAsia"/>
          <w:color w:val="auto"/>
          <w:highlight w:val="none"/>
        </w:rPr>
        <w:t>附件14：总价合同进度款支付分解表</w:t>
      </w:r>
    </w:p>
    <w:p w14:paraId="12368700">
      <w:pPr>
        <w:spacing w:line="360" w:lineRule="auto"/>
        <w:jc w:val="left"/>
        <w:rPr>
          <w:rFonts w:hint="eastAsia"/>
          <w:color w:val="auto"/>
          <w:highlight w:val="none"/>
        </w:rPr>
      </w:pPr>
      <w:r>
        <w:rPr>
          <w:rFonts w:hint="eastAsia"/>
          <w:color w:val="auto"/>
          <w:highlight w:val="none"/>
        </w:rPr>
        <w:t>附件15  安全生产费支付申请（核准）表</w:t>
      </w:r>
    </w:p>
    <w:p w14:paraId="4ECD136F">
      <w:pPr>
        <w:pStyle w:val="27"/>
        <w:rPr>
          <w:rFonts w:hint="eastAsia"/>
          <w:color w:val="auto"/>
          <w:highlight w:val="none"/>
        </w:rPr>
      </w:pPr>
    </w:p>
    <w:p w14:paraId="223C9D67">
      <w:pPr>
        <w:spacing w:line="460" w:lineRule="exact"/>
        <w:ind w:firstLine="420" w:firstLineChars="200"/>
        <w:rPr>
          <w:color w:val="auto"/>
          <w:highlight w:val="none"/>
        </w:rPr>
      </w:pPr>
    </w:p>
    <w:p w14:paraId="34B599D5">
      <w:pPr>
        <w:spacing w:line="460" w:lineRule="exact"/>
        <w:ind w:firstLine="420" w:firstLineChars="200"/>
        <w:rPr>
          <w:color w:val="auto"/>
          <w:highlight w:val="none"/>
        </w:rPr>
      </w:pPr>
    </w:p>
    <w:p w14:paraId="3866A150">
      <w:pPr>
        <w:spacing w:line="460" w:lineRule="exact"/>
        <w:ind w:firstLine="420" w:firstLineChars="200"/>
        <w:rPr>
          <w:color w:val="auto"/>
          <w:highlight w:val="none"/>
        </w:rPr>
        <w:sectPr>
          <w:pgSz w:w="11907" w:h="16840"/>
          <w:pgMar w:top="1440" w:right="1440" w:bottom="1440" w:left="1797" w:header="851" w:footer="851" w:gutter="0"/>
          <w:cols w:space="720" w:num="1"/>
          <w:docGrid w:linePitch="312" w:charSpace="0"/>
        </w:sectPr>
      </w:pPr>
    </w:p>
    <w:p w14:paraId="32B9D69D">
      <w:pPr>
        <w:spacing w:before="120" w:beforeLines="50" w:after="12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r>
        <w:rPr>
          <w:rFonts w:hint="eastAsia" w:eastAsia="黑体" w:cs="黑体"/>
          <w:color w:val="auto"/>
          <w:sz w:val="30"/>
          <w:szCs w:val="30"/>
          <w:highlight w:val="none"/>
        </w:rPr>
        <w:t>承包人承揽工程项目一览表</w:t>
      </w:r>
    </w:p>
    <w:p w14:paraId="4230D02D">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CA1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noWrap w:val="0"/>
            <w:vAlign w:val="center"/>
          </w:tcPr>
          <w:p w14:paraId="6327987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单位工程名称</w:t>
            </w:r>
          </w:p>
        </w:tc>
        <w:tc>
          <w:tcPr>
            <w:tcW w:w="1440" w:type="dxa"/>
            <w:noWrap w:val="0"/>
            <w:vAlign w:val="center"/>
          </w:tcPr>
          <w:p w14:paraId="50F1E27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建设规模</w:t>
            </w:r>
          </w:p>
        </w:tc>
        <w:tc>
          <w:tcPr>
            <w:tcW w:w="1620" w:type="dxa"/>
            <w:noWrap w:val="0"/>
            <w:vAlign w:val="center"/>
          </w:tcPr>
          <w:p w14:paraId="10BF4D3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建筑面积</w:t>
            </w:r>
            <w:r>
              <w:rPr>
                <w:rFonts w:hint="eastAsia" w:ascii="Calibri" w:hAnsi="Calibri" w:eastAsia="仿宋_GB2312" w:cs="仿宋_GB2312"/>
                <w:color w:val="auto"/>
                <w:sz w:val="28"/>
                <w:szCs w:val="28"/>
                <w:highlight w:val="none"/>
                <w:lang w:eastAsia="zh-CN"/>
              </w:rPr>
              <w:t>（</w:t>
            </w:r>
            <w:r>
              <w:rPr>
                <w:rFonts w:hint="eastAsia" w:ascii="Calibri" w:hAnsi="Calibri" w:eastAsia="仿宋_GB2312" w:cs="仿宋_GB2312"/>
                <w:color w:val="auto"/>
                <w:sz w:val="28"/>
                <w:szCs w:val="28"/>
                <w:highlight w:val="none"/>
              </w:rPr>
              <w:t>平方米</w:t>
            </w:r>
            <w:r>
              <w:rPr>
                <w:rFonts w:hint="eastAsia" w:ascii="Calibri" w:hAnsi="Calibri" w:eastAsia="仿宋_GB2312" w:cs="仿宋_GB2312"/>
                <w:color w:val="auto"/>
                <w:sz w:val="28"/>
                <w:szCs w:val="28"/>
                <w:highlight w:val="none"/>
                <w:lang w:eastAsia="zh-CN"/>
              </w:rPr>
              <w:t>）</w:t>
            </w:r>
          </w:p>
        </w:tc>
        <w:tc>
          <w:tcPr>
            <w:tcW w:w="1661" w:type="dxa"/>
            <w:noWrap w:val="0"/>
            <w:vAlign w:val="center"/>
          </w:tcPr>
          <w:p w14:paraId="6A7ACE3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结构形式</w:t>
            </w:r>
          </w:p>
        </w:tc>
        <w:tc>
          <w:tcPr>
            <w:tcW w:w="850" w:type="dxa"/>
            <w:noWrap w:val="0"/>
            <w:vAlign w:val="center"/>
          </w:tcPr>
          <w:p w14:paraId="3DDEB39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层数</w:t>
            </w:r>
          </w:p>
        </w:tc>
        <w:tc>
          <w:tcPr>
            <w:tcW w:w="1560" w:type="dxa"/>
            <w:noWrap w:val="0"/>
            <w:vAlign w:val="center"/>
          </w:tcPr>
          <w:p w14:paraId="250DF7F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2126" w:type="dxa"/>
            <w:noWrap w:val="0"/>
            <w:vAlign w:val="center"/>
          </w:tcPr>
          <w:p w14:paraId="3552F55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设备安装内容</w:t>
            </w:r>
          </w:p>
        </w:tc>
        <w:tc>
          <w:tcPr>
            <w:tcW w:w="1417" w:type="dxa"/>
            <w:noWrap w:val="0"/>
            <w:vAlign w:val="center"/>
          </w:tcPr>
          <w:p w14:paraId="65C0CEC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合同价格（元）</w:t>
            </w:r>
          </w:p>
        </w:tc>
        <w:tc>
          <w:tcPr>
            <w:tcW w:w="851" w:type="dxa"/>
            <w:noWrap w:val="0"/>
            <w:vAlign w:val="center"/>
          </w:tcPr>
          <w:p w14:paraId="3015855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开工日期</w:t>
            </w:r>
          </w:p>
        </w:tc>
        <w:tc>
          <w:tcPr>
            <w:tcW w:w="850" w:type="dxa"/>
            <w:noWrap w:val="0"/>
            <w:vAlign w:val="center"/>
          </w:tcPr>
          <w:p w14:paraId="7679C64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竣工日期</w:t>
            </w:r>
          </w:p>
        </w:tc>
      </w:tr>
      <w:tr w14:paraId="78CF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C57D5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6C14219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2F83C93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1D792BF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29650F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324E2A1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58798FF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51D03F8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2780F7F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64A361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BB6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458FDA2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97A565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059A3C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0B53E1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DE4034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27119EF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4B4E9A0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15938E6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2B29930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9CCF9C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813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E6D923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2BEFF68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6650479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1063B87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9B0FAC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4F2890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71BB6B2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62361B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BE2398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1D242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EF2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4416824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AE51B7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567CB42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C2EC70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1BE54F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619E28C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FF4539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0AC483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68CB70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9B324F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514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2648F90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55783B8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6EE7308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6CE6B38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009580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4BED5AB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541FE7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5EFBC77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CBB9BB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0949BAB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349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0B47691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C8BC3E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02C3E56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1106CD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C20E59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681D23C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BAD6BE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47A93BD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64D7390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D59C58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DAD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63242E2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0F07068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19887BC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100C3B1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ED73AF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2AD9C09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40E8A8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4B52612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2716A7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EEFC81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C0B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4EFDE8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0636E5B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001639C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3A79895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23832B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5C83407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A2E403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664965C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618D892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C5F28E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3E8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2331F03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19159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37E4610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1A48FB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3F31BC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34118AF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0C455DF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1FBA47F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91FBFE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C0EF33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425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229045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A6E3F9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0207D34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744EF4D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B406D2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63F119E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10CCBC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7880160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718739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198151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0BA2600C">
      <w:pPr>
        <w:spacing w:line="460" w:lineRule="exact"/>
        <w:ind w:firstLine="420" w:firstLineChars="200"/>
        <w:rPr>
          <w:color w:val="auto"/>
          <w:highlight w:val="none"/>
        </w:rPr>
      </w:pPr>
    </w:p>
    <w:p w14:paraId="006BEDEA">
      <w:pPr>
        <w:spacing w:line="460" w:lineRule="exact"/>
        <w:ind w:firstLine="420" w:firstLineChars="200"/>
        <w:rPr>
          <w:color w:val="auto"/>
          <w:highlight w:val="none"/>
        </w:rPr>
      </w:pPr>
    </w:p>
    <w:p w14:paraId="31C0460D">
      <w:pPr>
        <w:spacing w:line="460" w:lineRule="exact"/>
        <w:ind w:firstLine="420" w:firstLineChars="200"/>
        <w:rPr>
          <w:color w:val="auto"/>
          <w:highlight w:val="none"/>
        </w:rPr>
        <w:sectPr>
          <w:pgSz w:w="16840" w:h="11907" w:orient="landscape"/>
          <w:pgMar w:top="1440" w:right="1440" w:bottom="1440" w:left="1797" w:header="851" w:footer="851" w:gutter="0"/>
          <w:cols w:space="720" w:num="1"/>
          <w:docGrid w:linePitch="312" w:charSpace="0"/>
        </w:sectPr>
      </w:pPr>
    </w:p>
    <w:p w14:paraId="0790B66D">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r>
        <w:rPr>
          <w:rFonts w:hint="eastAsia"/>
          <w:color w:val="auto"/>
          <w:sz w:val="30"/>
          <w:szCs w:val="30"/>
          <w:highlight w:val="none"/>
          <w:lang w:val="en-US" w:eastAsia="zh-CN"/>
        </w:rPr>
        <w:t>工程质量保修书</w:t>
      </w:r>
    </w:p>
    <w:p w14:paraId="73B6C32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30BEF3A2">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3D055379">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507133EA">
      <w:pPr>
        <w:spacing w:line="440" w:lineRule="exact"/>
        <w:rPr>
          <w:color w:val="auto"/>
          <w:highlight w:val="none"/>
        </w:rPr>
      </w:pPr>
    </w:p>
    <w:p w14:paraId="622F3D53">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382F7200">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5C16FA79">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54F3A591">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BC01B40">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2ED27860">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0A396A82">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53BA54C0">
      <w:pPr>
        <w:spacing w:line="360" w:lineRule="auto"/>
        <w:ind w:firstLine="420"/>
        <w:rPr>
          <w:rFonts w:hAnsi="宋体"/>
          <w:color w:val="auto"/>
          <w:highlight w:val="none"/>
        </w:rPr>
      </w:pPr>
      <w:r>
        <w:rPr>
          <w:color w:val="auto"/>
          <w:highlight w:val="none"/>
        </w:rPr>
        <w:t>1</w:t>
      </w:r>
      <w:r>
        <w:rPr>
          <w:rFonts w:hint="eastAsia" w:hAnsi="宋体" w:cs="宋体"/>
          <w:color w:val="auto"/>
          <w:highlight w:val="none"/>
        </w:rPr>
        <w:t>．地基基础工程和主体结构工程为设计文件规定的工程合理使用年限；</w:t>
      </w:r>
    </w:p>
    <w:p w14:paraId="59149421">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04C5480F">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558E9088">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1BBA3E4A">
      <w:pPr>
        <w:spacing w:line="360" w:lineRule="auto"/>
        <w:ind w:firstLine="420"/>
        <w:rPr>
          <w:rFonts w:hAnsi="宋体"/>
          <w:color w:val="auto"/>
          <w:highlight w:val="none"/>
        </w:rPr>
      </w:pPr>
      <w:r>
        <w:rPr>
          <w:color w:val="auto"/>
          <w:highlight w:val="none"/>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736D6A49">
      <w:pPr>
        <w:spacing w:line="360" w:lineRule="auto"/>
        <w:ind w:firstLine="420"/>
        <w:rPr>
          <w:rFonts w:hAnsi="宋体"/>
          <w:color w:val="auto"/>
          <w:highlight w:val="none"/>
        </w:rPr>
      </w:pPr>
      <w:r>
        <w:rPr>
          <w:color w:val="auto"/>
          <w:highlight w:val="none"/>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7685626D">
      <w:pPr>
        <w:spacing w:line="360" w:lineRule="auto"/>
        <w:ind w:firstLine="420"/>
        <w:rPr>
          <w:rFonts w:hAnsi="宋体"/>
          <w:color w:val="auto"/>
          <w:highlight w:val="none"/>
        </w:rPr>
      </w:pPr>
      <w:r>
        <w:rPr>
          <w:color w:val="auto"/>
          <w:highlight w:val="none"/>
        </w:rPr>
        <w:t>7</w:t>
      </w:r>
      <w:r>
        <w:rPr>
          <w:rFonts w:hint="eastAsia" w:hAnsi="宋体" w:cs="宋体"/>
          <w:color w:val="auto"/>
          <w:highlight w:val="none"/>
        </w:rPr>
        <w:t>．其他项目保修期限约定如下：</w:t>
      </w:r>
    </w:p>
    <w:p w14:paraId="352953C5">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5576682A">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40D102AC">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7A4AF235">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1B3D5F4F">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4E93DFC">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2E60F8B1">
      <w:pPr>
        <w:spacing w:line="360" w:lineRule="auto"/>
        <w:ind w:left="105" w:leftChars="50" w:firstLine="430" w:firstLineChars="205"/>
        <w:rPr>
          <w:rFonts w:hAnsi="宋体"/>
          <w:color w:val="auto"/>
          <w:highlight w:val="none"/>
        </w:rPr>
      </w:pPr>
      <w:r>
        <w:rPr>
          <w:color w:val="auto"/>
          <w:highlight w:val="none"/>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5900FFFF">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14:paraId="1E3EE979">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2EB27F3">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．质量保修完成后，由发包人组织验收。</w:t>
      </w:r>
    </w:p>
    <w:p w14:paraId="584A4D9B">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031572A6">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7FFC4296">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6A2E863C">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7C58E1C0">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795D543F">
      <w:pPr>
        <w:spacing w:line="360" w:lineRule="auto"/>
        <w:ind w:firstLine="420"/>
        <w:rPr>
          <w:color w:val="auto"/>
          <w:highlight w:val="none"/>
        </w:rPr>
      </w:pPr>
    </w:p>
    <w:p w14:paraId="53DE04D6">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62AF76A5">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075E0935">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D349B8F">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158E80E">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470C979">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2C6F4FEA">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5A738C4">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D53021B">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BA87BBA">
      <w:pPr>
        <w:spacing w:before="120" w:beforeLines="50" w:after="120" w:afterLines="50" w:line="440" w:lineRule="exact"/>
        <w:jc w:val="center"/>
        <w:rPr>
          <w:rFonts w:ascii="黑体" w:hAnsi="宋体" w:eastAsia="黑体"/>
          <w:color w:val="auto"/>
          <w:sz w:val="32"/>
          <w:szCs w:val="32"/>
          <w:highlight w:val="none"/>
        </w:rPr>
      </w:pPr>
    </w:p>
    <w:p w14:paraId="471D0155">
      <w:pPr>
        <w:spacing w:before="120" w:beforeLines="50" w:after="120" w:afterLines="50" w:line="440" w:lineRule="exact"/>
        <w:jc w:val="center"/>
        <w:rPr>
          <w:rFonts w:ascii="黑体" w:hAnsi="宋体" w:eastAsia="黑体"/>
          <w:color w:val="auto"/>
          <w:sz w:val="32"/>
          <w:szCs w:val="32"/>
          <w:highlight w:val="none"/>
        </w:rPr>
      </w:pPr>
    </w:p>
    <w:p w14:paraId="6EE4B0B2">
      <w:pPr>
        <w:spacing w:before="120" w:beforeLines="50" w:after="120" w:afterLines="50" w:line="440" w:lineRule="exact"/>
        <w:jc w:val="center"/>
        <w:rPr>
          <w:rFonts w:ascii="黑体" w:hAnsi="宋体" w:eastAsia="黑体"/>
          <w:color w:val="auto"/>
          <w:sz w:val="32"/>
          <w:szCs w:val="32"/>
          <w:highlight w:val="none"/>
        </w:rPr>
      </w:pPr>
    </w:p>
    <w:p w14:paraId="49ACA211">
      <w:pPr>
        <w:spacing w:before="120" w:beforeLines="50" w:after="120" w:afterLines="50" w:line="440" w:lineRule="exact"/>
        <w:jc w:val="center"/>
        <w:rPr>
          <w:rFonts w:ascii="黑体" w:hAnsi="宋体" w:eastAsia="黑体"/>
          <w:color w:val="auto"/>
          <w:sz w:val="32"/>
          <w:szCs w:val="32"/>
          <w:highlight w:val="none"/>
        </w:rPr>
      </w:pPr>
    </w:p>
    <w:p w14:paraId="2396BF17">
      <w:pPr>
        <w:spacing w:before="120" w:beforeLines="50" w:after="120" w:afterLines="50" w:line="440" w:lineRule="exact"/>
        <w:jc w:val="center"/>
        <w:rPr>
          <w:rFonts w:ascii="黑体" w:hAnsi="宋体" w:eastAsia="黑体"/>
          <w:color w:val="auto"/>
          <w:sz w:val="32"/>
          <w:szCs w:val="32"/>
          <w:highlight w:val="none"/>
        </w:rPr>
      </w:pPr>
    </w:p>
    <w:p w14:paraId="635F264B">
      <w:pPr>
        <w:spacing w:before="120" w:beforeLines="50" w:after="120" w:afterLines="50" w:line="440" w:lineRule="exact"/>
        <w:jc w:val="center"/>
        <w:rPr>
          <w:rFonts w:ascii="黑体" w:hAnsi="宋体" w:eastAsia="黑体"/>
          <w:color w:val="auto"/>
          <w:sz w:val="32"/>
          <w:szCs w:val="32"/>
          <w:highlight w:val="none"/>
        </w:rPr>
      </w:pPr>
    </w:p>
    <w:p w14:paraId="351CCAB8">
      <w:pPr>
        <w:spacing w:before="120" w:beforeLines="50" w:after="120" w:afterLines="50" w:line="440" w:lineRule="exact"/>
        <w:jc w:val="center"/>
        <w:rPr>
          <w:rFonts w:ascii="黑体" w:hAnsi="宋体" w:eastAsia="黑体"/>
          <w:color w:val="auto"/>
          <w:sz w:val="32"/>
          <w:szCs w:val="32"/>
          <w:highlight w:val="none"/>
        </w:rPr>
      </w:pPr>
    </w:p>
    <w:p w14:paraId="6D8B101A">
      <w:pPr>
        <w:spacing w:before="120" w:beforeLines="50" w:after="120" w:afterLines="50" w:line="440" w:lineRule="exact"/>
        <w:jc w:val="center"/>
        <w:rPr>
          <w:rFonts w:ascii="黑体" w:hAnsi="宋体" w:eastAsia="黑体"/>
          <w:color w:val="auto"/>
          <w:sz w:val="32"/>
          <w:szCs w:val="32"/>
          <w:highlight w:val="none"/>
        </w:rPr>
      </w:pPr>
    </w:p>
    <w:p w14:paraId="6CF4D45F">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工程质量保修书（市政公用工程）</w:t>
      </w:r>
    </w:p>
    <w:p w14:paraId="5F5F9A61">
      <w:pPr>
        <w:spacing w:line="360" w:lineRule="auto"/>
        <w:ind w:firstLine="420" w:firstLineChars="200"/>
        <w:rPr>
          <w:rFonts w:ascii="宋体"/>
          <w:color w:val="auto"/>
          <w:highlight w:val="none"/>
        </w:rPr>
      </w:pPr>
      <w:r>
        <w:rPr>
          <w:rFonts w:hint="eastAsia" w:ascii="宋体" w:hAnsi="宋体" w:cs="宋体"/>
          <w:color w:val="auto"/>
          <w:highlight w:val="none"/>
        </w:rPr>
        <w:t>发包人（全称）：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313C6788">
      <w:pPr>
        <w:spacing w:line="360" w:lineRule="auto"/>
        <w:ind w:firstLine="420" w:firstLineChars="200"/>
        <w:rPr>
          <w:rFonts w:ascii="宋体"/>
          <w:color w:val="auto"/>
          <w:highlight w:val="none"/>
        </w:rPr>
      </w:pPr>
      <w:r>
        <w:rPr>
          <w:rFonts w:hint="eastAsia" w:ascii="宋体" w:hAnsi="宋体" w:cs="宋体"/>
          <w:color w:val="auto"/>
          <w:highlight w:val="none"/>
        </w:rPr>
        <w:t>承包人（全称）：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6D16DBAA">
      <w:pPr>
        <w:spacing w:line="360" w:lineRule="auto"/>
        <w:rPr>
          <w:rFonts w:ascii="宋体"/>
          <w:color w:val="auto"/>
          <w:highlight w:val="none"/>
        </w:rPr>
      </w:pPr>
    </w:p>
    <w:p w14:paraId="5C97CD5E">
      <w:pPr>
        <w:spacing w:line="360" w:lineRule="auto"/>
        <w:ind w:firstLine="420"/>
        <w:rPr>
          <w:rFonts w:ascii="宋体"/>
          <w:color w:val="auto"/>
          <w:highlight w:val="none"/>
        </w:rPr>
      </w:pPr>
      <w:r>
        <w:rPr>
          <w:rFonts w:hint="eastAsia" w:ascii="宋体" w:hAnsi="宋体" w:cs="宋体"/>
          <w:color w:val="auto"/>
          <w:highlight w:val="none"/>
        </w:rPr>
        <w:t>发包人和承包人根据《中华人民共和国建筑法》和《建设工程质量管理条例》，经协商一致就</w:t>
      </w:r>
      <w:r>
        <w:rPr>
          <w:rFonts w:ascii="宋体" w:hAnsi="宋体" w:cs="宋体"/>
          <w:color w:val="auto"/>
          <w:highlight w:val="none"/>
          <w:u w:val="single"/>
        </w:rPr>
        <w:t xml:space="preserve">                                     </w:t>
      </w:r>
      <w:r>
        <w:rPr>
          <w:rFonts w:hint="eastAsia" w:ascii="宋体" w:hAnsi="宋体" w:cs="宋体"/>
          <w:color w:val="auto"/>
          <w:highlight w:val="none"/>
        </w:rPr>
        <w:t>（工程全称）签订工程质量保修书。</w:t>
      </w:r>
    </w:p>
    <w:p w14:paraId="39F911D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1410601F">
      <w:pPr>
        <w:spacing w:line="360" w:lineRule="auto"/>
        <w:ind w:firstLine="420" w:firstLineChars="200"/>
        <w:rPr>
          <w:rFonts w:ascii="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6B1BD49E">
      <w:pPr>
        <w:spacing w:line="360" w:lineRule="auto"/>
        <w:ind w:firstLine="420" w:firstLineChars="200"/>
        <w:rPr>
          <w:rFonts w:ascii="宋体"/>
          <w:color w:val="auto"/>
          <w:highlight w:val="none"/>
        </w:rPr>
      </w:pPr>
      <w:r>
        <w:rPr>
          <w:rFonts w:hint="eastAsia" w:ascii="宋体" w:hAnsi="宋体" w:cs="宋体"/>
          <w:color w:val="auto"/>
          <w:highlight w:val="none"/>
        </w:rPr>
        <w:t>质量保修范围包括</w:t>
      </w:r>
      <w:r>
        <w:rPr>
          <w:rFonts w:ascii="宋体" w:hAnsi="宋体" w:cs="宋体"/>
          <w:color w:val="auto"/>
          <w:highlight w:val="none"/>
          <w:u w:val="single"/>
        </w:rPr>
        <w:t xml:space="preserve">                                </w:t>
      </w:r>
      <w:r>
        <w:rPr>
          <w:rFonts w:hint="eastAsia" w:ascii="宋体" w:hAnsi="宋体" w:cs="宋体"/>
          <w:color w:val="auto"/>
          <w:highlight w:val="none"/>
        </w:rPr>
        <w:t>，以及双方约定的其他项目。具体保修的内容，双方约定如下：</w:t>
      </w:r>
    </w:p>
    <w:p w14:paraId="5271D383">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218751B7">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二、质量保修期</w:t>
      </w:r>
    </w:p>
    <w:p w14:paraId="0A5443EE">
      <w:pPr>
        <w:spacing w:line="360" w:lineRule="auto"/>
        <w:ind w:firstLine="420" w:firstLineChars="200"/>
        <w:rPr>
          <w:rFonts w:ascii="宋体"/>
          <w:color w:val="auto"/>
          <w:highlight w:val="none"/>
        </w:rPr>
      </w:pPr>
      <w:r>
        <w:rPr>
          <w:rFonts w:hint="eastAsia" w:ascii="宋体" w:hAnsi="宋体" w:cs="宋体"/>
          <w:color w:val="auto"/>
          <w:highlight w:val="none"/>
        </w:rPr>
        <w:t>根据《建设工程质量管理条例》及有关规定，工程的质量保修期如下：</w:t>
      </w:r>
    </w:p>
    <w:p w14:paraId="43080B2D">
      <w:pPr>
        <w:spacing w:line="360" w:lineRule="auto"/>
        <w:ind w:firstLine="426"/>
        <w:rPr>
          <w:color w:val="auto"/>
          <w:highlight w:val="none"/>
        </w:rPr>
      </w:pPr>
      <w:r>
        <w:rPr>
          <w:rFonts w:ascii="宋体" w:hAnsi="宋体" w:cs="宋体"/>
          <w:color w:val="auto"/>
          <w:highlight w:val="none"/>
        </w:rPr>
        <w:t>1</w:t>
      </w:r>
      <w:r>
        <w:rPr>
          <w:rFonts w:hint="eastAsia" w:ascii="宋体" w:hAnsi="宋体" w:cs="宋体"/>
          <w:color w:val="auto"/>
          <w:highlight w:val="none"/>
        </w:rPr>
        <w:t>．</w:t>
      </w:r>
      <w:r>
        <w:rPr>
          <w:rFonts w:hint="eastAsia" w:cs="宋体"/>
          <w:color w:val="auto"/>
          <w:highlight w:val="none"/>
        </w:rPr>
        <w:t>桥梁工程为</w:t>
      </w:r>
      <w:r>
        <w:rPr>
          <w:color w:val="auto"/>
          <w:highlight w:val="none"/>
          <w:u w:val="single"/>
        </w:rPr>
        <w:t xml:space="preserve">     </w:t>
      </w:r>
      <w:r>
        <w:rPr>
          <w:rFonts w:hint="eastAsia" w:cs="宋体"/>
          <w:color w:val="auto"/>
          <w:highlight w:val="none"/>
        </w:rPr>
        <w:t>年（建议桥梁隧道主体结构工程为设计文件规定的合理使用年限）；</w:t>
      </w:r>
    </w:p>
    <w:p w14:paraId="663B521B">
      <w:pPr>
        <w:spacing w:line="360" w:lineRule="auto"/>
        <w:ind w:firstLine="426"/>
        <w:rPr>
          <w:color w:val="auto"/>
          <w:highlight w:val="none"/>
        </w:rPr>
      </w:pPr>
      <w:r>
        <w:rPr>
          <w:color w:val="auto"/>
          <w:highlight w:val="none"/>
        </w:rPr>
        <w:t>2</w:t>
      </w:r>
      <w:r>
        <w:rPr>
          <w:rFonts w:hint="eastAsia" w:ascii="宋体" w:hAnsi="宋体" w:cs="宋体"/>
          <w:color w:val="auto"/>
          <w:highlight w:val="none"/>
        </w:rPr>
        <w:t>．</w:t>
      </w:r>
      <w:r>
        <w:rPr>
          <w:rFonts w:hint="eastAsia" w:cs="宋体"/>
          <w:color w:val="auto"/>
          <w:highlight w:val="none"/>
        </w:rPr>
        <w:t>道路工程为</w:t>
      </w:r>
      <w:r>
        <w:rPr>
          <w:color w:val="auto"/>
          <w:highlight w:val="none"/>
          <w:u w:val="single"/>
        </w:rPr>
        <w:t xml:space="preserve">     </w:t>
      </w:r>
      <w:r>
        <w:rPr>
          <w:rFonts w:hint="eastAsia" w:cs="宋体"/>
          <w:color w:val="auto"/>
          <w:highlight w:val="none"/>
        </w:rPr>
        <w:t>年（建议路基、路面、桥面为</w:t>
      </w:r>
      <w:r>
        <w:rPr>
          <w:color w:val="auto"/>
          <w:highlight w:val="none"/>
        </w:rPr>
        <w:t>2</w:t>
      </w:r>
      <w:r>
        <w:rPr>
          <w:rFonts w:hint="eastAsia" w:cs="宋体"/>
          <w:color w:val="auto"/>
          <w:highlight w:val="none"/>
        </w:rPr>
        <w:t>年）；</w:t>
      </w:r>
    </w:p>
    <w:p w14:paraId="14377D92">
      <w:pPr>
        <w:spacing w:line="360" w:lineRule="auto"/>
        <w:ind w:firstLine="426"/>
        <w:rPr>
          <w:color w:val="auto"/>
          <w:highlight w:val="none"/>
        </w:rPr>
      </w:pPr>
      <w:r>
        <w:rPr>
          <w:color w:val="auto"/>
          <w:highlight w:val="none"/>
        </w:rPr>
        <w:t>3</w:t>
      </w:r>
      <w:r>
        <w:rPr>
          <w:rFonts w:hint="eastAsia" w:ascii="宋体" w:hAnsi="宋体" w:cs="宋体"/>
          <w:color w:val="auto"/>
          <w:highlight w:val="none"/>
        </w:rPr>
        <w:t>．</w:t>
      </w:r>
      <w:r>
        <w:rPr>
          <w:rFonts w:hint="eastAsia" w:cs="宋体"/>
          <w:color w:val="auto"/>
          <w:highlight w:val="none"/>
        </w:rPr>
        <w:t>排水（雨水）工程为</w:t>
      </w:r>
      <w:r>
        <w:rPr>
          <w:color w:val="auto"/>
          <w:highlight w:val="none"/>
          <w:u w:val="single"/>
        </w:rPr>
        <w:t xml:space="preserve">     </w:t>
      </w:r>
      <w:r>
        <w:rPr>
          <w:rFonts w:hint="eastAsia" w:cs="宋体"/>
          <w:color w:val="auto"/>
          <w:highlight w:val="none"/>
        </w:rPr>
        <w:t>年（建议道路工程中的排水工程为</w:t>
      </w:r>
      <w:r>
        <w:rPr>
          <w:color w:val="auto"/>
          <w:highlight w:val="none"/>
        </w:rPr>
        <w:t>3</w:t>
      </w:r>
      <w:r>
        <w:rPr>
          <w:rFonts w:hint="eastAsia" w:cs="宋体"/>
          <w:color w:val="auto"/>
          <w:highlight w:val="none"/>
        </w:rPr>
        <w:t>年）；</w:t>
      </w:r>
    </w:p>
    <w:p w14:paraId="5AA80FD5">
      <w:pPr>
        <w:spacing w:line="360" w:lineRule="auto"/>
        <w:ind w:firstLine="426"/>
        <w:rPr>
          <w:color w:val="auto"/>
          <w:highlight w:val="none"/>
        </w:rPr>
      </w:pPr>
      <w:r>
        <w:rPr>
          <w:color w:val="auto"/>
          <w:highlight w:val="none"/>
        </w:rPr>
        <w:t>4</w:t>
      </w:r>
      <w:r>
        <w:rPr>
          <w:rFonts w:hint="eastAsia" w:ascii="宋体" w:hAnsi="宋体" w:cs="宋体"/>
          <w:color w:val="auto"/>
          <w:highlight w:val="none"/>
        </w:rPr>
        <w:t>．</w:t>
      </w:r>
      <w:r>
        <w:rPr>
          <w:rFonts w:hint="eastAsia" w:cs="宋体"/>
          <w:color w:val="auto"/>
          <w:highlight w:val="none"/>
        </w:rPr>
        <w:t>绿化工程为</w:t>
      </w:r>
      <w:r>
        <w:rPr>
          <w:color w:val="auto"/>
          <w:highlight w:val="none"/>
        </w:rPr>
        <w:t xml:space="preserve"> </w:t>
      </w:r>
      <w:r>
        <w:rPr>
          <w:rFonts w:hint="eastAsia" w:cs="宋体"/>
          <w:color w:val="auto"/>
          <w:highlight w:val="none"/>
          <w:u w:val="single"/>
        </w:rPr>
        <w:t>单位工程竣工验收合格后</w:t>
      </w:r>
      <w:r>
        <w:rPr>
          <w:color w:val="auto"/>
          <w:highlight w:val="none"/>
          <w:u w:val="single"/>
        </w:rPr>
        <w:t xml:space="preserve">    </w:t>
      </w:r>
      <w:r>
        <w:rPr>
          <w:rFonts w:hint="eastAsia" w:cs="宋体"/>
          <w:color w:val="auto"/>
          <w:highlight w:val="none"/>
          <w:u w:val="single"/>
        </w:rPr>
        <w:t>年</w:t>
      </w:r>
      <w:r>
        <w:rPr>
          <w:rFonts w:hint="eastAsia" w:cs="宋体"/>
          <w:color w:val="auto"/>
          <w:highlight w:val="none"/>
        </w:rPr>
        <w:t>；</w:t>
      </w:r>
    </w:p>
    <w:p w14:paraId="6619FE7A">
      <w:pPr>
        <w:spacing w:line="360" w:lineRule="auto"/>
        <w:ind w:firstLine="426"/>
        <w:rPr>
          <w:color w:val="auto"/>
          <w:highlight w:val="none"/>
        </w:rPr>
      </w:pPr>
      <w:r>
        <w:rPr>
          <w:color w:val="auto"/>
          <w:highlight w:val="none"/>
        </w:rPr>
        <w:t xml:space="preserve">5.  </w:t>
      </w:r>
      <w:r>
        <w:rPr>
          <w:rFonts w:hint="eastAsia" w:cs="宋体"/>
          <w:color w:val="auto"/>
          <w:highlight w:val="none"/>
        </w:rPr>
        <w:t>地下防水工程为</w:t>
      </w:r>
      <w:r>
        <w:rPr>
          <w:color w:val="auto"/>
          <w:highlight w:val="none"/>
          <w:u w:val="single"/>
        </w:rPr>
        <w:t xml:space="preserve">     </w:t>
      </w:r>
      <w:r>
        <w:rPr>
          <w:rFonts w:hint="eastAsia" w:cs="宋体"/>
          <w:color w:val="auto"/>
          <w:highlight w:val="none"/>
        </w:rPr>
        <w:t>年（建议为</w:t>
      </w:r>
      <w:r>
        <w:rPr>
          <w:color w:val="auto"/>
          <w:highlight w:val="none"/>
        </w:rPr>
        <w:t>5</w:t>
      </w:r>
      <w:r>
        <w:rPr>
          <w:rFonts w:hint="eastAsia" w:cs="宋体"/>
          <w:color w:val="auto"/>
          <w:highlight w:val="none"/>
        </w:rPr>
        <w:t>年）；</w:t>
      </w:r>
    </w:p>
    <w:p w14:paraId="0947A256">
      <w:pPr>
        <w:spacing w:line="360" w:lineRule="auto"/>
        <w:ind w:firstLine="426"/>
        <w:rPr>
          <w:color w:val="auto"/>
          <w:highlight w:val="none"/>
        </w:rPr>
      </w:pPr>
      <w:r>
        <w:rPr>
          <w:color w:val="auto"/>
          <w:highlight w:val="none"/>
        </w:rPr>
        <w:t>6</w:t>
      </w:r>
      <w:r>
        <w:rPr>
          <w:rFonts w:hint="eastAsia" w:ascii="宋体" w:hAnsi="宋体" w:cs="宋体"/>
          <w:color w:val="auto"/>
          <w:highlight w:val="none"/>
        </w:rPr>
        <w:t>．</w:t>
      </w:r>
      <w:r>
        <w:rPr>
          <w:rFonts w:hint="eastAsia" w:cs="宋体"/>
          <w:color w:val="auto"/>
          <w:highlight w:val="none"/>
        </w:rPr>
        <w:t>其他附属工程为</w:t>
      </w:r>
      <w:r>
        <w:rPr>
          <w:color w:val="auto"/>
          <w:highlight w:val="none"/>
          <w:u w:val="single"/>
        </w:rPr>
        <w:t xml:space="preserve">      </w:t>
      </w:r>
      <w:r>
        <w:rPr>
          <w:rFonts w:hint="eastAsia" w:cs="宋体"/>
          <w:color w:val="auto"/>
          <w:highlight w:val="none"/>
        </w:rPr>
        <w:t>年；</w:t>
      </w:r>
    </w:p>
    <w:p w14:paraId="39003E1C">
      <w:pPr>
        <w:spacing w:line="360" w:lineRule="auto"/>
        <w:ind w:firstLine="420" w:firstLineChars="200"/>
        <w:rPr>
          <w:rFonts w:ascii="宋体"/>
          <w:color w:val="auto"/>
          <w:highlight w:val="none"/>
        </w:rPr>
      </w:pPr>
      <w:r>
        <w:rPr>
          <w:rFonts w:ascii="宋体" w:hAnsi="宋体" w:cs="宋体"/>
          <w:color w:val="auto"/>
          <w:highlight w:val="none"/>
        </w:rPr>
        <w:t>7</w:t>
      </w:r>
      <w:r>
        <w:rPr>
          <w:rFonts w:hint="eastAsia" w:ascii="宋体" w:hAnsi="宋体" w:cs="宋体"/>
          <w:color w:val="auto"/>
          <w:highlight w:val="none"/>
        </w:rPr>
        <w:t>．其他项目保修期限约定如下：</w:t>
      </w:r>
    </w:p>
    <w:p w14:paraId="525BAD7D">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10491876">
      <w:pPr>
        <w:spacing w:line="360" w:lineRule="auto"/>
        <w:ind w:firstLine="420" w:firstLineChars="200"/>
        <w:rPr>
          <w:rFonts w:ascii="宋体"/>
          <w:color w:val="auto"/>
          <w:highlight w:val="none"/>
        </w:rPr>
      </w:pPr>
      <w:r>
        <w:rPr>
          <w:rFonts w:hint="eastAsia" w:ascii="宋体" w:hAnsi="宋体" w:cs="宋体"/>
          <w:color w:val="auto"/>
          <w:highlight w:val="none"/>
        </w:rPr>
        <w:t>质量保修期自工程竣工验收合格之日起计算。</w:t>
      </w:r>
    </w:p>
    <w:p w14:paraId="44BCDE4C">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三、缺陷责任期</w:t>
      </w:r>
    </w:p>
    <w:p w14:paraId="77D912C1">
      <w:pPr>
        <w:spacing w:line="360" w:lineRule="auto"/>
        <w:ind w:firstLine="420" w:firstLineChars="200"/>
        <w:rPr>
          <w:rFonts w:ascii="宋体"/>
          <w:color w:val="auto"/>
          <w:highlight w:val="none"/>
        </w:rPr>
      </w:pPr>
      <w:r>
        <w:rPr>
          <w:rFonts w:hint="eastAsia" w:ascii="宋体" w:hAnsi="宋体" w:cs="宋体"/>
          <w:color w:val="auto"/>
          <w:highlight w:val="none"/>
        </w:rPr>
        <w:t>工程缺陷责任期为</w:t>
      </w:r>
      <w:r>
        <w:rPr>
          <w:rFonts w:ascii="宋体" w:hAnsi="宋体" w:cs="宋体"/>
          <w:color w:val="auto"/>
          <w:highlight w:val="none"/>
          <w:u w:val="single"/>
        </w:rPr>
        <w:t xml:space="preserve">         </w:t>
      </w:r>
      <w:r>
        <w:rPr>
          <w:rFonts w:hint="eastAsia" w:ascii="宋体" w:hAnsi="宋体" w:cs="宋体"/>
          <w:color w:val="auto"/>
          <w:highlight w:val="none"/>
        </w:rPr>
        <w:t>个月</w:t>
      </w:r>
      <w:r>
        <w:rPr>
          <w:rFonts w:hint="eastAsia" w:hAnsi="宋体" w:cs="宋体"/>
          <w:color w:val="auto"/>
          <w:highlight w:val="none"/>
        </w:rPr>
        <w:t>（最长不超过</w:t>
      </w:r>
      <w:r>
        <w:rPr>
          <w:rFonts w:hAnsi="宋体"/>
          <w:color w:val="auto"/>
          <w:highlight w:val="none"/>
        </w:rPr>
        <w:t>24</w:t>
      </w:r>
      <w:r>
        <w:rPr>
          <w:rFonts w:hint="eastAsia" w:hAnsi="宋体" w:cs="宋体"/>
          <w:color w:val="auto"/>
          <w:highlight w:val="none"/>
        </w:rPr>
        <w:t>个月）</w:t>
      </w:r>
      <w:r>
        <w:rPr>
          <w:rFonts w:hint="eastAsia" w:ascii="宋体" w:hAnsi="宋体" w:cs="宋体"/>
          <w:color w:val="auto"/>
          <w:highlight w:val="none"/>
        </w:rPr>
        <w:t>，缺陷责任期自工程竣工验收合格之日起计算。单位工程先于全部工程进行验收，单位工程缺陷责任期自单位工程验收合格之日起算。</w:t>
      </w:r>
    </w:p>
    <w:p w14:paraId="55398EB1">
      <w:pPr>
        <w:spacing w:line="360" w:lineRule="auto"/>
        <w:ind w:firstLine="420" w:firstLineChars="200"/>
        <w:rPr>
          <w:rFonts w:ascii="宋体"/>
          <w:color w:val="auto"/>
          <w:highlight w:val="none"/>
        </w:rPr>
      </w:pPr>
      <w:r>
        <w:rPr>
          <w:rFonts w:hint="eastAsia" w:ascii="宋体"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ascii="宋体" w:hAnsi="宋体" w:cs="宋体"/>
          <w:color w:val="auto"/>
          <w:highlight w:val="none"/>
        </w:rPr>
        <w:t>发包人应退还剩余的质量保证金。</w:t>
      </w:r>
    </w:p>
    <w:p w14:paraId="70B02C43">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四、质量保修责任</w:t>
      </w:r>
    </w:p>
    <w:p w14:paraId="0DD0022D">
      <w:pPr>
        <w:spacing w:line="360" w:lineRule="auto"/>
        <w:ind w:firstLine="420" w:firstLineChars="200"/>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．属于保修范围、内容的项目，承包人应当在接到保修通知之日起</w:t>
      </w:r>
      <w:r>
        <w:rPr>
          <w:rFonts w:ascii="宋体" w:hAnsi="宋体" w:cs="宋体"/>
          <w:color w:val="auto"/>
          <w:highlight w:val="none"/>
          <w:u w:val="single"/>
        </w:rPr>
        <w:t xml:space="preserve">      </w:t>
      </w:r>
      <w:r>
        <w:rPr>
          <w:rFonts w:hint="eastAsia" w:ascii="宋体" w:hAnsi="宋体" w:cs="宋体"/>
          <w:color w:val="auto"/>
          <w:highlight w:val="none"/>
        </w:rPr>
        <w:t>天内派人保修。承包人不在约定期限内派人保修的，发包人可以委托他人修理</w:t>
      </w:r>
      <w:r>
        <w:rPr>
          <w:rFonts w:hint="eastAsia" w:hAnsi="宋体" w:cs="宋体"/>
          <w:color w:val="auto"/>
          <w:highlight w:val="none"/>
        </w:rPr>
        <w:t>，修理费用从质量保证金内扣除。</w:t>
      </w:r>
    </w:p>
    <w:p w14:paraId="6B374E13">
      <w:pPr>
        <w:spacing w:line="360" w:lineRule="auto"/>
        <w:ind w:firstLine="420" w:firstLineChars="200"/>
        <w:rPr>
          <w:rFonts w:ascii="宋体"/>
          <w:color w:val="auto"/>
          <w:highlight w:val="none"/>
        </w:rPr>
      </w:pPr>
      <w:r>
        <w:rPr>
          <w:rFonts w:ascii="宋体" w:hAnsi="宋体" w:cs="宋体"/>
          <w:color w:val="auto"/>
          <w:highlight w:val="none"/>
        </w:rPr>
        <w:t>2</w:t>
      </w:r>
      <w:r>
        <w:rPr>
          <w:rFonts w:hint="eastAsia" w:ascii="宋体" w:hAnsi="宋体" w:cs="宋体"/>
          <w:color w:val="auto"/>
          <w:highlight w:val="none"/>
        </w:rPr>
        <w:t>．发生紧急事故需抢修的，承包人在接到事故通知后，应当立即到达事故现场抢修。</w:t>
      </w:r>
    </w:p>
    <w:p w14:paraId="6F8F887F">
      <w:pPr>
        <w:spacing w:line="360" w:lineRule="auto"/>
        <w:ind w:firstLine="420" w:firstLineChars="200"/>
        <w:rPr>
          <w:rFonts w:ascii="宋体"/>
          <w:color w:val="auto"/>
          <w:highlight w:val="none"/>
        </w:rPr>
      </w:pPr>
      <w:r>
        <w:rPr>
          <w:rFonts w:ascii="宋体" w:hAnsi="宋体" w:cs="宋体"/>
          <w:color w:val="auto"/>
          <w:highlight w:val="none"/>
        </w:rPr>
        <w:t>3</w:t>
      </w:r>
      <w:r>
        <w:rPr>
          <w:rFonts w:hint="eastAsia" w:ascii="宋体"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BE3168F">
      <w:pPr>
        <w:spacing w:line="360" w:lineRule="auto"/>
        <w:ind w:firstLine="420" w:firstLineChars="200"/>
        <w:rPr>
          <w:rFonts w:ascii="宋体"/>
          <w:color w:val="auto"/>
          <w:highlight w:val="none"/>
        </w:rPr>
      </w:pPr>
      <w:r>
        <w:rPr>
          <w:rFonts w:ascii="宋体" w:hAnsi="宋体" w:cs="宋体"/>
          <w:color w:val="auto"/>
          <w:highlight w:val="none"/>
        </w:rPr>
        <w:t>4</w:t>
      </w:r>
      <w:r>
        <w:rPr>
          <w:rFonts w:hint="eastAsia" w:ascii="宋体" w:hAnsi="宋体" w:cs="宋体"/>
          <w:color w:val="auto"/>
          <w:highlight w:val="none"/>
        </w:rPr>
        <w:t>．质量保修完成后，由发包人组织验收。</w:t>
      </w:r>
    </w:p>
    <w:p w14:paraId="09E46A27">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五、保修费用</w:t>
      </w:r>
    </w:p>
    <w:p w14:paraId="2BE8C2F0">
      <w:pPr>
        <w:spacing w:line="360" w:lineRule="auto"/>
        <w:ind w:firstLine="420" w:firstLineChars="200"/>
        <w:rPr>
          <w:rFonts w:ascii="宋体"/>
          <w:color w:val="auto"/>
          <w:highlight w:val="none"/>
        </w:rPr>
      </w:pPr>
      <w:r>
        <w:rPr>
          <w:rFonts w:hint="eastAsia" w:ascii="宋体" w:hAnsi="宋体" w:cs="宋体"/>
          <w:color w:val="auto"/>
          <w:highlight w:val="none"/>
        </w:rPr>
        <w:t>保修费用由造成质量缺陷的责任方承担。</w:t>
      </w:r>
    </w:p>
    <w:p w14:paraId="7844C65C">
      <w:pPr>
        <w:spacing w:line="360" w:lineRule="auto"/>
        <w:ind w:firstLine="420" w:firstLineChars="200"/>
        <w:rPr>
          <w:rFonts w:ascii="黑体" w:hAnsi="宋体" w:eastAsia="黑体" w:cs="黑体"/>
          <w:color w:val="auto"/>
          <w:highlight w:val="none"/>
          <w:u w:val="singl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u w:val="single"/>
        </w:rPr>
        <w:t xml:space="preserve">                                          </w:t>
      </w:r>
    </w:p>
    <w:p w14:paraId="4EF3B779">
      <w:pPr>
        <w:spacing w:line="360" w:lineRule="auto"/>
        <w:jc w:val="left"/>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0F98AFAF">
      <w:pPr>
        <w:spacing w:line="360" w:lineRule="auto"/>
        <w:ind w:firstLine="399" w:firstLineChars="190"/>
        <w:rPr>
          <w:rFonts w:ascii="宋体"/>
          <w:color w:val="auto"/>
          <w:highlight w:val="none"/>
        </w:rPr>
      </w:pPr>
      <w:r>
        <w:rPr>
          <w:rFonts w:hint="eastAsia" w:ascii="宋体" w:hAnsi="宋体" w:cs="宋体"/>
          <w:color w:val="auto"/>
          <w:highlight w:val="none"/>
        </w:rPr>
        <w:t>工程质量保修书由发包人、承包人在工程竣工验收前共同签署，作为施工合同附件，其有效期限至保修期满。</w:t>
      </w:r>
    </w:p>
    <w:p w14:paraId="3F181DF9">
      <w:pPr>
        <w:spacing w:line="360" w:lineRule="auto"/>
        <w:ind w:firstLine="420"/>
        <w:rPr>
          <w:rFonts w:ascii="宋体"/>
          <w:color w:val="auto"/>
          <w:highlight w:val="none"/>
        </w:rPr>
      </w:pPr>
    </w:p>
    <w:p w14:paraId="2EA3A25E">
      <w:pPr>
        <w:spacing w:line="360" w:lineRule="auto"/>
        <w:ind w:firstLine="420"/>
        <w:rPr>
          <w:rFonts w:ascii="宋体"/>
          <w:color w:val="auto"/>
          <w:highlight w:val="none"/>
        </w:rPr>
      </w:pPr>
    </w:p>
    <w:p w14:paraId="466B234D">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2C90C09C">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5DA5A4A6">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628950B">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E02DD10">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B8B93E6">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735A722A">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566BD5D">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65EAA94">
      <w:pPr>
        <w:spacing w:line="360" w:lineRule="auto"/>
        <w:rPr>
          <w:rFonts w:ascii="宋体"/>
          <w:color w:val="auto"/>
          <w:highlight w:val="none"/>
          <w:u w:val="singl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p>
    <w:p w14:paraId="7E126145">
      <w:pPr>
        <w:spacing w:line="360" w:lineRule="auto"/>
        <w:rPr>
          <w:rFonts w:ascii="宋体"/>
          <w:color w:val="auto"/>
          <w:highlight w:val="none"/>
        </w:rPr>
      </w:pPr>
    </w:p>
    <w:p w14:paraId="23569909">
      <w:pPr>
        <w:spacing w:line="360" w:lineRule="auto"/>
        <w:rPr>
          <w:rFonts w:ascii="宋体"/>
          <w:color w:val="auto"/>
          <w:highlight w:val="none"/>
        </w:rPr>
      </w:pPr>
    </w:p>
    <w:p w14:paraId="672B52F6">
      <w:pPr>
        <w:spacing w:line="360" w:lineRule="auto"/>
        <w:rPr>
          <w:rFonts w:ascii="宋体"/>
          <w:color w:val="auto"/>
          <w:highlight w:val="none"/>
        </w:rPr>
      </w:pPr>
    </w:p>
    <w:p w14:paraId="7E03D02E">
      <w:pPr>
        <w:spacing w:line="360" w:lineRule="auto"/>
        <w:rPr>
          <w:rFonts w:ascii="宋体"/>
          <w:color w:val="auto"/>
          <w:highlight w:val="none"/>
        </w:rPr>
      </w:pPr>
    </w:p>
    <w:p w14:paraId="6270A0C9">
      <w:pPr>
        <w:spacing w:line="360" w:lineRule="auto"/>
        <w:rPr>
          <w:rFonts w:ascii="宋体"/>
          <w:color w:val="auto"/>
          <w:highlight w:val="none"/>
        </w:rPr>
      </w:pPr>
    </w:p>
    <w:p w14:paraId="14E4F111">
      <w:pPr>
        <w:spacing w:line="440" w:lineRule="exact"/>
        <w:rPr>
          <w:rFonts w:eastAsia="黑体"/>
          <w:color w:val="auto"/>
          <w:sz w:val="30"/>
          <w:szCs w:val="30"/>
          <w:highlight w:val="none"/>
        </w:rPr>
      </w:pPr>
      <w:r>
        <w:rPr>
          <w:rFonts w:eastAsia="仿宋_GB2312" w:cs="仿宋_GB2312"/>
          <w:color w:val="auto"/>
          <w:sz w:val="30"/>
          <w:szCs w:val="30"/>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r>
        <w:rPr>
          <w:rFonts w:hint="eastAsia" w:eastAsia="仿宋_GB2312"/>
          <w:color w:val="auto"/>
          <w:sz w:val="30"/>
          <w:szCs w:val="30"/>
          <w:highlight w:val="none"/>
          <w:lang w:val="en-US" w:eastAsia="zh-CN"/>
        </w:rPr>
        <w:t>主要建设工程文件目录</w:t>
      </w:r>
    </w:p>
    <w:p w14:paraId="70E9AB5D">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DFD2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6235C64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02E4E0C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套数</w:t>
            </w:r>
          </w:p>
        </w:tc>
        <w:tc>
          <w:tcPr>
            <w:tcW w:w="1450" w:type="dxa"/>
            <w:tcBorders>
              <w:top w:val="single" w:color="auto" w:sz="12" w:space="0"/>
              <w:bottom w:val="double" w:color="auto" w:sz="6" w:space="0"/>
            </w:tcBorders>
            <w:noWrap w:val="0"/>
            <w:vAlign w:val="center"/>
          </w:tcPr>
          <w:p w14:paraId="00759CE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费用</w:t>
            </w:r>
            <w:r>
              <w:rPr>
                <w:rFonts w:hint="eastAsia" w:ascii="Calibri" w:hAnsi="Calibri" w:eastAsia="仿宋_GB2312" w:cs="Times New Roman"/>
                <w:color w:val="auto"/>
                <w:sz w:val="28"/>
                <w:szCs w:val="30"/>
                <w:highlight w:val="none"/>
              </w:rPr>
              <w:t>（元）</w:t>
            </w:r>
          </w:p>
        </w:tc>
        <w:tc>
          <w:tcPr>
            <w:tcW w:w="1243" w:type="dxa"/>
            <w:tcBorders>
              <w:top w:val="single" w:color="auto" w:sz="12" w:space="0"/>
              <w:bottom w:val="double" w:color="auto" w:sz="6" w:space="0"/>
            </w:tcBorders>
            <w:noWrap w:val="0"/>
            <w:vAlign w:val="center"/>
          </w:tcPr>
          <w:p w14:paraId="705D2D5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质量</w:t>
            </w:r>
          </w:p>
        </w:tc>
        <w:tc>
          <w:tcPr>
            <w:tcW w:w="1450" w:type="dxa"/>
            <w:tcBorders>
              <w:top w:val="single" w:color="auto" w:sz="12" w:space="0"/>
              <w:bottom w:val="double" w:color="auto" w:sz="6" w:space="0"/>
            </w:tcBorders>
            <w:noWrap w:val="0"/>
            <w:vAlign w:val="top"/>
          </w:tcPr>
          <w:p w14:paraId="53D86082">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移交时间</w:t>
            </w:r>
          </w:p>
        </w:tc>
        <w:tc>
          <w:tcPr>
            <w:tcW w:w="1667" w:type="dxa"/>
            <w:tcBorders>
              <w:top w:val="single" w:color="auto" w:sz="12" w:space="0"/>
              <w:bottom w:val="double" w:color="auto" w:sz="6" w:space="0"/>
            </w:tcBorders>
            <w:noWrap w:val="0"/>
            <w:vAlign w:val="top"/>
          </w:tcPr>
          <w:p w14:paraId="46FB758F">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责任人</w:t>
            </w:r>
          </w:p>
        </w:tc>
      </w:tr>
      <w:tr w14:paraId="4CED4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2E9B2F1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double" w:color="auto" w:sz="6" w:space="0"/>
              <w:bottom w:val="single" w:color="auto" w:sz="6" w:space="0"/>
            </w:tcBorders>
            <w:noWrap w:val="0"/>
            <w:vAlign w:val="center"/>
          </w:tcPr>
          <w:p w14:paraId="36A9094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7FD4B50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double" w:color="auto" w:sz="6" w:space="0"/>
              <w:bottom w:val="single" w:color="auto" w:sz="6" w:space="0"/>
            </w:tcBorders>
            <w:noWrap w:val="0"/>
            <w:vAlign w:val="center"/>
          </w:tcPr>
          <w:p w14:paraId="73B3523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03CD588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double" w:color="auto" w:sz="6" w:space="0"/>
              <w:bottom w:val="single" w:color="auto" w:sz="6" w:space="0"/>
            </w:tcBorders>
            <w:noWrap w:val="0"/>
            <w:vAlign w:val="center"/>
          </w:tcPr>
          <w:p w14:paraId="12FB6F5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AB1D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67657E7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nil"/>
            </w:tcBorders>
            <w:noWrap w:val="0"/>
            <w:vAlign w:val="center"/>
          </w:tcPr>
          <w:p w14:paraId="195109C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6FCF87C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nil"/>
            </w:tcBorders>
            <w:noWrap w:val="0"/>
            <w:vAlign w:val="center"/>
          </w:tcPr>
          <w:p w14:paraId="0BEB53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44CFB27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nil"/>
            </w:tcBorders>
            <w:noWrap w:val="0"/>
            <w:vAlign w:val="center"/>
          </w:tcPr>
          <w:p w14:paraId="5D047DC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B95A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EA5CDB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2D8B349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D28F16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3171100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ADCE09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323E370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1E80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9CDA34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5FEC2DA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D7199F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4640B22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2B53DEC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5B067AE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6DB0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71329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41CB973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1C86AA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6E3746B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483760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29CF706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DC09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5C0C38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011F080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4D53CDD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43622A2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39B57B4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5963C29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FFB4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09DA58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1AF9D4B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4F2235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3547B51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BE39AB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0466A7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9F7A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7658D0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1B85DD1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04C635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44E5176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3D2EA2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0580956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4551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5E7E1E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4BB260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25AC7E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5EE2C4B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A0DDCA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4281F18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1A8C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B7DC16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4AC7D91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2C9789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0EC6DDE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2EB461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3FB787B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2045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ED31E4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1A20920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22860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51805E9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30FA6F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1345498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7109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CE997C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56DE4B2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2EC6C1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2DC7C15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734B795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4B7F595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5912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7A64CD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7056926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5AF27A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1D8DD90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A1E9F3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2B7C16F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FC7F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358C0A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220C3E4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E30F89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5DEEDC4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B65969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0846C63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03F6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B0A851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82E41E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95962D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D0A4B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7CA3E8E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1B8BC0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6A83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170230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B9C9FB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C0591A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9AAD11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12AC22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7860532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FEB1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8BE2E1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512B90B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6CFD07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94A69F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B8C271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77560F2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CA65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78ADC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2871349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7FA233D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28B9F1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9ED6A4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CB5060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0BE3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3D534C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5C17F18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7BD0BF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0D1905B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0FDC12A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548F559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412B57F1">
      <w:pPr>
        <w:spacing w:line="440" w:lineRule="exact"/>
        <w:rPr>
          <w:rFonts w:hint="eastAsia" w:eastAsia="仿宋_GB2312"/>
          <w:color w:val="auto"/>
          <w:sz w:val="30"/>
          <w:szCs w:val="30"/>
          <w:highlight w:val="none"/>
        </w:rPr>
      </w:pPr>
    </w:p>
    <w:p w14:paraId="42C1E2D9">
      <w:pPr>
        <w:spacing w:line="440" w:lineRule="exact"/>
        <w:outlineLvl w:val="1"/>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r>
        <w:rPr>
          <w:rFonts w:hint="eastAsia" w:eastAsia="仿宋_GB2312"/>
          <w:color w:val="auto"/>
          <w:sz w:val="30"/>
          <w:szCs w:val="30"/>
          <w:highlight w:val="none"/>
          <w:lang w:val="en-US" w:eastAsia="zh-CN"/>
        </w:rPr>
        <w:t>承包人用于本工程施工的机械设备表</w:t>
      </w:r>
    </w:p>
    <w:p w14:paraId="543AACB6">
      <w:pPr>
        <w:spacing w:line="440" w:lineRule="exact"/>
        <w:rPr>
          <w:rFonts w:eastAsia="黑体"/>
          <w:color w:val="auto"/>
          <w:sz w:val="30"/>
          <w:szCs w:val="30"/>
          <w:highlight w:val="none"/>
        </w:rPr>
      </w:pPr>
    </w:p>
    <w:p w14:paraId="501F7213">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1C74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362E3A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序号</w:t>
            </w:r>
          </w:p>
        </w:tc>
        <w:tc>
          <w:tcPr>
            <w:tcW w:w="1418" w:type="dxa"/>
            <w:noWrap w:val="0"/>
            <w:vAlign w:val="center"/>
          </w:tcPr>
          <w:p w14:paraId="3B5FD1C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机械或设备名称</w:t>
            </w:r>
          </w:p>
        </w:tc>
        <w:tc>
          <w:tcPr>
            <w:tcW w:w="850" w:type="dxa"/>
            <w:noWrap w:val="0"/>
            <w:vAlign w:val="center"/>
          </w:tcPr>
          <w:p w14:paraId="4775512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规格型号</w:t>
            </w:r>
          </w:p>
        </w:tc>
        <w:tc>
          <w:tcPr>
            <w:tcW w:w="1058" w:type="dxa"/>
            <w:noWrap w:val="0"/>
            <w:vAlign w:val="center"/>
          </w:tcPr>
          <w:p w14:paraId="5BD3016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数量</w:t>
            </w:r>
          </w:p>
        </w:tc>
        <w:tc>
          <w:tcPr>
            <w:tcW w:w="880" w:type="dxa"/>
            <w:noWrap w:val="0"/>
            <w:vAlign w:val="center"/>
          </w:tcPr>
          <w:p w14:paraId="621A181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产地</w:t>
            </w:r>
          </w:p>
        </w:tc>
        <w:tc>
          <w:tcPr>
            <w:tcW w:w="1020" w:type="dxa"/>
            <w:noWrap w:val="0"/>
            <w:vAlign w:val="center"/>
          </w:tcPr>
          <w:p w14:paraId="79327F3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制造年份</w:t>
            </w:r>
          </w:p>
        </w:tc>
        <w:tc>
          <w:tcPr>
            <w:tcW w:w="1480" w:type="dxa"/>
            <w:noWrap w:val="0"/>
            <w:vAlign w:val="center"/>
          </w:tcPr>
          <w:p w14:paraId="5FB0FE3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额定功率（</w:t>
            </w:r>
            <w:r>
              <w:rPr>
                <w:rFonts w:hint="default" w:ascii="Calibri" w:hAnsi="Calibri" w:eastAsia="仿宋_GB2312" w:cs="Times New Roman"/>
                <w:color w:val="auto"/>
                <w:sz w:val="28"/>
                <w:szCs w:val="28"/>
                <w:highlight w:val="none"/>
              </w:rPr>
              <w:t>kW</w:t>
            </w:r>
            <w:r>
              <w:rPr>
                <w:rFonts w:hint="eastAsia" w:ascii="Calibri" w:hAnsi="Calibri" w:eastAsia="仿宋_GB2312" w:cs="仿宋_GB2312"/>
                <w:color w:val="auto"/>
                <w:sz w:val="28"/>
                <w:szCs w:val="28"/>
                <w:highlight w:val="none"/>
              </w:rPr>
              <w:t>）</w:t>
            </w:r>
          </w:p>
        </w:tc>
        <w:tc>
          <w:tcPr>
            <w:tcW w:w="1020" w:type="dxa"/>
            <w:noWrap w:val="0"/>
            <w:vAlign w:val="center"/>
          </w:tcPr>
          <w:p w14:paraId="1086496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921" w:type="dxa"/>
            <w:noWrap w:val="0"/>
            <w:vAlign w:val="center"/>
          </w:tcPr>
          <w:p w14:paraId="40C93EE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备注</w:t>
            </w:r>
          </w:p>
        </w:tc>
      </w:tr>
      <w:tr w14:paraId="3904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CE6DF4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5DF22F5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7F5BCC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506132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14E276C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F5BA6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7197838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6DAF21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90BAD6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787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B19FAD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01CD2F5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E0481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3DA693B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69B53E5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7C395D0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79E1915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DC5D19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7B50B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3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C33458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483FECB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17C2D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1CC1A7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411BB1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A022FC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680293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DDECF6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00777A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5E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FC5C8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C2EEB4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F8C893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7C8A41E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1B8991D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05FBC8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7C7AC13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5EBC6AE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7E0E27A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3F5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99FEF2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5C94F34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D003F0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4E1D1E3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593D96A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D793FD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4DB7BC1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36BA789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928BE1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6A4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24F2BD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8CE185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26E660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4BA0A0D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277F04E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81AB32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0354C6B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C3B0C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6578996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775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739FCE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460A34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4AC61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38097FB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AC4027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98AB1D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06E9780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1AAA63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CF9F25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791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BC66C0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462E1B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C35629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5E5C69E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4741FC0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A1A23A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191D00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5791F9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52EC629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256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96E6E7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20A15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616BA94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A5AA3A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73985C6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6C1ECB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5107884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49A60C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31ACF6B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074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262856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FD927A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4FA9CD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52E5AD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2D7D45C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5C72BF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8FAAB7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EDB776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D5778C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C62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0FB061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8F0DCF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579500F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31573D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3E02EDD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921AA4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E086F8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71AB2E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51801BE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970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34E1BD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83009F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02608B0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043BB7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04A5F03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B339B8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6DAAEE3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08B416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FFBE89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56B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13EDB3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6628CC2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1D9512D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76F237C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09DC5CF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9B480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4821AE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FD16F5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66EDAF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C8F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73D36B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B0A3B4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74FEC1B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3B2A9F3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27D8E2D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DF108F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46EC72E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AA68CE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26CEFE1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3757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BC9289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3EBD898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2072FF6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3A2654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7811D9C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2F668FC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002C0FD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2ABAD32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3D58EBA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FFB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D0D7DD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6240D97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089EC9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6F0E5DB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3B231CF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895878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5711D93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4CDA7E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FD9BFA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DFE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63C2B7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1ECF1FD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106D678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840F86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0D7EA81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973258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6D12DA0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EC01A7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309E67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3AEE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C3D133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433969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1BFB010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B7D94F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0531E17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B75DAF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8B3BC0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9324BF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471CD6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3EDD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AB74B9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D1FAFE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1FE731D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22F2E76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1B9A948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7D7824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0244C85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38FA85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5DA1CCE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5FD8A558">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6DC65551">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2217" w:name="_Toc296346729"/>
      <w:bookmarkStart w:id="2218" w:name="_Toc296347227"/>
      <w:bookmarkStart w:id="2219" w:name="_Toc296891268"/>
      <w:bookmarkStart w:id="2220" w:name="_Toc296891056"/>
      <w:bookmarkStart w:id="2221" w:name="_Toc296944567"/>
      <w:bookmarkStart w:id="2222" w:name="_Toc296503228"/>
      <w:bookmarkStart w:id="2223" w:name="_Toc267261699"/>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r>
        <w:rPr>
          <w:rFonts w:hint="eastAsia" w:eastAsia="黑体" w:cs="黑体"/>
          <w:color w:val="auto"/>
          <w:sz w:val="30"/>
          <w:szCs w:val="30"/>
          <w:highlight w:val="none"/>
        </w:rPr>
        <w:t>承包人主要施工管理人员表</w:t>
      </w:r>
    </w:p>
    <w:bookmarkEnd w:id="2217"/>
    <w:bookmarkEnd w:id="2218"/>
    <w:bookmarkEnd w:id="2219"/>
    <w:bookmarkEnd w:id="2220"/>
    <w:bookmarkEnd w:id="2221"/>
    <w:bookmarkEnd w:id="2222"/>
    <w:bookmarkEnd w:id="2223"/>
    <w:p w14:paraId="70C013B1">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7EA4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4F9C51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147AF17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726BC9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3930BBE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0FCC8C6B">
            <w:pPr>
              <w:pStyle w:val="16"/>
              <w:keepNext/>
              <w:keepLines w:val="0"/>
              <w:suppressLineNumbers w:val="0"/>
              <w:spacing w:before="0" w:beforeAutospacing="0" w:after="0" w:afterAutospacing="0" w:line="440" w:lineRule="exact"/>
              <w:ind w:left="0" w:leftChars="0"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计划进场时间</w:t>
            </w:r>
          </w:p>
        </w:tc>
      </w:tr>
      <w:tr w14:paraId="6B3F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02AB8A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504D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51B8D1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37645EA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58AB8E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FF709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5CF11A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67D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D8DCEF4">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3653E6F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E0F9C3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D628F5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C97378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C83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39A068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461A891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9889A6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E01E33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7F2E0C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B04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F6799A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265F5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5045F0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C5C93A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4B17AA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0C5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F9EB6F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6070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8E28BF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012E684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D09FE0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5F6EFC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32BED5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E47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3FEFC5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5CD52A4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575318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A1214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A29DA4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F57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421C32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3369AB2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C2B742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DBE95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E4743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6E8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20D2FB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2060AFD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2770C8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AFEA05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F7CBFB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918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D8DFB8C">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46D13AD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47C366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4B73AC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6CC5F7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274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F9A3C5C">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67E9249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75BEEA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FEF49F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A7827A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A4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BB567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696F4F2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FCC290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681F4C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EEE9D3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693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F37163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7303B01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D9FC97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369A0F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B555A2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60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1256C5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10C5D43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2F367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E1DF6A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2CC5F0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730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E71AFDE">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33BA4B2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F57AE2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45BA37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6FF7F8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C5A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097F5C8">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68C21E0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FD5777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8A5350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71DC31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586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9091EC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E34691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47079A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E4A68A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D859AF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4CD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9CEDD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409FF15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44A28E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F2AFC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9A172E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7F0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18A2B7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AE92A4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30679A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7B440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BBB554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CBA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4422E2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B4FDEF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764206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D81F0C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E4DE89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7FC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2A267F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A6CD71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559295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52E7C0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CFA3BB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F36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3D30D4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0E9819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6B5054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451B7C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BDB69C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45E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9C736B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03595B8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D25D7D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639F30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675935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7F6E5C0F">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2224" w:name="_Toc296891057"/>
      <w:bookmarkStart w:id="2225" w:name="_Toc296346730"/>
      <w:bookmarkStart w:id="2226" w:name="_Toc296944568"/>
      <w:bookmarkStart w:id="2227" w:name="_Toc296503229"/>
      <w:bookmarkStart w:id="2228" w:name="_Toc296891269"/>
      <w:bookmarkStart w:id="2229" w:name="_Toc296347228"/>
      <w:r>
        <w:rPr>
          <w:rFonts w:hint="eastAsia" w:eastAsia="仿宋_GB2312" w:cs="仿宋_GB2312"/>
          <w:color w:val="auto"/>
          <w:sz w:val="30"/>
          <w:szCs w:val="30"/>
          <w:highlight w:val="none"/>
        </w:rPr>
        <w:t>件</w:t>
      </w:r>
      <w:r>
        <w:rPr>
          <w:rFonts w:hint="eastAsia" w:eastAsia="仿宋_GB2312"/>
          <w:color w:val="auto"/>
          <w:sz w:val="30"/>
          <w:szCs w:val="30"/>
          <w:highlight w:val="none"/>
        </w:rPr>
        <w:t>6</w:t>
      </w:r>
      <w:r>
        <w:rPr>
          <w:rFonts w:hint="eastAsia" w:eastAsia="仿宋_GB2312" w:cs="仿宋_GB2312"/>
          <w:color w:val="auto"/>
          <w:sz w:val="30"/>
          <w:szCs w:val="30"/>
          <w:highlight w:val="none"/>
        </w:rPr>
        <w:t>：</w:t>
      </w:r>
      <w:r>
        <w:rPr>
          <w:rFonts w:hint="eastAsia" w:eastAsia="仿宋_GB2312"/>
          <w:color w:val="auto"/>
          <w:sz w:val="30"/>
          <w:szCs w:val="30"/>
          <w:highlight w:val="none"/>
          <w:lang w:val="en-US" w:eastAsia="zh-CN"/>
        </w:rPr>
        <w:t>分包人主要施工管理人员表</w:t>
      </w:r>
    </w:p>
    <w:bookmarkEnd w:id="2224"/>
    <w:bookmarkEnd w:id="2225"/>
    <w:bookmarkEnd w:id="2226"/>
    <w:bookmarkEnd w:id="2227"/>
    <w:bookmarkEnd w:id="2228"/>
    <w:bookmarkEnd w:id="2229"/>
    <w:p w14:paraId="37877289">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255F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816D3E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417F4F3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06D2BDD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0FCCD19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4529BCF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主要资历、经验及承担过的项目</w:t>
            </w:r>
          </w:p>
        </w:tc>
      </w:tr>
      <w:tr w14:paraId="092F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08BF987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1865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3A45BD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31894C1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1A3B99F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172458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34DEC5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34E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450A6FE">
            <w:pPr>
              <w:pStyle w:val="16"/>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7288919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323B70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896AAF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FCF258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BEA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874BEA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184949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189F166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F31D1D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EAFEE7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326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38EF65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1E89C7B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81FDD9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488A3A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3B69D4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E4D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11953FD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6352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A5D579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2B0C71B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42ABF6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162DBB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E035FD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0AA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4DF345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2443EDC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831A0E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8BFC4A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7146EE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777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7E52EB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7E8893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49750E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42F2C4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A11023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5F7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517202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3602242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F19E14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9B9824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B25CAF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35D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96EB86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20FE26C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577B44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0A2C2F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0FAF0B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231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F7C76F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391B623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350880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F5C256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707DE6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6E3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9D3E92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040DC86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7519554">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38B2CF0">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DEE58E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2DA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9156B9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79C0230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2954FA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E57EA0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109BC8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A79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DB6912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417DB1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DBBBAD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D8D557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7E6B09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4DE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5D28CA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1A2AA0B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A6543A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CC7B1F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DBF1B5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980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600BE9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4911BDC">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D4DECBA">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585FCF7">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A32C56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6C1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4D6588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70CCC9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AB2679E">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461D13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161E8D5">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D6E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3870D26">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5DF4BC9">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F77EBE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ACB3692">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ACF409D">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86D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B52F58F">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1D739108">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673CAFB">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1F37F41">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3B1DC43">
            <w:pPr>
              <w:pStyle w:val="16"/>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2745F6E5">
      <w:pPr>
        <w:spacing w:line="360" w:lineRule="auto"/>
        <w:jc w:val="left"/>
        <w:rPr>
          <w:rFonts w:hint="eastAsia" w:ascii="黑体" w:hAnsi="黑体" w:eastAsia="黑体" w:cs="黑体"/>
          <w:color w:val="auto"/>
          <w:sz w:val="32"/>
          <w:szCs w:val="32"/>
          <w:highlight w:val="none"/>
        </w:rPr>
      </w:pPr>
      <w:r>
        <w:rPr>
          <w:rFonts w:eastAsia="仿宋_GB2312"/>
          <w:color w:val="auto"/>
          <w:sz w:val="30"/>
          <w:szCs w:val="30"/>
          <w:highlight w:val="none"/>
        </w:rPr>
        <w:br w:type="page"/>
      </w:r>
      <w:bookmarkStart w:id="2230" w:name="_Toc267261701"/>
      <w:r>
        <w:rPr>
          <w:rFonts w:hint="eastAsia" w:ascii="黑体" w:hAnsi="黑体" w:eastAsia="黑体" w:cs="黑体"/>
          <w:color w:val="auto"/>
          <w:sz w:val="32"/>
          <w:szCs w:val="32"/>
          <w:highlight w:val="none"/>
        </w:rPr>
        <w:t>附件7</w:t>
      </w:r>
    </w:p>
    <w:p w14:paraId="55353CCD">
      <w:pPr>
        <w:spacing w:line="360" w:lineRule="auto"/>
        <w:jc w:val="left"/>
        <w:rPr>
          <w:rFonts w:ascii="黑体" w:hAnsi="黑体" w:eastAsia="黑体" w:cs="黑体"/>
          <w:b/>
          <w:bCs/>
          <w:color w:val="auto"/>
          <w:sz w:val="32"/>
          <w:szCs w:val="32"/>
          <w:highlight w:val="none"/>
        </w:rPr>
      </w:pPr>
    </w:p>
    <w:p w14:paraId="61FEBBF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3E4D02E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643579F3">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CE1A214">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6E804072">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C471DD6">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0DCB7AA">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7F340241">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658A801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331FB25C">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3BE11223">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70D2DE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394263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3116208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79E1B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A11DDA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4E11BE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65FBE7C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14EA33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17CE86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558E09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7746C0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BC4928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2E3A6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56DE06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67AD669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19D5B8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4B431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5C6D4D1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342D9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7B4989A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7C192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11BE72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E5E3A3B">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409EC83F">
      <w:pPr>
        <w:spacing w:line="360" w:lineRule="auto"/>
        <w:jc w:val="left"/>
        <w:rPr>
          <w:rFonts w:eastAsia="仿宋_GB2312"/>
          <w:color w:val="auto"/>
          <w:sz w:val="30"/>
          <w:szCs w:val="30"/>
          <w:highlight w:val="none"/>
        </w:rPr>
      </w:pPr>
    </w:p>
    <w:p w14:paraId="18A2E6CD">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2231" w:name="_Toc296891271"/>
      <w:bookmarkStart w:id="2232" w:name="_Toc296346732"/>
      <w:bookmarkStart w:id="2233" w:name="_Toc296891059"/>
      <w:bookmarkStart w:id="2234" w:name="_Toc296503231"/>
      <w:bookmarkStart w:id="2235" w:name="_Toc296347230"/>
      <w:bookmarkStart w:id="2236" w:name="_Toc296944570"/>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p w14:paraId="45EDAEC0">
      <w:pPr>
        <w:spacing w:line="360" w:lineRule="auto"/>
        <w:rPr>
          <w:rFonts w:ascii="宋体" w:hAnsi="宋体"/>
          <w:b/>
          <w:bCs/>
          <w:color w:val="auto"/>
          <w:sz w:val="32"/>
          <w:szCs w:val="32"/>
          <w:highlight w:val="none"/>
        </w:rPr>
      </w:pPr>
    </w:p>
    <w:p w14:paraId="359FDD4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2BD2DE4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10444466">
      <w:pPr>
        <w:spacing w:line="360" w:lineRule="auto"/>
        <w:jc w:val="center"/>
        <w:rPr>
          <w:rFonts w:ascii="宋体" w:hAnsi="宋体"/>
          <w:b/>
          <w:bCs/>
          <w:color w:val="auto"/>
          <w:sz w:val="32"/>
          <w:szCs w:val="32"/>
          <w:highlight w:val="none"/>
        </w:rPr>
      </w:pPr>
    </w:p>
    <w:p w14:paraId="23FE6A0C">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822BED3">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04AD3D2E">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48CF243A">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68470A2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113D4A0">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333E348F">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8BDD57B">
      <w:pPr>
        <w:spacing w:line="360" w:lineRule="auto"/>
        <w:rPr>
          <w:rFonts w:ascii="宋体" w:hAnsi="宋体"/>
          <w:color w:val="auto"/>
          <w:sz w:val="24"/>
          <w:szCs w:val="24"/>
          <w:highlight w:val="none"/>
        </w:rPr>
      </w:pPr>
    </w:p>
    <w:p w14:paraId="59BE031A">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166915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710E0F73">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4F8E98A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43F83F9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DA0F05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6D12D2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460F0A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59B02F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6DF6C0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05B196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57F5AC7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6E4658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09273E0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6D3504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2C60ECA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7F3D92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60C4D5A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2F8959C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3B2C091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4747F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182A3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4CCDD66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0C90F19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13787E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F0E1B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528CB9B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4482A5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3B9C47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796B98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417667CA">
      <w:pPr>
        <w:spacing w:line="360" w:lineRule="auto"/>
        <w:ind w:firstLine="480" w:firstLineChars="200"/>
        <w:rPr>
          <w:rFonts w:ascii="宋体" w:hAnsi="宋体"/>
          <w:color w:val="auto"/>
          <w:sz w:val="24"/>
          <w:szCs w:val="24"/>
          <w:highlight w:val="none"/>
        </w:rPr>
      </w:pPr>
    </w:p>
    <w:p w14:paraId="70BC7F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7F7ADCE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108A9A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7E6E8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AEEF44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6F496A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2E06E8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5C9C428">
      <w:pPr>
        <w:rPr>
          <w:color w:val="auto"/>
          <w:highlight w:val="none"/>
        </w:rPr>
      </w:pPr>
    </w:p>
    <w:p w14:paraId="2D9F396B">
      <w:pPr>
        <w:rPr>
          <w:color w:val="auto"/>
          <w:highlight w:val="none"/>
        </w:rPr>
      </w:pPr>
    </w:p>
    <w:bookmarkEnd w:id="2230"/>
    <w:bookmarkEnd w:id="2231"/>
    <w:bookmarkEnd w:id="2232"/>
    <w:bookmarkEnd w:id="2233"/>
    <w:bookmarkEnd w:id="2234"/>
    <w:bookmarkEnd w:id="2235"/>
    <w:bookmarkEnd w:id="2236"/>
    <w:p w14:paraId="687EB58D">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14:paraId="29FB94B4">
      <w:pPr>
        <w:spacing w:line="360" w:lineRule="auto"/>
        <w:jc w:val="left"/>
        <w:rPr>
          <w:rFonts w:ascii="黑体" w:hAnsi="黑体" w:eastAsia="黑体" w:cs="黑体"/>
          <w:b/>
          <w:bCs/>
          <w:color w:val="auto"/>
          <w:sz w:val="32"/>
          <w:szCs w:val="32"/>
          <w:highlight w:val="none"/>
        </w:rPr>
      </w:pPr>
    </w:p>
    <w:p w14:paraId="2A09132E">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0739DA2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7F38A944">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A3578DC">
      <w:pPr>
        <w:spacing w:line="360" w:lineRule="auto"/>
        <w:rPr>
          <w:rFonts w:ascii="宋体" w:hAnsi="宋体"/>
          <w:color w:val="auto"/>
          <w:sz w:val="24"/>
          <w:szCs w:val="24"/>
          <w:highlight w:val="none"/>
        </w:rPr>
      </w:pPr>
    </w:p>
    <w:p w14:paraId="013A3D53">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04C67D0D">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5AA50965">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42B52D3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448DF654">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6F094BE1">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77F5762F">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F4FCF13">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00CE72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14655B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4A7A35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7C03F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12C3E1B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050ABF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39A97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956DA1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44D20E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6ABCF49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207C8D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0D48030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72BD6C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211CE1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2A53CA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A6755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0BA48DE7">
      <w:pPr>
        <w:spacing w:line="360" w:lineRule="auto"/>
        <w:ind w:firstLine="480" w:firstLineChars="200"/>
        <w:rPr>
          <w:rFonts w:ascii="宋体" w:hAnsi="宋体"/>
          <w:color w:val="auto"/>
          <w:sz w:val="24"/>
          <w:szCs w:val="24"/>
          <w:highlight w:val="none"/>
        </w:rPr>
      </w:pPr>
    </w:p>
    <w:p w14:paraId="604FA5ED">
      <w:pPr>
        <w:spacing w:line="360" w:lineRule="auto"/>
        <w:ind w:firstLine="480" w:firstLineChars="200"/>
        <w:rPr>
          <w:rFonts w:ascii="宋体" w:hAnsi="宋体"/>
          <w:color w:val="auto"/>
          <w:sz w:val="24"/>
          <w:szCs w:val="24"/>
          <w:highlight w:val="none"/>
        </w:rPr>
      </w:pPr>
    </w:p>
    <w:p w14:paraId="218FA75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017860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B8092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393CA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8D6BFF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88196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23D1C5B">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63453A2C">
      <w:pPr>
        <w:spacing w:line="360" w:lineRule="auto"/>
        <w:jc w:val="center"/>
        <w:rPr>
          <w:rFonts w:ascii="宋体" w:hAnsi="宋体"/>
          <w:b/>
          <w:bCs/>
          <w:color w:val="auto"/>
          <w:sz w:val="32"/>
          <w:szCs w:val="32"/>
          <w:highlight w:val="none"/>
        </w:rPr>
      </w:pPr>
    </w:p>
    <w:p w14:paraId="58204ED4">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8</w:t>
      </w:r>
    </w:p>
    <w:p w14:paraId="137C2E97">
      <w:pPr>
        <w:spacing w:line="360" w:lineRule="auto"/>
        <w:jc w:val="left"/>
        <w:rPr>
          <w:rFonts w:ascii="黑体" w:hAnsi="黑体" w:eastAsia="黑体" w:cs="黑体"/>
          <w:b/>
          <w:bCs/>
          <w:color w:val="auto"/>
          <w:sz w:val="32"/>
          <w:szCs w:val="32"/>
          <w:highlight w:val="none"/>
        </w:rPr>
      </w:pPr>
    </w:p>
    <w:p w14:paraId="2C99D8B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60CDACE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73BA933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B374B66">
      <w:pPr>
        <w:spacing w:line="360" w:lineRule="auto"/>
        <w:rPr>
          <w:rFonts w:ascii="宋体" w:hAnsi="宋体"/>
          <w:color w:val="auto"/>
          <w:sz w:val="24"/>
          <w:szCs w:val="24"/>
          <w:highlight w:val="none"/>
        </w:rPr>
      </w:pPr>
    </w:p>
    <w:p w14:paraId="1B8A1B8A">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221DEB86">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733D1AB7">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51F5915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D025401">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6E4EED3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CEFEC39">
      <w:pPr>
        <w:spacing w:line="360" w:lineRule="auto"/>
        <w:rPr>
          <w:rFonts w:ascii="宋体" w:hAnsi="宋体"/>
          <w:color w:val="auto"/>
          <w:sz w:val="24"/>
          <w:szCs w:val="24"/>
          <w:highlight w:val="none"/>
        </w:rPr>
      </w:pPr>
    </w:p>
    <w:p w14:paraId="226A3834">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745F36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7DE1301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593F4C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32FD463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8F5B46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71F018E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5D430E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144852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200555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77899A7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3DFEDE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079E92A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6C5F482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2392A3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23D7F48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53E58E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083CAAD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12B735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B39909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94BA7B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4E4526A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370FDCD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0D69C4E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73AB0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698FF0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B20FEB4">
      <w:pPr>
        <w:spacing w:line="360" w:lineRule="auto"/>
        <w:ind w:firstLine="480" w:firstLineChars="200"/>
        <w:rPr>
          <w:rFonts w:ascii="宋体" w:hAnsi="宋体"/>
          <w:color w:val="auto"/>
          <w:sz w:val="24"/>
          <w:szCs w:val="24"/>
          <w:highlight w:val="none"/>
        </w:rPr>
      </w:pPr>
    </w:p>
    <w:p w14:paraId="60FFE01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4A20A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A1899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32BD9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AE30A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9105F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2565A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0DC62CE7">
      <w:pPr>
        <w:rPr>
          <w:color w:val="auto"/>
          <w:highlight w:val="none"/>
        </w:rPr>
      </w:pPr>
    </w:p>
    <w:p w14:paraId="68083BF4">
      <w:pPr>
        <w:spacing w:line="360" w:lineRule="auto"/>
        <w:jc w:val="center"/>
        <w:rPr>
          <w:rFonts w:hint="eastAsia" w:ascii="宋体" w:hAnsi="宋体"/>
          <w:b/>
          <w:bCs/>
          <w:color w:val="auto"/>
          <w:sz w:val="32"/>
          <w:szCs w:val="32"/>
          <w:highlight w:val="none"/>
        </w:rPr>
      </w:pPr>
    </w:p>
    <w:p w14:paraId="39E51DA8">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14:paraId="49BFFE17">
      <w:pPr>
        <w:spacing w:line="360" w:lineRule="auto"/>
        <w:jc w:val="left"/>
        <w:rPr>
          <w:rFonts w:ascii="黑体" w:hAnsi="黑体" w:eastAsia="黑体" w:cs="黑体"/>
          <w:b/>
          <w:bCs/>
          <w:color w:val="auto"/>
          <w:sz w:val="32"/>
          <w:szCs w:val="32"/>
          <w:highlight w:val="none"/>
        </w:rPr>
      </w:pPr>
    </w:p>
    <w:p w14:paraId="76098AF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1391609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0520895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E1ED516">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7084E95A">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1B113073">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0DC2CC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593292FB">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0A0A9726">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26274A0C">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358F74B7">
      <w:pPr>
        <w:spacing w:line="360" w:lineRule="auto"/>
        <w:rPr>
          <w:rFonts w:ascii="宋体" w:hAnsi="宋体"/>
          <w:color w:val="auto"/>
          <w:sz w:val="24"/>
          <w:szCs w:val="24"/>
          <w:highlight w:val="none"/>
        </w:rPr>
      </w:pPr>
      <w:bookmarkStart w:id="2237"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2237"/>
    <w:p w14:paraId="5CF179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49D6B1A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62F86DE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5177A4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206BFB45">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13F781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30C1D5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8737B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363FE9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1377CD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9FE06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4EEDF29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72BB5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524A46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488FA8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467623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2238" w:name="_Hlk58487855"/>
      <w:r>
        <w:rPr>
          <w:rFonts w:hint="eastAsia" w:ascii="宋体" w:hAnsi="宋体"/>
          <w:color w:val="auto"/>
          <w:sz w:val="24"/>
          <w:szCs w:val="24"/>
          <w:highlight w:val="none"/>
        </w:rPr>
        <w:t>或授权代表</w:t>
      </w:r>
      <w:bookmarkEnd w:id="2238"/>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9F465CF">
      <w:pPr>
        <w:spacing w:line="360" w:lineRule="auto"/>
        <w:ind w:firstLine="480" w:firstLineChars="200"/>
        <w:rPr>
          <w:rFonts w:ascii="宋体" w:hAnsi="宋体"/>
          <w:color w:val="auto"/>
          <w:sz w:val="24"/>
          <w:szCs w:val="24"/>
          <w:highlight w:val="none"/>
        </w:rPr>
      </w:pPr>
    </w:p>
    <w:p w14:paraId="3B2D7225">
      <w:pPr>
        <w:spacing w:line="360" w:lineRule="auto"/>
        <w:ind w:firstLine="480" w:firstLineChars="200"/>
        <w:rPr>
          <w:rFonts w:ascii="宋体" w:hAnsi="宋体"/>
          <w:color w:val="auto"/>
          <w:sz w:val="24"/>
          <w:szCs w:val="24"/>
          <w:highlight w:val="none"/>
        </w:rPr>
      </w:pPr>
    </w:p>
    <w:p w14:paraId="0F2334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28583E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0CD668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184369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C5CD1C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EB7AD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05A497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74D5C4A8">
      <w:pPr>
        <w:spacing w:line="360" w:lineRule="auto"/>
        <w:ind w:firstLine="480" w:firstLineChars="200"/>
        <w:rPr>
          <w:rFonts w:ascii="宋体" w:hAnsi="宋体"/>
          <w:color w:val="auto"/>
          <w:sz w:val="24"/>
          <w:szCs w:val="24"/>
          <w:highlight w:val="none"/>
        </w:rPr>
      </w:pPr>
    </w:p>
    <w:p w14:paraId="5AEC4C93">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4818B022">
      <w:pPr>
        <w:spacing w:line="360" w:lineRule="auto"/>
        <w:jc w:val="left"/>
        <w:rPr>
          <w:rFonts w:ascii="黑体" w:hAnsi="黑体" w:eastAsia="黑体" w:cs="黑体"/>
          <w:b/>
          <w:bCs/>
          <w:color w:val="auto"/>
          <w:sz w:val="32"/>
          <w:szCs w:val="32"/>
          <w:highlight w:val="none"/>
        </w:rPr>
      </w:pPr>
    </w:p>
    <w:p w14:paraId="79FE1DF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08AEDD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5BBD946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5AC9D7F">
      <w:pPr>
        <w:wordWrap w:val="0"/>
        <w:spacing w:line="360" w:lineRule="auto"/>
        <w:jc w:val="right"/>
        <w:rPr>
          <w:rFonts w:ascii="宋体" w:hAnsi="宋体"/>
          <w:color w:val="auto"/>
          <w:highlight w:val="none"/>
        </w:rPr>
      </w:pPr>
      <w:r>
        <w:rPr>
          <w:rFonts w:ascii="宋体" w:hAnsi="宋体"/>
          <w:color w:val="auto"/>
          <w:highlight w:val="none"/>
        </w:rPr>
        <w:t xml:space="preserve">     </w:t>
      </w:r>
    </w:p>
    <w:p w14:paraId="19BDBBA1">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6AFF4B4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2EE40F19">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3D113C86">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15A9980">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5EE1850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30A5AF7">
      <w:pPr>
        <w:spacing w:line="360" w:lineRule="auto"/>
        <w:rPr>
          <w:rFonts w:ascii="宋体" w:hAnsi="宋体"/>
          <w:color w:val="auto"/>
          <w:sz w:val="24"/>
          <w:szCs w:val="24"/>
          <w:highlight w:val="none"/>
        </w:rPr>
      </w:pPr>
    </w:p>
    <w:p w14:paraId="7D38ADB4">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323D65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7B13871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0C123D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778537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3FF141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196CD90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319319A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12B1E27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603CB0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777CB36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71065B5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w:t>
      </w:r>
    </w:p>
    <w:p w14:paraId="36949E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7FAE5A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581D32B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1E1DE6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774E79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10C17E3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5CD823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2CDAEEF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055412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38D516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F6514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79A1B41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5076AD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35F28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05BC572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A3CD43F">
      <w:pPr>
        <w:spacing w:line="360" w:lineRule="auto"/>
        <w:ind w:firstLine="480" w:firstLineChars="200"/>
        <w:rPr>
          <w:rFonts w:ascii="宋体" w:hAnsi="宋体"/>
          <w:color w:val="auto"/>
          <w:sz w:val="24"/>
          <w:szCs w:val="24"/>
          <w:highlight w:val="none"/>
        </w:rPr>
      </w:pPr>
    </w:p>
    <w:p w14:paraId="22D991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0FE6B9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71275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D8EBC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7801C5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C21A4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E3132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1392F9A1">
      <w:pPr>
        <w:rPr>
          <w:color w:val="auto"/>
          <w:highlight w:val="none"/>
        </w:rPr>
      </w:pPr>
    </w:p>
    <w:p w14:paraId="1E128F6F">
      <w:pPr>
        <w:spacing w:line="360" w:lineRule="auto"/>
        <w:ind w:firstLine="480" w:firstLineChars="200"/>
        <w:rPr>
          <w:rFonts w:ascii="宋体" w:hAnsi="宋体"/>
          <w:color w:val="auto"/>
          <w:sz w:val="24"/>
          <w:szCs w:val="24"/>
          <w:highlight w:val="none"/>
        </w:rPr>
      </w:pPr>
    </w:p>
    <w:p w14:paraId="1C630508">
      <w:pPr>
        <w:spacing w:line="360" w:lineRule="auto"/>
        <w:ind w:firstLine="420" w:firstLineChars="200"/>
        <w:rPr>
          <w:rFonts w:hint="eastAsia"/>
          <w:color w:val="auto"/>
          <w:highlight w:val="none"/>
        </w:rPr>
      </w:pPr>
    </w:p>
    <w:p w14:paraId="72EF32CB">
      <w:pPr>
        <w:jc w:val="left"/>
        <w:rPr>
          <w:rFonts w:hint="eastAsia" w:hAnsi="宋体" w:cs="宋体"/>
          <w:color w:val="auto"/>
          <w:sz w:val="30"/>
          <w:szCs w:val="30"/>
          <w:highlight w:val="none"/>
        </w:rPr>
      </w:pPr>
      <w:r>
        <w:rPr>
          <w:rFonts w:eastAsia="仿宋_GB2312"/>
          <w:color w:val="auto"/>
          <w:sz w:val="30"/>
          <w:szCs w:val="30"/>
          <w:highlight w:val="none"/>
        </w:rPr>
        <w:t xml:space="preserve"> </w:t>
      </w:r>
      <w:bookmarkStart w:id="2239" w:name="_Toc358569763"/>
      <w:r>
        <w:rPr>
          <w:rFonts w:hint="eastAsia" w:hAnsi="宋体" w:cs="宋体"/>
          <w:color w:val="auto"/>
          <w:sz w:val="30"/>
          <w:szCs w:val="30"/>
          <w:highlight w:val="none"/>
        </w:rPr>
        <w:t>附件10：</w:t>
      </w:r>
    </w:p>
    <w:p w14:paraId="0027AE6C">
      <w:pPr>
        <w:jc w:val="center"/>
        <w:rPr>
          <w:rFonts w:hint="eastAsia"/>
          <w:b/>
          <w:color w:val="auto"/>
          <w:sz w:val="36"/>
          <w:szCs w:val="36"/>
          <w:highlight w:val="none"/>
        </w:rPr>
      </w:pPr>
      <w:r>
        <w:rPr>
          <w:rFonts w:hint="eastAsia"/>
          <w:b/>
          <w:color w:val="auto"/>
          <w:sz w:val="36"/>
          <w:szCs w:val="36"/>
          <w:highlight w:val="none"/>
        </w:rPr>
        <w:t>预付款支付申请（核准）表</w:t>
      </w:r>
    </w:p>
    <w:p w14:paraId="01163C93">
      <w:pPr>
        <w:rPr>
          <w:rFonts w:hint="eastAsia"/>
          <w:color w:val="auto"/>
          <w:sz w:val="24"/>
          <w:szCs w:val="24"/>
          <w:highlight w:val="none"/>
        </w:rPr>
      </w:pPr>
      <w:r>
        <w:rPr>
          <w:rFonts w:hint="eastAsia"/>
          <w:color w:val="auto"/>
          <w:sz w:val="24"/>
          <w:szCs w:val="24"/>
          <w:highlight w:val="none"/>
        </w:rPr>
        <w:t>工程名称：                                             编号：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0B47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noWrap w:val="0"/>
            <w:vAlign w:val="top"/>
          </w:tcPr>
          <w:p w14:paraId="71F94181">
            <w:pPr>
              <w:keepNext w:val="0"/>
              <w:keepLines w:val="0"/>
              <w:suppressLineNumbers w:val="0"/>
              <w:spacing w:before="0" w:beforeAutospacing="0" w:after="0" w:afterAutospacing="0" w:line="480" w:lineRule="exact"/>
              <w:ind w:left="525" w:leftChars="149" w:right="0" w:hanging="212" w:hangingChars="101"/>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致：</w:t>
            </w:r>
            <w:r>
              <w:rPr>
                <w:rFonts w:hint="eastAsia" w:ascii="Calibri" w:hAnsi="Calibri" w:eastAsia="宋体" w:cs="Times New Roman"/>
                <w:color w:val="auto"/>
                <w:highlight w:val="none"/>
                <w:u w:val="single"/>
              </w:rPr>
              <w:t xml:space="preserve">                                   （发包人全称）</w:t>
            </w:r>
          </w:p>
          <w:p w14:paraId="241BAB7E">
            <w:pPr>
              <w:keepNext w:val="0"/>
              <w:keepLines w:val="0"/>
              <w:suppressLineNumbers w:val="0"/>
              <w:spacing w:before="0" w:beforeAutospacing="0" w:after="0" w:afterAutospacing="0" w:line="400" w:lineRule="exact"/>
              <w:ind w:left="-4" w:leftChars="-2" w:right="0" w:firstLine="315" w:firstLineChars="150"/>
              <w:rPr>
                <w:rFonts w:hint="eastAsia" w:ascii="Calibri" w:hAnsi="Calibri" w:eastAsia="宋体" w:cs="Times New Roman"/>
                <w:color w:val="auto"/>
                <w:highlight w:val="none"/>
              </w:rPr>
            </w:pPr>
            <w:r>
              <w:rPr>
                <w:rFonts w:hint="eastAsia" w:ascii="Calibri" w:hAnsi="Calibri" w:eastAsia="宋体" w:cs="Times New Roman"/>
                <w:color w:val="auto"/>
                <w:highlight w:val="none"/>
              </w:rPr>
              <w:t>我方根据施工合同的约定，现申请支付工程预付款额为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小写</w:t>
            </w:r>
            <w:r>
              <w:rPr>
                <w:rFonts w:hint="eastAsia" w:ascii="Calibri" w:hAnsi="Calibri" w:cs="Times New Roman"/>
                <w:color w:val="auto"/>
                <w:highlight w:val="none"/>
                <w:lang w:eastAsia="zh-CN"/>
              </w:rPr>
              <w:t>）</w:t>
            </w:r>
          </w:p>
          <w:p w14:paraId="72DDDE36">
            <w:pPr>
              <w:keepNext w:val="0"/>
              <w:keepLines w:val="0"/>
              <w:suppressLineNumbers w:val="0"/>
              <w:spacing w:before="0" w:beforeAutospacing="0" w:after="0" w:afterAutospacing="0" w:line="40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元，请予核准。</w:t>
            </w:r>
          </w:p>
          <w:tbl>
            <w:tblPr>
              <w:tblStyle w:val="4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0CC9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BAD183C">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序号</w:t>
                  </w:r>
                </w:p>
              </w:tc>
              <w:tc>
                <w:tcPr>
                  <w:tcW w:w="3340" w:type="dxa"/>
                  <w:noWrap w:val="0"/>
                  <w:vAlign w:val="center"/>
                </w:tcPr>
                <w:p w14:paraId="33C15E30">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名      称</w:t>
                  </w:r>
                </w:p>
              </w:tc>
              <w:tc>
                <w:tcPr>
                  <w:tcW w:w="1764" w:type="dxa"/>
                  <w:noWrap w:val="0"/>
                  <w:vAlign w:val="center"/>
                </w:tcPr>
                <w:p w14:paraId="0678ABB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申请金额（元）</w:t>
                  </w:r>
                </w:p>
              </w:tc>
              <w:tc>
                <w:tcPr>
                  <w:tcW w:w="2240" w:type="dxa"/>
                  <w:noWrap w:val="0"/>
                  <w:vAlign w:val="center"/>
                </w:tcPr>
                <w:p w14:paraId="369E38BD">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复核金额（元）</w:t>
                  </w:r>
                </w:p>
              </w:tc>
              <w:tc>
                <w:tcPr>
                  <w:tcW w:w="1080" w:type="dxa"/>
                  <w:noWrap w:val="0"/>
                  <w:vAlign w:val="center"/>
                </w:tcPr>
                <w:p w14:paraId="3F2F87A7">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备注</w:t>
                  </w:r>
                </w:p>
              </w:tc>
            </w:tr>
            <w:tr w14:paraId="2307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BF6C959">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w:t>
                  </w:r>
                </w:p>
              </w:tc>
              <w:tc>
                <w:tcPr>
                  <w:tcW w:w="3340" w:type="dxa"/>
                  <w:noWrap w:val="0"/>
                  <w:vAlign w:val="top"/>
                </w:tcPr>
                <w:p w14:paraId="49443D7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已签约合同价款金额</w:t>
                  </w:r>
                </w:p>
              </w:tc>
              <w:tc>
                <w:tcPr>
                  <w:tcW w:w="1764" w:type="dxa"/>
                  <w:noWrap w:val="0"/>
                  <w:vAlign w:val="top"/>
                </w:tcPr>
                <w:p w14:paraId="3B36A65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09EED4C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68495B3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133D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5DACA4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2</w:t>
                  </w:r>
                </w:p>
              </w:tc>
              <w:tc>
                <w:tcPr>
                  <w:tcW w:w="3340" w:type="dxa"/>
                  <w:noWrap w:val="0"/>
                  <w:vAlign w:val="top"/>
                </w:tcPr>
                <w:p w14:paraId="0DA49B6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其中：安全文明施工费</w:t>
                  </w:r>
                </w:p>
              </w:tc>
              <w:tc>
                <w:tcPr>
                  <w:tcW w:w="1764" w:type="dxa"/>
                  <w:noWrap w:val="0"/>
                  <w:vAlign w:val="top"/>
                </w:tcPr>
                <w:p w14:paraId="69417D1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3FD22D9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42D8FDC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17C8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3F5D7B7">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3</w:t>
                  </w:r>
                </w:p>
              </w:tc>
              <w:tc>
                <w:tcPr>
                  <w:tcW w:w="3340" w:type="dxa"/>
                  <w:noWrap w:val="0"/>
                  <w:vAlign w:val="top"/>
                </w:tcPr>
                <w:p w14:paraId="3DB6DCF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应支付的预付款</w:t>
                  </w:r>
                </w:p>
              </w:tc>
              <w:tc>
                <w:tcPr>
                  <w:tcW w:w="1764" w:type="dxa"/>
                  <w:noWrap w:val="0"/>
                  <w:vAlign w:val="top"/>
                </w:tcPr>
                <w:p w14:paraId="778D347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32258D6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5FECB1C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F62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7AFD83F">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w:t>
                  </w:r>
                </w:p>
              </w:tc>
              <w:tc>
                <w:tcPr>
                  <w:tcW w:w="3340" w:type="dxa"/>
                  <w:noWrap w:val="0"/>
                  <w:vAlign w:val="top"/>
                </w:tcPr>
                <w:p w14:paraId="4B4D83E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应支付的安全文明施工费预付款</w:t>
                  </w:r>
                </w:p>
              </w:tc>
              <w:tc>
                <w:tcPr>
                  <w:tcW w:w="1764" w:type="dxa"/>
                  <w:noWrap w:val="0"/>
                  <w:vAlign w:val="top"/>
                </w:tcPr>
                <w:p w14:paraId="2CD29C9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0684F8A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6953214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B54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170663C">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5</w:t>
                  </w:r>
                </w:p>
              </w:tc>
              <w:tc>
                <w:tcPr>
                  <w:tcW w:w="3340" w:type="dxa"/>
                  <w:noWrap w:val="0"/>
                  <w:vAlign w:val="top"/>
                </w:tcPr>
                <w:p w14:paraId="64087AC7">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合计应支付的预付款</w:t>
                  </w:r>
                </w:p>
              </w:tc>
              <w:tc>
                <w:tcPr>
                  <w:tcW w:w="1764" w:type="dxa"/>
                  <w:noWrap w:val="0"/>
                  <w:vAlign w:val="top"/>
                </w:tcPr>
                <w:p w14:paraId="5717682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2D7D477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136E057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856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044D8F2">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340" w:type="dxa"/>
                  <w:noWrap w:val="0"/>
                  <w:vAlign w:val="top"/>
                </w:tcPr>
                <w:p w14:paraId="58D532A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764" w:type="dxa"/>
                  <w:noWrap w:val="0"/>
                  <w:vAlign w:val="top"/>
                </w:tcPr>
                <w:p w14:paraId="421A033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2240" w:type="dxa"/>
                  <w:noWrap w:val="0"/>
                  <w:vAlign w:val="top"/>
                </w:tcPr>
                <w:p w14:paraId="7AD6C4F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080" w:type="dxa"/>
                  <w:noWrap w:val="0"/>
                  <w:vAlign w:val="top"/>
                </w:tcPr>
                <w:p w14:paraId="49E5CC7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bl>
          <w:p w14:paraId="69399904">
            <w:pPr>
              <w:keepNext w:val="0"/>
              <w:keepLines w:val="0"/>
              <w:suppressLineNumbers w:val="0"/>
              <w:wordWrap w:val="0"/>
              <w:spacing w:before="0" w:beforeAutospacing="0" w:after="0" w:afterAutospacing="0" w:line="400" w:lineRule="exact"/>
              <w:ind w:left="0" w:right="420"/>
              <w:rPr>
                <w:rFonts w:hint="eastAsia" w:ascii="Calibri" w:hAnsi="Calibri" w:eastAsia="宋体" w:cs="Times New Roman"/>
                <w:color w:val="auto"/>
                <w:highlight w:val="none"/>
              </w:rPr>
            </w:pPr>
          </w:p>
          <w:p w14:paraId="5B414C34">
            <w:pPr>
              <w:keepNext w:val="0"/>
              <w:keepLines w:val="0"/>
              <w:suppressLineNumbers w:val="0"/>
              <w:wordWrap w:val="0"/>
              <w:spacing w:before="0" w:beforeAutospacing="0" w:after="0" w:afterAutospacing="0" w:line="400" w:lineRule="exact"/>
              <w:ind w:left="0" w:right="420"/>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                                            承包人（章）             </w:t>
            </w:r>
          </w:p>
          <w:p w14:paraId="2F4ADB11">
            <w:pPr>
              <w:keepNext w:val="0"/>
              <w:keepLines w:val="0"/>
              <w:suppressLineNumbers w:val="0"/>
              <w:spacing w:before="0" w:beforeAutospacing="0" w:after="0" w:afterAutospacing="0" w:line="400" w:lineRule="exact"/>
              <w:ind w:left="0" w:right="42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造价人员</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承包人代表</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273D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noWrap w:val="0"/>
            <w:vAlign w:val="top"/>
          </w:tcPr>
          <w:p w14:paraId="69464252">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484773DA">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□与合同约定不相符，修改意见见附件。</w:t>
            </w:r>
          </w:p>
          <w:p w14:paraId="04F93620">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□与合同约定相符，具体金额由造价工程师复核。</w:t>
            </w:r>
          </w:p>
          <w:p w14:paraId="21CE4633">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1FEE1654">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监理工程师</w:t>
            </w:r>
            <w:r>
              <w:rPr>
                <w:rFonts w:hint="eastAsia" w:ascii="Calibri" w:hAnsi="Calibri" w:eastAsia="宋体" w:cs="Times New Roman"/>
                <w:color w:val="auto"/>
                <w:highlight w:val="none"/>
                <w:u w:val="single"/>
              </w:rPr>
              <w:t xml:space="preserve">           </w:t>
            </w:r>
          </w:p>
          <w:p w14:paraId="61DCD355">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c>
          <w:tcPr>
            <w:tcW w:w="4697" w:type="dxa"/>
            <w:noWrap w:val="0"/>
            <w:vAlign w:val="top"/>
          </w:tcPr>
          <w:p w14:paraId="38A221E1">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418A6996">
            <w:pPr>
              <w:keepNext w:val="0"/>
              <w:keepLines w:val="0"/>
              <w:suppressLineNumbers w:val="0"/>
              <w:spacing w:before="0" w:beforeAutospacing="0" w:after="0" w:afterAutospacing="0" w:line="36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你方提出的支付申请经复核，应支付预付款金额为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元，（小写）</w:t>
            </w:r>
          </w:p>
          <w:p w14:paraId="145C835B">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 xml:space="preserve"> 元。</w:t>
            </w:r>
          </w:p>
          <w:p w14:paraId="6538046D">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u w:val="single"/>
              </w:rPr>
            </w:pPr>
          </w:p>
          <w:p w14:paraId="03D2910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造价工程师</w:t>
            </w:r>
            <w:r>
              <w:rPr>
                <w:rFonts w:hint="eastAsia" w:ascii="Calibri" w:hAnsi="Calibri" w:eastAsia="宋体" w:cs="Times New Roman"/>
                <w:color w:val="auto"/>
                <w:highlight w:val="none"/>
                <w:u w:val="single"/>
              </w:rPr>
              <w:t xml:space="preserve">           </w:t>
            </w:r>
          </w:p>
          <w:p w14:paraId="3EA9E347">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r>
      <w:tr w14:paraId="3552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noWrap w:val="0"/>
            <w:vAlign w:val="top"/>
          </w:tcPr>
          <w:p w14:paraId="330FFBDD">
            <w:pPr>
              <w:keepNext w:val="0"/>
              <w:keepLines w:val="0"/>
              <w:suppressLineNumbers w:val="0"/>
              <w:spacing w:before="0" w:beforeAutospacing="0" w:after="0" w:afterAutospacing="0" w:line="40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审核意见：</w:t>
            </w:r>
          </w:p>
          <w:p w14:paraId="3B284CFC">
            <w:pPr>
              <w:keepNext w:val="0"/>
              <w:keepLines w:val="0"/>
              <w:suppressLineNumbers w:val="0"/>
              <w:spacing w:before="0" w:beforeAutospacing="0" w:after="0" w:afterAutospacing="0" w:line="40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□不同意。</w:t>
            </w:r>
          </w:p>
          <w:p w14:paraId="3D27D5DB">
            <w:pPr>
              <w:keepNext w:val="0"/>
              <w:keepLines w:val="0"/>
              <w:suppressLineNumbers w:val="0"/>
              <w:spacing w:before="0" w:beforeAutospacing="0" w:after="0" w:afterAutospacing="0" w:line="400" w:lineRule="exact"/>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□同意，支付时间为本表签发后的15天内。</w:t>
            </w:r>
          </w:p>
          <w:p w14:paraId="26C6A419">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发包人（章）           </w:t>
            </w:r>
          </w:p>
          <w:p w14:paraId="43E610D4">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发包人代表</w:t>
            </w:r>
            <w:r>
              <w:rPr>
                <w:rFonts w:hint="eastAsia" w:ascii="Calibri" w:hAnsi="Calibri" w:eastAsia="宋体" w:cs="Times New Roman"/>
                <w:color w:val="auto"/>
                <w:highlight w:val="none"/>
                <w:u w:val="single"/>
              </w:rPr>
              <w:t xml:space="preserve">             </w:t>
            </w:r>
          </w:p>
          <w:p w14:paraId="14566E85">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bl>
    <w:p w14:paraId="26632153">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064BDAF7">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8A59150">
      <w:pPr>
        <w:spacing w:before="120" w:beforeLines="50"/>
        <w:ind w:left="1200" w:hanging="1200" w:hangingChars="400"/>
        <w:rPr>
          <w:rFonts w:hint="eastAsia" w:eastAsia="仿宋_GB2312"/>
          <w:color w:val="auto"/>
          <w:sz w:val="30"/>
          <w:szCs w:val="30"/>
          <w:highlight w:val="none"/>
        </w:rPr>
      </w:pPr>
    </w:p>
    <w:p w14:paraId="765854EB">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附件11：</w:t>
      </w:r>
    </w:p>
    <w:p w14:paraId="6594CE0C">
      <w:pPr>
        <w:jc w:val="center"/>
        <w:rPr>
          <w:rFonts w:hint="eastAsia"/>
          <w:b/>
          <w:color w:val="auto"/>
          <w:sz w:val="36"/>
          <w:szCs w:val="36"/>
          <w:highlight w:val="none"/>
        </w:rPr>
      </w:pPr>
      <w:r>
        <w:rPr>
          <w:rFonts w:hint="eastAsia"/>
          <w:b/>
          <w:color w:val="auto"/>
          <w:sz w:val="36"/>
          <w:szCs w:val="36"/>
          <w:highlight w:val="none"/>
        </w:rPr>
        <w:t>进度款支付申请（核准）表</w:t>
      </w:r>
    </w:p>
    <w:p w14:paraId="2CBD3195">
      <w:pPr>
        <w:rPr>
          <w:rFonts w:hint="eastAsia"/>
          <w:color w:val="auto"/>
          <w:sz w:val="24"/>
          <w:szCs w:val="24"/>
          <w:highlight w:val="none"/>
        </w:rPr>
      </w:pPr>
      <w:r>
        <w:rPr>
          <w:rFonts w:hint="eastAsia"/>
          <w:color w:val="auto"/>
          <w:sz w:val="24"/>
          <w:szCs w:val="24"/>
          <w:highlight w:val="none"/>
        </w:rPr>
        <w:t>工程名称：                                             编号：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17A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71C737BA">
            <w:pPr>
              <w:keepNext w:val="0"/>
              <w:keepLines w:val="0"/>
              <w:suppressLineNumbers w:val="0"/>
              <w:spacing w:before="0" w:beforeAutospacing="0" w:after="0" w:afterAutospacing="0" w:line="480" w:lineRule="exact"/>
              <w:ind w:left="525" w:leftChars="149" w:right="0" w:hanging="212" w:hangingChars="101"/>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致：</w:t>
            </w:r>
            <w:r>
              <w:rPr>
                <w:rFonts w:hint="eastAsia" w:ascii="Calibri" w:hAnsi="Calibri" w:eastAsia="宋体" w:cs="Times New Roman"/>
                <w:color w:val="auto"/>
                <w:highlight w:val="none"/>
                <w:u w:val="single"/>
              </w:rPr>
              <w:t xml:space="preserve">                                   （发包人全称）</w:t>
            </w:r>
          </w:p>
          <w:p w14:paraId="362866F9">
            <w:pPr>
              <w:keepNext w:val="0"/>
              <w:keepLines w:val="0"/>
              <w:suppressLineNumbers w:val="0"/>
              <w:spacing w:before="0" w:beforeAutospacing="0" w:after="0" w:afterAutospacing="0" w:line="400" w:lineRule="exact"/>
              <w:ind w:left="-4" w:leftChars="-2" w:right="0" w:firstLine="315" w:firstLineChars="150"/>
              <w:rPr>
                <w:rFonts w:hint="eastAsia" w:ascii="Calibri" w:hAnsi="Calibri" w:eastAsia="宋体" w:cs="Times New Roman"/>
                <w:color w:val="auto"/>
                <w:highlight w:val="none"/>
              </w:rPr>
            </w:pPr>
            <w:r>
              <w:rPr>
                <w:rFonts w:hint="eastAsia" w:ascii="Calibri" w:hAnsi="Calibri" w:eastAsia="宋体" w:cs="Times New Roman"/>
                <w:color w:val="auto"/>
                <w:highlight w:val="none"/>
              </w:rPr>
              <w:t>我方于</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至</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期间已完成了</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工作，根据施工合同的约定，现申请支付本期的合同款额为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小写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元，请予核准。</w:t>
            </w:r>
          </w:p>
          <w:tbl>
            <w:tblPr>
              <w:tblStyle w:val="4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26CB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3D1E7FC6">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序号</w:t>
                  </w:r>
                </w:p>
              </w:tc>
              <w:tc>
                <w:tcPr>
                  <w:tcW w:w="3340" w:type="dxa"/>
                  <w:noWrap w:val="0"/>
                  <w:vAlign w:val="center"/>
                </w:tcPr>
                <w:p w14:paraId="2FF1DB41">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名      称</w:t>
                  </w:r>
                </w:p>
              </w:tc>
              <w:tc>
                <w:tcPr>
                  <w:tcW w:w="1340" w:type="dxa"/>
                  <w:noWrap w:val="0"/>
                  <w:vAlign w:val="center"/>
                </w:tcPr>
                <w:p w14:paraId="4455731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实际金额（元）</w:t>
                  </w:r>
                </w:p>
              </w:tc>
              <w:tc>
                <w:tcPr>
                  <w:tcW w:w="1440" w:type="dxa"/>
                  <w:noWrap w:val="0"/>
                  <w:vAlign w:val="center"/>
                </w:tcPr>
                <w:p w14:paraId="69550D7D">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申请金额（元）</w:t>
                  </w:r>
                </w:p>
              </w:tc>
              <w:tc>
                <w:tcPr>
                  <w:tcW w:w="1260" w:type="dxa"/>
                  <w:noWrap w:val="0"/>
                  <w:vAlign w:val="center"/>
                </w:tcPr>
                <w:p w14:paraId="24260123">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复核金额（元）</w:t>
                  </w:r>
                </w:p>
              </w:tc>
              <w:tc>
                <w:tcPr>
                  <w:tcW w:w="931" w:type="dxa"/>
                  <w:noWrap w:val="0"/>
                  <w:vAlign w:val="center"/>
                </w:tcPr>
                <w:p w14:paraId="5F562D7D">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备注</w:t>
                  </w:r>
                </w:p>
              </w:tc>
            </w:tr>
            <w:tr w14:paraId="3DBF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6CE6501">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w:t>
                  </w:r>
                </w:p>
              </w:tc>
              <w:tc>
                <w:tcPr>
                  <w:tcW w:w="3340" w:type="dxa"/>
                  <w:noWrap w:val="0"/>
                  <w:vAlign w:val="top"/>
                </w:tcPr>
                <w:p w14:paraId="62ABEE17">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累计已完成的工程价款</w:t>
                  </w:r>
                </w:p>
              </w:tc>
              <w:tc>
                <w:tcPr>
                  <w:tcW w:w="1340" w:type="dxa"/>
                  <w:noWrap w:val="0"/>
                  <w:vAlign w:val="top"/>
                </w:tcPr>
                <w:p w14:paraId="5BC2BCE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66C5D39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153BF2A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581372E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38F8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93D0A8">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340" w:type="dxa"/>
                  <w:noWrap w:val="0"/>
                  <w:vAlign w:val="top"/>
                </w:tcPr>
                <w:p w14:paraId="54E4ED4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其中：人工费</w:t>
                  </w:r>
                </w:p>
              </w:tc>
              <w:tc>
                <w:tcPr>
                  <w:tcW w:w="1340" w:type="dxa"/>
                  <w:noWrap w:val="0"/>
                  <w:vAlign w:val="top"/>
                </w:tcPr>
                <w:p w14:paraId="6D3F2AAB">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5C88348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3D729C1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2B9E9CB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55DB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01C732">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2</w:t>
                  </w:r>
                </w:p>
              </w:tc>
              <w:tc>
                <w:tcPr>
                  <w:tcW w:w="3340" w:type="dxa"/>
                  <w:noWrap w:val="0"/>
                  <w:vAlign w:val="top"/>
                </w:tcPr>
                <w:p w14:paraId="6E37D4A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累计已实际支付的工程价款</w:t>
                  </w:r>
                </w:p>
              </w:tc>
              <w:tc>
                <w:tcPr>
                  <w:tcW w:w="1340" w:type="dxa"/>
                  <w:noWrap w:val="0"/>
                  <w:vAlign w:val="top"/>
                </w:tcPr>
                <w:p w14:paraId="2EFF3B7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039EE81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78EC2AA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4356338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2104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6BBBEA4">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340" w:type="dxa"/>
                  <w:noWrap w:val="0"/>
                  <w:vAlign w:val="top"/>
                </w:tcPr>
                <w:p w14:paraId="1EDFED5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其中：人工费</w:t>
                  </w:r>
                </w:p>
              </w:tc>
              <w:tc>
                <w:tcPr>
                  <w:tcW w:w="1340" w:type="dxa"/>
                  <w:noWrap w:val="0"/>
                  <w:vAlign w:val="top"/>
                </w:tcPr>
                <w:p w14:paraId="4AB6167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3F740B6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25F185C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5A9AF3BB">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34C6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977710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3</w:t>
                  </w:r>
                </w:p>
              </w:tc>
              <w:tc>
                <w:tcPr>
                  <w:tcW w:w="3340" w:type="dxa"/>
                  <w:noWrap w:val="0"/>
                  <w:vAlign w:val="top"/>
                </w:tcPr>
                <w:p w14:paraId="06ED91F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本周期已完成的工程价款</w:t>
                  </w:r>
                </w:p>
              </w:tc>
              <w:tc>
                <w:tcPr>
                  <w:tcW w:w="1340" w:type="dxa"/>
                  <w:noWrap w:val="0"/>
                  <w:vAlign w:val="top"/>
                </w:tcPr>
                <w:p w14:paraId="38F0D3A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6CEF74F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3412730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298B117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147A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A0B89A">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340" w:type="dxa"/>
                  <w:noWrap w:val="0"/>
                  <w:vAlign w:val="top"/>
                </w:tcPr>
                <w:p w14:paraId="705C425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其中：人工费</w:t>
                  </w:r>
                </w:p>
              </w:tc>
              <w:tc>
                <w:tcPr>
                  <w:tcW w:w="1340" w:type="dxa"/>
                  <w:noWrap w:val="0"/>
                  <w:vAlign w:val="top"/>
                </w:tcPr>
                <w:p w14:paraId="794EF36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6F913F2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4E50DD6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498D1C7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713C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4DA5AB0">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w:t>
                  </w:r>
                </w:p>
              </w:tc>
              <w:tc>
                <w:tcPr>
                  <w:tcW w:w="3340" w:type="dxa"/>
                  <w:noWrap w:val="0"/>
                  <w:vAlign w:val="top"/>
                </w:tcPr>
                <w:p w14:paraId="0DE7B49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本周期应扣减的金额</w:t>
                  </w:r>
                </w:p>
              </w:tc>
              <w:tc>
                <w:tcPr>
                  <w:tcW w:w="1340" w:type="dxa"/>
                  <w:noWrap w:val="0"/>
                  <w:vAlign w:val="top"/>
                </w:tcPr>
                <w:p w14:paraId="1A885D7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63574E3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1A31DD1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579534B7">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D13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E71074F">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4.1</w:t>
                  </w:r>
                </w:p>
              </w:tc>
              <w:tc>
                <w:tcPr>
                  <w:tcW w:w="3340" w:type="dxa"/>
                  <w:noWrap w:val="0"/>
                  <w:vAlign w:val="top"/>
                </w:tcPr>
                <w:p w14:paraId="283BFFC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本周期实际应抵扣的预付款</w:t>
                  </w:r>
                </w:p>
              </w:tc>
              <w:tc>
                <w:tcPr>
                  <w:tcW w:w="1340" w:type="dxa"/>
                  <w:noWrap w:val="0"/>
                  <w:vAlign w:val="top"/>
                </w:tcPr>
                <w:p w14:paraId="7D17392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268DBE2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7E6D190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094C4D2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5D00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44091E8">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4.2</w:t>
                  </w:r>
                </w:p>
              </w:tc>
              <w:tc>
                <w:tcPr>
                  <w:tcW w:w="3340" w:type="dxa"/>
                  <w:noWrap w:val="0"/>
                  <w:vAlign w:val="top"/>
                </w:tcPr>
                <w:p w14:paraId="0AB150B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本周期应扣减的金额</w:t>
                  </w:r>
                </w:p>
              </w:tc>
              <w:tc>
                <w:tcPr>
                  <w:tcW w:w="1340" w:type="dxa"/>
                  <w:noWrap w:val="0"/>
                  <w:vAlign w:val="top"/>
                </w:tcPr>
                <w:p w14:paraId="02320FE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00BA325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3B7DC6B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68559E6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4DD3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A895B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5</w:t>
                  </w:r>
                </w:p>
              </w:tc>
              <w:tc>
                <w:tcPr>
                  <w:tcW w:w="3340" w:type="dxa"/>
                  <w:noWrap w:val="0"/>
                  <w:vAlign w:val="top"/>
                </w:tcPr>
                <w:p w14:paraId="21472DA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本周期应支付的合同价款</w:t>
                  </w:r>
                </w:p>
              </w:tc>
              <w:tc>
                <w:tcPr>
                  <w:tcW w:w="1340" w:type="dxa"/>
                  <w:noWrap w:val="0"/>
                  <w:vAlign w:val="top"/>
                </w:tcPr>
                <w:p w14:paraId="3285939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73F46C3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6286672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5BDE621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952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925B74">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340" w:type="dxa"/>
                  <w:noWrap w:val="0"/>
                  <w:vAlign w:val="top"/>
                </w:tcPr>
                <w:p w14:paraId="60ADB1A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其中：人工费</w:t>
                  </w:r>
                </w:p>
              </w:tc>
              <w:tc>
                <w:tcPr>
                  <w:tcW w:w="1340" w:type="dxa"/>
                  <w:noWrap w:val="0"/>
                  <w:vAlign w:val="top"/>
                </w:tcPr>
                <w:p w14:paraId="77719A8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440" w:type="dxa"/>
                  <w:noWrap w:val="0"/>
                  <w:vAlign w:val="top"/>
                </w:tcPr>
                <w:p w14:paraId="764EC24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260" w:type="dxa"/>
                  <w:noWrap w:val="0"/>
                  <w:vAlign w:val="top"/>
                </w:tcPr>
                <w:p w14:paraId="07392EF7">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931" w:type="dxa"/>
                  <w:noWrap w:val="0"/>
                  <w:vAlign w:val="top"/>
                </w:tcPr>
                <w:p w14:paraId="70D1A70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bl>
          <w:p w14:paraId="102E4DCE">
            <w:pPr>
              <w:keepNext w:val="0"/>
              <w:keepLines w:val="0"/>
              <w:suppressLineNumbers w:val="0"/>
              <w:wordWrap w:val="0"/>
              <w:spacing w:before="0" w:beforeAutospacing="0" w:after="0" w:afterAutospacing="0" w:line="400" w:lineRule="exact"/>
              <w:ind w:left="0" w:right="420"/>
              <w:rPr>
                <w:rFonts w:hint="eastAsia" w:ascii="Calibri" w:hAnsi="Calibri" w:eastAsia="宋体" w:cs="Times New Roman"/>
                <w:color w:val="auto"/>
                <w:highlight w:val="none"/>
              </w:rPr>
            </w:pPr>
            <w:r>
              <w:rPr>
                <w:rFonts w:hint="eastAsia" w:ascii="Calibri" w:hAnsi="Calibri" w:eastAsia="宋体" w:cs="Times New Roman"/>
                <w:color w:val="auto"/>
                <w:highlight w:val="none"/>
              </w:rPr>
              <w:t>附：上述</w:t>
            </w:r>
            <w:r>
              <w:rPr>
                <w:rFonts w:hint="eastAsia" w:ascii="Calibri" w:hAnsi="Calibri" w:cs="Times New Roman"/>
                <w:color w:val="auto"/>
                <w:highlight w:val="none"/>
                <w:lang w:eastAsia="zh-CN"/>
              </w:rPr>
              <w:t>3.</w:t>
            </w:r>
            <w:r>
              <w:rPr>
                <w:rFonts w:hint="eastAsia" w:ascii="Calibri" w:hAnsi="Calibri" w:eastAsia="宋体" w:cs="Times New Roman"/>
                <w:color w:val="auto"/>
                <w:highlight w:val="none"/>
              </w:rPr>
              <w:t>4详见附件清单。</w:t>
            </w:r>
          </w:p>
          <w:p w14:paraId="1F472D45">
            <w:pPr>
              <w:keepNext w:val="0"/>
              <w:keepLines w:val="0"/>
              <w:suppressLineNumbers w:val="0"/>
              <w:wordWrap w:val="0"/>
              <w:spacing w:before="0" w:beforeAutospacing="0" w:after="0" w:afterAutospacing="0" w:line="400" w:lineRule="exact"/>
              <w:ind w:left="0" w:right="420"/>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                                            承包人（章）             </w:t>
            </w:r>
          </w:p>
          <w:p w14:paraId="09BFB959">
            <w:pPr>
              <w:keepNext w:val="0"/>
              <w:keepLines w:val="0"/>
              <w:suppressLineNumbers w:val="0"/>
              <w:spacing w:before="0" w:beforeAutospacing="0" w:after="0" w:afterAutospacing="0" w:line="400" w:lineRule="exact"/>
              <w:ind w:left="0" w:right="42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造价人员</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承包人代表</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054D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3A66CE46">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2243E223">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□与实际施工情况不相符，修改意见见附件。</w:t>
            </w:r>
          </w:p>
          <w:p w14:paraId="0384AB00">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□与实际施工情况相符，具体金额由造价工程师复核。</w:t>
            </w:r>
          </w:p>
          <w:p w14:paraId="4F1D332C">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0E4D6732">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监理工程师</w:t>
            </w:r>
            <w:r>
              <w:rPr>
                <w:rFonts w:hint="eastAsia" w:ascii="Calibri" w:hAnsi="Calibri" w:eastAsia="宋体" w:cs="Times New Roman"/>
                <w:color w:val="auto"/>
                <w:highlight w:val="none"/>
                <w:u w:val="single"/>
              </w:rPr>
              <w:t xml:space="preserve">           </w:t>
            </w:r>
          </w:p>
          <w:p w14:paraId="4E9EC93B">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c>
          <w:tcPr>
            <w:tcW w:w="4552" w:type="dxa"/>
            <w:noWrap w:val="0"/>
            <w:vAlign w:val="top"/>
          </w:tcPr>
          <w:p w14:paraId="3B45FE2F">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05BA8BE5">
            <w:pPr>
              <w:keepNext w:val="0"/>
              <w:keepLines w:val="0"/>
              <w:suppressLineNumbers w:val="0"/>
              <w:spacing w:before="0" w:beforeAutospacing="0" w:after="0" w:afterAutospacing="0" w:line="36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你方提出的支付申请经复核，本周期已完成工程价款为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元，（小写）</w:t>
            </w:r>
          </w:p>
          <w:p w14:paraId="5CEC14E7">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 xml:space="preserve"> 元，本期间应支付金额为（大写）</w:t>
            </w:r>
          </w:p>
          <w:p w14:paraId="7E3B4F38">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元，（小写）</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p>
          <w:p w14:paraId="4BE8A0FD">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造价工程师</w:t>
            </w:r>
            <w:r>
              <w:rPr>
                <w:rFonts w:hint="eastAsia" w:ascii="Calibri" w:hAnsi="Calibri" w:eastAsia="宋体" w:cs="Times New Roman"/>
                <w:color w:val="auto"/>
                <w:highlight w:val="none"/>
                <w:u w:val="single"/>
              </w:rPr>
              <w:t xml:space="preserve">           </w:t>
            </w:r>
          </w:p>
          <w:p w14:paraId="6272CDEB">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4A15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1859CF52">
            <w:pPr>
              <w:keepNext w:val="0"/>
              <w:keepLines w:val="0"/>
              <w:suppressLineNumbers w:val="0"/>
              <w:spacing w:before="0" w:beforeAutospacing="0" w:after="0" w:afterAutospacing="0" w:line="40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审核意见：</w:t>
            </w:r>
          </w:p>
          <w:p w14:paraId="5746B7FC">
            <w:pPr>
              <w:keepNext w:val="0"/>
              <w:keepLines w:val="0"/>
              <w:suppressLineNumbers w:val="0"/>
              <w:spacing w:before="0" w:beforeAutospacing="0" w:after="0" w:afterAutospacing="0" w:line="40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□不同意。</w:t>
            </w:r>
          </w:p>
          <w:p w14:paraId="31772D02">
            <w:pPr>
              <w:keepNext w:val="0"/>
              <w:keepLines w:val="0"/>
              <w:suppressLineNumbers w:val="0"/>
              <w:spacing w:before="0" w:beforeAutospacing="0" w:after="0" w:afterAutospacing="0" w:line="400" w:lineRule="exact"/>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□同意，支付时间为本表签发后的15天内。</w:t>
            </w:r>
          </w:p>
          <w:p w14:paraId="49B0FAED">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发包人（章）           </w:t>
            </w:r>
          </w:p>
          <w:p w14:paraId="75EF3C0F">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发包人代表</w:t>
            </w:r>
            <w:r>
              <w:rPr>
                <w:rFonts w:hint="eastAsia" w:ascii="Calibri" w:hAnsi="Calibri" w:eastAsia="宋体" w:cs="Times New Roman"/>
                <w:color w:val="auto"/>
                <w:highlight w:val="none"/>
                <w:u w:val="single"/>
              </w:rPr>
              <w:t xml:space="preserve">             </w:t>
            </w:r>
          </w:p>
          <w:p w14:paraId="72D14B1B">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bl>
    <w:p w14:paraId="003F54AF">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6C15864F">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E63F067">
      <w:pPr>
        <w:spacing w:before="120" w:beforeLines="50"/>
        <w:ind w:left="840" w:hanging="840" w:hangingChars="400"/>
        <w:rPr>
          <w:rFonts w:hint="eastAsia" w:ascii="宋体"/>
          <w:color w:val="auto"/>
          <w:highlight w:val="none"/>
        </w:rPr>
      </w:pPr>
    </w:p>
    <w:p w14:paraId="76F92AAF">
      <w:pPr>
        <w:jc w:val="left"/>
        <w:rPr>
          <w:rFonts w:hint="eastAsia"/>
          <w:color w:val="auto"/>
          <w:sz w:val="30"/>
          <w:szCs w:val="30"/>
          <w:highlight w:val="none"/>
        </w:rPr>
      </w:pPr>
      <w:r>
        <w:rPr>
          <w:rFonts w:hint="eastAsia"/>
          <w:color w:val="auto"/>
          <w:sz w:val="30"/>
          <w:szCs w:val="30"/>
          <w:highlight w:val="none"/>
        </w:rPr>
        <w:t>附件12</w:t>
      </w:r>
    </w:p>
    <w:p w14:paraId="1AABEA74">
      <w:pPr>
        <w:jc w:val="center"/>
        <w:rPr>
          <w:rFonts w:hint="eastAsia"/>
          <w:b/>
          <w:color w:val="auto"/>
          <w:sz w:val="36"/>
          <w:szCs w:val="36"/>
          <w:highlight w:val="none"/>
        </w:rPr>
      </w:pPr>
      <w:r>
        <w:rPr>
          <w:rFonts w:hint="eastAsia"/>
          <w:b/>
          <w:color w:val="auto"/>
          <w:sz w:val="36"/>
          <w:szCs w:val="36"/>
          <w:highlight w:val="none"/>
        </w:rPr>
        <w:t>竣工结算款支付申请（核准）表</w:t>
      </w:r>
    </w:p>
    <w:p w14:paraId="6C7DB16D">
      <w:pPr>
        <w:rPr>
          <w:rFonts w:hint="eastAsia"/>
          <w:color w:val="auto"/>
          <w:sz w:val="24"/>
          <w:szCs w:val="24"/>
          <w:highlight w:val="none"/>
        </w:rPr>
      </w:pPr>
      <w:r>
        <w:rPr>
          <w:rFonts w:hint="eastAsia"/>
          <w:color w:val="auto"/>
          <w:sz w:val="24"/>
          <w:szCs w:val="24"/>
          <w:highlight w:val="none"/>
        </w:rPr>
        <w:t>工程名称：                                              编号：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25F7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noWrap w:val="0"/>
            <w:vAlign w:val="top"/>
          </w:tcPr>
          <w:p w14:paraId="564F05D0">
            <w:pPr>
              <w:keepNext w:val="0"/>
              <w:keepLines w:val="0"/>
              <w:suppressLineNumbers w:val="0"/>
              <w:spacing w:before="0" w:beforeAutospacing="0" w:after="0" w:afterAutospacing="0" w:line="480" w:lineRule="exact"/>
              <w:ind w:left="525" w:leftChars="149" w:right="0" w:hanging="212" w:hangingChars="101"/>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致：</w:t>
            </w:r>
            <w:r>
              <w:rPr>
                <w:rFonts w:hint="eastAsia" w:ascii="Calibri" w:hAnsi="Calibri" w:eastAsia="宋体" w:cs="Times New Roman"/>
                <w:color w:val="auto"/>
                <w:highlight w:val="none"/>
                <w:u w:val="single"/>
              </w:rPr>
              <w:t xml:space="preserve">                                   （发包人全称）</w:t>
            </w:r>
          </w:p>
          <w:p w14:paraId="4422399D">
            <w:pPr>
              <w:keepNext w:val="0"/>
              <w:keepLines w:val="0"/>
              <w:suppressLineNumbers w:val="0"/>
              <w:spacing w:before="0" w:beforeAutospacing="0" w:after="0" w:afterAutospacing="0" w:line="400" w:lineRule="exact"/>
              <w:ind w:left="-4" w:leftChars="-2" w:right="0" w:firstLine="315" w:firstLineChars="150"/>
              <w:rPr>
                <w:rFonts w:hint="eastAsia" w:ascii="Calibri" w:hAnsi="Calibri" w:eastAsia="宋体" w:cs="Times New Roman"/>
                <w:color w:val="auto"/>
                <w:highlight w:val="none"/>
              </w:rPr>
            </w:pPr>
            <w:r>
              <w:rPr>
                <w:rFonts w:hint="eastAsia" w:ascii="Calibri" w:hAnsi="Calibri" w:eastAsia="宋体" w:cs="Times New Roman"/>
                <w:color w:val="auto"/>
                <w:highlight w:val="none"/>
              </w:rPr>
              <w:t>我方于</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至</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期间已完成了合同约定的工作，根据施工合同的约定，现申请支付竣工结算的工程款额为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小写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元，请予核准。</w:t>
            </w:r>
          </w:p>
          <w:tbl>
            <w:tblPr>
              <w:tblStyle w:val="4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1B4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C93AC7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序号</w:t>
                  </w:r>
                </w:p>
              </w:tc>
              <w:tc>
                <w:tcPr>
                  <w:tcW w:w="3420" w:type="dxa"/>
                  <w:noWrap w:val="0"/>
                  <w:vAlign w:val="center"/>
                </w:tcPr>
                <w:p w14:paraId="73C8736A">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名      称</w:t>
                  </w:r>
                </w:p>
              </w:tc>
              <w:tc>
                <w:tcPr>
                  <w:tcW w:w="1620" w:type="dxa"/>
                  <w:noWrap w:val="0"/>
                  <w:vAlign w:val="center"/>
                </w:tcPr>
                <w:p w14:paraId="49D648FA">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申请金额（元）</w:t>
                  </w:r>
                </w:p>
              </w:tc>
              <w:tc>
                <w:tcPr>
                  <w:tcW w:w="1620" w:type="dxa"/>
                  <w:noWrap w:val="0"/>
                  <w:vAlign w:val="center"/>
                </w:tcPr>
                <w:p w14:paraId="7F7CDBE7">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复核金额（元）</w:t>
                  </w:r>
                </w:p>
              </w:tc>
              <w:tc>
                <w:tcPr>
                  <w:tcW w:w="1651" w:type="dxa"/>
                  <w:noWrap w:val="0"/>
                  <w:vAlign w:val="center"/>
                </w:tcPr>
                <w:p w14:paraId="2DC3DFB0">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备注</w:t>
                  </w:r>
                </w:p>
              </w:tc>
            </w:tr>
            <w:tr w14:paraId="0556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A619953">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w:t>
                  </w:r>
                </w:p>
              </w:tc>
              <w:tc>
                <w:tcPr>
                  <w:tcW w:w="3420" w:type="dxa"/>
                  <w:noWrap w:val="0"/>
                  <w:vAlign w:val="top"/>
                </w:tcPr>
                <w:p w14:paraId="60F9193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竣工结算合同价款总额</w:t>
                  </w:r>
                </w:p>
              </w:tc>
              <w:tc>
                <w:tcPr>
                  <w:tcW w:w="1620" w:type="dxa"/>
                  <w:noWrap w:val="0"/>
                  <w:vAlign w:val="top"/>
                </w:tcPr>
                <w:p w14:paraId="674160E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6EF4510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75688F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5E91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D99D36">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2</w:t>
                  </w:r>
                </w:p>
              </w:tc>
              <w:tc>
                <w:tcPr>
                  <w:tcW w:w="3420" w:type="dxa"/>
                  <w:noWrap w:val="0"/>
                  <w:vAlign w:val="top"/>
                </w:tcPr>
                <w:p w14:paraId="3809FD0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累计已实际支付的合同价款</w:t>
                  </w:r>
                </w:p>
              </w:tc>
              <w:tc>
                <w:tcPr>
                  <w:tcW w:w="1620" w:type="dxa"/>
                  <w:noWrap w:val="0"/>
                  <w:vAlign w:val="top"/>
                </w:tcPr>
                <w:p w14:paraId="01DAA89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2C5D12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40E714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7A20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E6B79CA">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3</w:t>
                  </w:r>
                </w:p>
              </w:tc>
              <w:tc>
                <w:tcPr>
                  <w:tcW w:w="3420" w:type="dxa"/>
                  <w:noWrap w:val="0"/>
                  <w:vAlign w:val="top"/>
                </w:tcPr>
                <w:p w14:paraId="5347581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应预留的质量保证金</w:t>
                  </w:r>
                </w:p>
              </w:tc>
              <w:tc>
                <w:tcPr>
                  <w:tcW w:w="1620" w:type="dxa"/>
                  <w:noWrap w:val="0"/>
                  <w:vAlign w:val="top"/>
                </w:tcPr>
                <w:p w14:paraId="730655C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7C678BCB">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C7D368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5301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3BF27C6">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w:t>
                  </w:r>
                </w:p>
              </w:tc>
              <w:tc>
                <w:tcPr>
                  <w:tcW w:w="3420" w:type="dxa"/>
                  <w:noWrap w:val="0"/>
                  <w:vAlign w:val="top"/>
                </w:tcPr>
                <w:p w14:paraId="6108240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应支付的竣工结算款金额</w:t>
                  </w:r>
                </w:p>
              </w:tc>
              <w:tc>
                <w:tcPr>
                  <w:tcW w:w="1620" w:type="dxa"/>
                  <w:noWrap w:val="0"/>
                  <w:vAlign w:val="top"/>
                </w:tcPr>
                <w:p w14:paraId="7FBF5B0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50B517D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2B74B80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3421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B1D88A9">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483D611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6CB940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04477C5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7786E32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3A28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31BB233">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5371D4E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0EA61A9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751870B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0896BBB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92D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909D701">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6544970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2A6AE20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81B899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06197C9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AD5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477E02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6D0A47B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133D2C8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35797F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7EEEC7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132F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17D610">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3A54FBED">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550FFFA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2C38B3E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2B40F1C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bl>
          <w:p w14:paraId="06C9FF65">
            <w:pPr>
              <w:keepNext w:val="0"/>
              <w:keepLines w:val="0"/>
              <w:suppressLineNumbers w:val="0"/>
              <w:spacing w:before="0" w:beforeAutospacing="0" w:after="0" w:afterAutospacing="0" w:line="400" w:lineRule="exact"/>
              <w:ind w:left="0" w:right="420" w:firstLine="435"/>
              <w:jc w:val="center"/>
              <w:rPr>
                <w:rFonts w:hint="eastAsia" w:ascii="Calibri" w:hAnsi="Calibri" w:eastAsia="宋体" w:cs="Times New Roman"/>
                <w:color w:val="auto"/>
                <w:highlight w:val="none"/>
              </w:rPr>
            </w:pPr>
          </w:p>
          <w:p w14:paraId="1A989B26">
            <w:pPr>
              <w:keepNext w:val="0"/>
              <w:keepLines w:val="0"/>
              <w:suppressLineNumbers w:val="0"/>
              <w:spacing w:before="0" w:beforeAutospacing="0" w:after="0" w:afterAutospacing="0" w:line="400" w:lineRule="exact"/>
              <w:ind w:left="0" w:right="42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                                            承包人（章）             </w:t>
            </w:r>
          </w:p>
          <w:p w14:paraId="7422A0ED">
            <w:pPr>
              <w:keepNext w:val="0"/>
              <w:keepLines w:val="0"/>
              <w:suppressLineNumbers w:val="0"/>
              <w:spacing w:before="0" w:beforeAutospacing="0" w:after="0" w:afterAutospacing="0" w:line="400" w:lineRule="exact"/>
              <w:ind w:left="0" w:right="42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造价人员</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承包人代表</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2CDF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0000CC02">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63228266">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□与实际施工情况不相符，修改意见见附件。</w:t>
            </w:r>
          </w:p>
          <w:p w14:paraId="252F9133">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□与实际施工情况相符，具体金额由造价工程师复核。</w:t>
            </w:r>
          </w:p>
          <w:p w14:paraId="6228A505">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69318F85">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3FA39DF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w:t>
            </w:r>
          </w:p>
          <w:p w14:paraId="7B40C67B">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 xml:space="preserve">      监理工程师</w:t>
            </w:r>
            <w:r>
              <w:rPr>
                <w:rFonts w:hint="eastAsia" w:ascii="Calibri" w:hAnsi="Calibri" w:eastAsia="宋体" w:cs="Times New Roman"/>
                <w:color w:val="auto"/>
                <w:highlight w:val="none"/>
                <w:u w:val="single"/>
              </w:rPr>
              <w:t xml:space="preserve">           </w:t>
            </w:r>
          </w:p>
          <w:p w14:paraId="6502CA2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c>
          <w:tcPr>
            <w:tcW w:w="4533" w:type="dxa"/>
            <w:noWrap w:val="0"/>
            <w:vAlign w:val="top"/>
          </w:tcPr>
          <w:p w14:paraId="3832E058">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4AA1F51E">
            <w:pPr>
              <w:keepNext w:val="0"/>
              <w:keepLines w:val="0"/>
              <w:suppressLineNumbers w:val="0"/>
              <w:spacing w:before="0" w:beforeAutospacing="0" w:after="0" w:afterAutospacing="0" w:line="360" w:lineRule="exact"/>
              <w:ind w:left="0" w:right="0" w:firstLine="435"/>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你方提出的竣工结算支付申请经复核，竣工结算款总额为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元，（小写）</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 xml:space="preserve"> 元，扣除前期支付以及质量保证金后应支付金额为（大写）</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元，（小写）</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p>
          <w:p w14:paraId="10199BA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default" w:ascii="Calibri" w:hAnsi="Calibri" w:eastAsia="宋体" w:cs="Times New Roman"/>
                <w:color w:val="auto"/>
                <w:highlight w:val="none"/>
              </w:rPr>
              <w:t xml:space="preserve">    </w:t>
            </w:r>
          </w:p>
          <w:p w14:paraId="5C58EAFF">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 xml:space="preserve">    造价工程师</w:t>
            </w:r>
            <w:r>
              <w:rPr>
                <w:rFonts w:hint="eastAsia" w:ascii="Calibri" w:hAnsi="Calibri" w:eastAsia="宋体" w:cs="Times New Roman"/>
                <w:color w:val="auto"/>
                <w:highlight w:val="none"/>
                <w:u w:val="single"/>
              </w:rPr>
              <w:t xml:space="preserve">           </w:t>
            </w:r>
          </w:p>
          <w:p w14:paraId="29E7A21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7DF5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73BE52F">
            <w:pPr>
              <w:keepNext w:val="0"/>
              <w:keepLines w:val="0"/>
              <w:suppressLineNumbers w:val="0"/>
              <w:spacing w:before="0" w:beforeAutospacing="0" w:after="0" w:afterAutospacing="0" w:line="40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审核意见：</w:t>
            </w:r>
          </w:p>
          <w:p w14:paraId="6CB74C8A">
            <w:pPr>
              <w:keepNext w:val="0"/>
              <w:keepLines w:val="0"/>
              <w:suppressLineNumbers w:val="0"/>
              <w:spacing w:before="0" w:beforeAutospacing="0" w:after="0" w:afterAutospacing="0" w:line="40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□不同意。</w:t>
            </w:r>
          </w:p>
          <w:p w14:paraId="5B6F385E">
            <w:pPr>
              <w:keepNext w:val="0"/>
              <w:keepLines w:val="0"/>
              <w:suppressLineNumbers w:val="0"/>
              <w:spacing w:before="0" w:beforeAutospacing="0" w:after="0" w:afterAutospacing="0" w:line="400" w:lineRule="exact"/>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□同意，支付时间为本表签发后的15天内。</w:t>
            </w:r>
          </w:p>
          <w:p w14:paraId="52FA1545">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发包人（章）           </w:t>
            </w:r>
          </w:p>
          <w:p w14:paraId="746CA870">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发包人代表</w:t>
            </w:r>
            <w:r>
              <w:rPr>
                <w:rFonts w:hint="eastAsia" w:ascii="Calibri" w:hAnsi="Calibri" w:eastAsia="宋体" w:cs="Times New Roman"/>
                <w:color w:val="auto"/>
                <w:highlight w:val="none"/>
                <w:u w:val="single"/>
              </w:rPr>
              <w:t xml:space="preserve">             </w:t>
            </w:r>
          </w:p>
          <w:p w14:paraId="4A21FBEC">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bl>
    <w:p w14:paraId="05585AE7">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16EA23EF">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3D0BEB76">
      <w:pPr>
        <w:ind w:right="360"/>
        <w:rPr>
          <w:rFonts w:hint="eastAsia"/>
          <w:color w:val="auto"/>
          <w:sz w:val="18"/>
          <w:szCs w:val="18"/>
          <w:highlight w:val="none"/>
        </w:rPr>
      </w:pPr>
      <w:r>
        <w:rPr>
          <w:rFonts w:hint="eastAsia"/>
          <w:color w:val="auto"/>
          <w:sz w:val="18"/>
          <w:szCs w:val="18"/>
          <w:highlight w:val="none"/>
        </w:rPr>
        <w:t xml:space="preserve">                                                                                            </w:t>
      </w:r>
    </w:p>
    <w:p w14:paraId="473A823D">
      <w:pPr>
        <w:jc w:val="center"/>
        <w:rPr>
          <w:rFonts w:hint="eastAsia" w:hAnsi="宋体" w:cs="宋体"/>
          <w:color w:val="auto"/>
          <w:highlight w:val="none"/>
        </w:rPr>
      </w:pPr>
    </w:p>
    <w:p w14:paraId="7DEFDCD3">
      <w:pPr>
        <w:jc w:val="left"/>
        <w:rPr>
          <w:rFonts w:hint="eastAsia"/>
          <w:b/>
          <w:color w:val="auto"/>
          <w:sz w:val="30"/>
          <w:szCs w:val="30"/>
          <w:highlight w:val="none"/>
        </w:rPr>
      </w:pPr>
      <w:r>
        <w:rPr>
          <w:rFonts w:hint="eastAsia" w:hAnsi="宋体" w:cs="宋体"/>
          <w:color w:val="auto"/>
          <w:sz w:val="30"/>
          <w:szCs w:val="30"/>
          <w:highlight w:val="none"/>
        </w:rPr>
        <w:t>附件13：</w:t>
      </w:r>
    </w:p>
    <w:p w14:paraId="41EF075C">
      <w:pPr>
        <w:jc w:val="center"/>
        <w:rPr>
          <w:rFonts w:hint="eastAsia"/>
          <w:b/>
          <w:color w:val="auto"/>
          <w:sz w:val="36"/>
          <w:szCs w:val="36"/>
          <w:highlight w:val="none"/>
        </w:rPr>
      </w:pPr>
      <w:r>
        <w:rPr>
          <w:rFonts w:hint="eastAsia"/>
          <w:b/>
          <w:color w:val="auto"/>
          <w:sz w:val="36"/>
          <w:szCs w:val="36"/>
          <w:highlight w:val="none"/>
        </w:rPr>
        <w:t>最终结算款支付申请（核准）表</w:t>
      </w:r>
    </w:p>
    <w:p w14:paraId="306C3F22">
      <w:pPr>
        <w:rPr>
          <w:rFonts w:hint="eastAsia"/>
          <w:color w:val="auto"/>
          <w:sz w:val="24"/>
          <w:szCs w:val="24"/>
          <w:highlight w:val="none"/>
        </w:rPr>
      </w:pPr>
      <w:r>
        <w:rPr>
          <w:rFonts w:hint="eastAsia"/>
          <w:color w:val="auto"/>
          <w:sz w:val="24"/>
          <w:szCs w:val="24"/>
          <w:highlight w:val="none"/>
        </w:rPr>
        <w:t>工程名称：                                             编号：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0F00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748E2961">
            <w:pPr>
              <w:keepNext w:val="0"/>
              <w:keepLines w:val="0"/>
              <w:suppressLineNumbers w:val="0"/>
              <w:spacing w:before="0" w:beforeAutospacing="0" w:after="0" w:afterAutospacing="0" w:line="480" w:lineRule="exact"/>
              <w:ind w:left="525" w:leftChars="149" w:right="0" w:hanging="212" w:hangingChars="101"/>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致：</w:t>
            </w:r>
            <w:r>
              <w:rPr>
                <w:rFonts w:hint="eastAsia" w:ascii="Calibri" w:hAnsi="Calibri" w:eastAsia="宋体" w:cs="Times New Roman"/>
                <w:color w:val="auto"/>
                <w:highlight w:val="none"/>
                <w:u w:val="single"/>
              </w:rPr>
              <w:t xml:space="preserve">                                   （发包人全称）</w:t>
            </w:r>
          </w:p>
          <w:p w14:paraId="37DB68C7">
            <w:pPr>
              <w:keepNext w:val="0"/>
              <w:keepLines w:val="0"/>
              <w:suppressLineNumbers w:val="0"/>
              <w:spacing w:before="0" w:beforeAutospacing="0" w:after="0" w:afterAutospacing="0" w:line="400" w:lineRule="exact"/>
              <w:ind w:left="-4" w:leftChars="-2" w:right="0" w:firstLine="315" w:firstLineChars="150"/>
              <w:rPr>
                <w:rFonts w:hint="eastAsia" w:ascii="Calibri" w:hAnsi="Calibri" w:eastAsia="宋体" w:cs="Times New Roman"/>
                <w:color w:val="auto"/>
                <w:highlight w:val="none"/>
              </w:rPr>
            </w:pPr>
            <w:r>
              <w:rPr>
                <w:rFonts w:hint="eastAsia" w:ascii="Calibri" w:hAnsi="Calibri" w:eastAsia="宋体" w:cs="Times New Roman"/>
                <w:color w:val="auto"/>
                <w:highlight w:val="none"/>
              </w:rPr>
              <w:t>我方于</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至</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期间已完成了缺陷修复工作，根据施工合同的约定，现申请支付最终结清合同款额为</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大写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小写</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元，请予核准。</w:t>
            </w:r>
          </w:p>
          <w:tbl>
            <w:tblPr>
              <w:tblStyle w:val="4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9EE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43CA441">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序号</w:t>
                  </w:r>
                </w:p>
              </w:tc>
              <w:tc>
                <w:tcPr>
                  <w:tcW w:w="3420" w:type="dxa"/>
                  <w:noWrap w:val="0"/>
                  <w:vAlign w:val="center"/>
                </w:tcPr>
                <w:p w14:paraId="13ED0E8E">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名      称</w:t>
                  </w:r>
                </w:p>
              </w:tc>
              <w:tc>
                <w:tcPr>
                  <w:tcW w:w="1620" w:type="dxa"/>
                  <w:noWrap w:val="0"/>
                  <w:vAlign w:val="center"/>
                </w:tcPr>
                <w:p w14:paraId="3A93DC87">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申请金额（元）</w:t>
                  </w:r>
                </w:p>
              </w:tc>
              <w:tc>
                <w:tcPr>
                  <w:tcW w:w="1620" w:type="dxa"/>
                  <w:noWrap w:val="0"/>
                  <w:vAlign w:val="center"/>
                </w:tcPr>
                <w:p w14:paraId="146BD3F8">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复核金额（元）</w:t>
                  </w:r>
                </w:p>
              </w:tc>
              <w:tc>
                <w:tcPr>
                  <w:tcW w:w="1651" w:type="dxa"/>
                  <w:noWrap w:val="0"/>
                  <w:vAlign w:val="center"/>
                </w:tcPr>
                <w:p w14:paraId="4B9121D8">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备注</w:t>
                  </w:r>
                </w:p>
              </w:tc>
            </w:tr>
            <w:tr w14:paraId="4B61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3287512">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w:t>
                  </w:r>
                </w:p>
              </w:tc>
              <w:tc>
                <w:tcPr>
                  <w:tcW w:w="3420" w:type="dxa"/>
                  <w:noWrap w:val="0"/>
                  <w:vAlign w:val="top"/>
                </w:tcPr>
                <w:p w14:paraId="322325A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已预留的质量保证金</w:t>
                  </w:r>
                </w:p>
              </w:tc>
              <w:tc>
                <w:tcPr>
                  <w:tcW w:w="1620" w:type="dxa"/>
                  <w:noWrap w:val="0"/>
                  <w:vAlign w:val="top"/>
                </w:tcPr>
                <w:p w14:paraId="7AED0CC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72450A97">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0B254AA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05CE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656E31">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2</w:t>
                  </w:r>
                </w:p>
              </w:tc>
              <w:tc>
                <w:tcPr>
                  <w:tcW w:w="3420" w:type="dxa"/>
                  <w:noWrap w:val="0"/>
                  <w:vAlign w:val="top"/>
                </w:tcPr>
                <w:p w14:paraId="0D1746AB">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应增加因发包人原因造成缺陷的修复金额</w:t>
                  </w:r>
                </w:p>
              </w:tc>
              <w:tc>
                <w:tcPr>
                  <w:tcW w:w="1620" w:type="dxa"/>
                  <w:noWrap w:val="0"/>
                  <w:vAlign w:val="top"/>
                </w:tcPr>
                <w:p w14:paraId="6BF7E4A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17DCCD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34BC4F6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6773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B7B0EB">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3</w:t>
                  </w:r>
                </w:p>
              </w:tc>
              <w:tc>
                <w:tcPr>
                  <w:tcW w:w="3420" w:type="dxa"/>
                  <w:noWrap w:val="0"/>
                  <w:vAlign w:val="top"/>
                </w:tcPr>
                <w:p w14:paraId="4E9FD884">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应扣减承包人不修复缺陷、发包人组织修复的金额</w:t>
                  </w:r>
                </w:p>
              </w:tc>
              <w:tc>
                <w:tcPr>
                  <w:tcW w:w="1620" w:type="dxa"/>
                  <w:noWrap w:val="0"/>
                  <w:vAlign w:val="top"/>
                </w:tcPr>
                <w:p w14:paraId="5D9326E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4229850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37891A31">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54B7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A89D3A">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4</w:t>
                  </w:r>
                </w:p>
              </w:tc>
              <w:tc>
                <w:tcPr>
                  <w:tcW w:w="3420" w:type="dxa"/>
                  <w:noWrap w:val="0"/>
                  <w:vAlign w:val="top"/>
                </w:tcPr>
                <w:p w14:paraId="1C871303">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最终应支付的合同价款</w:t>
                  </w:r>
                </w:p>
              </w:tc>
              <w:tc>
                <w:tcPr>
                  <w:tcW w:w="1620" w:type="dxa"/>
                  <w:noWrap w:val="0"/>
                  <w:vAlign w:val="top"/>
                </w:tcPr>
                <w:p w14:paraId="20FF6109">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0E53075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17DC3ECA">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19B5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7C8054C">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4AEB767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55A37370">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6426F10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713D56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463D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CF2C3B8">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1ACCB47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3CE1C0C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46733AF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3219310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4E1F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05206DB">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6A84DE7C">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586B8B72">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7BA81B4B">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686E78C6">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r w14:paraId="73D2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A5C4C50">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rPr>
                  </w:pPr>
                </w:p>
              </w:tc>
              <w:tc>
                <w:tcPr>
                  <w:tcW w:w="3420" w:type="dxa"/>
                  <w:noWrap w:val="0"/>
                  <w:vAlign w:val="top"/>
                </w:tcPr>
                <w:p w14:paraId="56DBB698">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0BC202C5">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20" w:type="dxa"/>
                  <w:noWrap w:val="0"/>
                  <w:vAlign w:val="top"/>
                </w:tcPr>
                <w:p w14:paraId="1E7ADDCF">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c>
                <w:tcPr>
                  <w:tcW w:w="1651" w:type="dxa"/>
                  <w:noWrap w:val="0"/>
                  <w:vAlign w:val="top"/>
                </w:tcPr>
                <w:p w14:paraId="52A9C82E">
                  <w:pPr>
                    <w:keepNext w:val="0"/>
                    <w:keepLines w:val="0"/>
                    <w:suppressLineNumbers w:val="0"/>
                    <w:spacing w:before="0" w:beforeAutospacing="0" w:after="0" w:afterAutospacing="0" w:line="280" w:lineRule="exact"/>
                    <w:ind w:left="0" w:right="0"/>
                    <w:rPr>
                      <w:rFonts w:hint="eastAsia" w:ascii="Calibri" w:hAnsi="Calibri" w:eastAsia="宋体" w:cs="Times New Roman"/>
                      <w:color w:val="auto"/>
                      <w:highlight w:val="none"/>
                    </w:rPr>
                  </w:pPr>
                </w:p>
              </w:tc>
            </w:tr>
          </w:tbl>
          <w:p w14:paraId="3F58A7FC">
            <w:pPr>
              <w:keepNext w:val="0"/>
              <w:keepLines w:val="0"/>
              <w:suppressLineNumbers w:val="0"/>
              <w:spacing w:before="0" w:beforeAutospacing="0" w:after="0" w:afterAutospacing="0" w:line="400" w:lineRule="exact"/>
              <w:ind w:left="0" w:right="42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                                            承包人（章）             </w:t>
            </w:r>
          </w:p>
          <w:p w14:paraId="58C10419">
            <w:pPr>
              <w:keepNext w:val="0"/>
              <w:keepLines w:val="0"/>
              <w:suppressLineNumbers w:val="0"/>
              <w:spacing w:before="0" w:beforeAutospacing="0" w:after="0" w:afterAutospacing="0" w:line="400" w:lineRule="exact"/>
              <w:ind w:left="0" w:right="42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造价人员</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承包人代表</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4D27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0798B356">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0E1A7C63">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□与实际施工情况不相符，修改意见见附件。</w:t>
            </w:r>
          </w:p>
          <w:p w14:paraId="173FC2B2">
            <w:pPr>
              <w:keepNext w:val="0"/>
              <w:keepLines w:val="0"/>
              <w:suppressLineNumbers w:val="0"/>
              <w:spacing w:before="0" w:beforeAutospacing="0" w:after="0" w:afterAutospacing="0" w:line="360" w:lineRule="exact"/>
              <w:ind w:left="0" w:right="0" w:firstLine="312"/>
              <w:rPr>
                <w:rFonts w:hint="eastAsia" w:ascii="Calibri" w:hAnsi="Calibri" w:eastAsia="宋体" w:cs="Times New Roman"/>
                <w:color w:val="auto"/>
                <w:highlight w:val="none"/>
              </w:rPr>
            </w:pPr>
            <w:r>
              <w:rPr>
                <w:rFonts w:hint="eastAsia" w:ascii="Calibri" w:hAnsi="Calibri" w:eastAsia="宋体" w:cs="Times New Roman"/>
                <w:color w:val="auto"/>
                <w:highlight w:val="none"/>
              </w:rPr>
              <w:t>□与实际施工情况相符，具体金额由造价工程师复核。</w:t>
            </w:r>
          </w:p>
          <w:p w14:paraId="53E475FC">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7E0C7908">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393B7FCB">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w:t>
            </w:r>
          </w:p>
          <w:p w14:paraId="15CCF6AA">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 xml:space="preserve">        监理工程师</w:t>
            </w:r>
            <w:r>
              <w:rPr>
                <w:rFonts w:hint="eastAsia" w:ascii="Calibri" w:hAnsi="Calibri" w:eastAsia="宋体" w:cs="Times New Roman"/>
                <w:color w:val="auto"/>
                <w:highlight w:val="none"/>
                <w:u w:val="single"/>
              </w:rPr>
              <w:t xml:space="preserve">           </w:t>
            </w:r>
          </w:p>
          <w:p w14:paraId="6E38664D">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c>
          <w:tcPr>
            <w:tcW w:w="4533" w:type="dxa"/>
            <w:noWrap w:val="0"/>
            <w:vAlign w:val="top"/>
          </w:tcPr>
          <w:p w14:paraId="6974355C">
            <w:pPr>
              <w:keepNext w:val="0"/>
              <w:keepLines w:val="0"/>
              <w:suppressLineNumbers w:val="0"/>
              <w:spacing w:before="0" w:beforeAutospacing="0" w:after="0" w:afterAutospacing="0" w:line="36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复核意见：</w:t>
            </w:r>
          </w:p>
          <w:p w14:paraId="1F888C78">
            <w:pPr>
              <w:keepNext w:val="0"/>
              <w:keepLines w:val="0"/>
              <w:suppressLineNumbers w:val="0"/>
              <w:spacing w:before="0" w:beforeAutospacing="0" w:after="0" w:afterAutospacing="0" w:line="360" w:lineRule="exact"/>
              <w:ind w:left="0" w:right="0" w:firstLine="435"/>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你方提出的支付申请经复核，最终应支付金额为（大写）</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 xml:space="preserve">元，（小写）  </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元。</w:t>
            </w:r>
          </w:p>
          <w:p w14:paraId="0755FF65">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default" w:ascii="Calibri" w:hAnsi="Calibri" w:eastAsia="宋体" w:cs="Times New Roman"/>
                <w:color w:val="auto"/>
                <w:highlight w:val="none"/>
              </w:rPr>
              <w:t xml:space="preserve">    </w:t>
            </w:r>
          </w:p>
          <w:p w14:paraId="24B44C7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1EC9AA2C">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5B526147">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7FD57F4A">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 xml:space="preserve">    造价工程师</w:t>
            </w:r>
            <w:r>
              <w:rPr>
                <w:rFonts w:hint="eastAsia" w:ascii="Calibri" w:hAnsi="Calibri" w:eastAsia="宋体" w:cs="Times New Roman"/>
                <w:color w:val="auto"/>
                <w:highlight w:val="none"/>
                <w:u w:val="single"/>
              </w:rPr>
              <w:t xml:space="preserve">           </w:t>
            </w:r>
          </w:p>
          <w:p w14:paraId="158C844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r w14:paraId="68B4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3BBB9EAF">
            <w:pPr>
              <w:keepNext w:val="0"/>
              <w:keepLines w:val="0"/>
              <w:suppressLineNumbers w:val="0"/>
              <w:spacing w:before="0" w:beforeAutospacing="0" w:after="0" w:afterAutospacing="0" w:line="400" w:lineRule="exact"/>
              <w:ind w:left="0" w:right="0"/>
              <w:rPr>
                <w:rFonts w:hint="eastAsia" w:ascii="Calibri" w:hAnsi="Calibri" w:eastAsia="宋体" w:cs="Times New Roman"/>
                <w:color w:val="auto"/>
                <w:highlight w:val="none"/>
              </w:rPr>
            </w:pPr>
            <w:r>
              <w:rPr>
                <w:rFonts w:hint="eastAsia" w:ascii="Calibri" w:hAnsi="Calibri" w:eastAsia="宋体" w:cs="Times New Roman"/>
                <w:color w:val="auto"/>
                <w:highlight w:val="none"/>
              </w:rPr>
              <w:t>审核意见：</w:t>
            </w:r>
          </w:p>
          <w:p w14:paraId="13264AE1">
            <w:pPr>
              <w:keepNext w:val="0"/>
              <w:keepLines w:val="0"/>
              <w:suppressLineNumbers w:val="0"/>
              <w:spacing w:before="0" w:beforeAutospacing="0" w:after="0" w:afterAutospacing="0" w:line="400" w:lineRule="exact"/>
              <w:ind w:left="0" w:right="0" w:firstLine="435"/>
              <w:rPr>
                <w:rFonts w:hint="eastAsia" w:ascii="Calibri" w:hAnsi="Calibri" w:eastAsia="宋体" w:cs="Times New Roman"/>
                <w:color w:val="auto"/>
                <w:highlight w:val="none"/>
              </w:rPr>
            </w:pPr>
            <w:r>
              <w:rPr>
                <w:rFonts w:hint="eastAsia" w:ascii="Calibri" w:hAnsi="Calibri" w:eastAsia="宋体" w:cs="Times New Roman"/>
                <w:color w:val="auto"/>
                <w:highlight w:val="none"/>
              </w:rPr>
              <w:t>□不同意。</w:t>
            </w:r>
          </w:p>
          <w:p w14:paraId="36F0C6EC">
            <w:pPr>
              <w:keepNext w:val="0"/>
              <w:keepLines w:val="0"/>
              <w:suppressLineNumbers w:val="0"/>
              <w:spacing w:before="0" w:beforeAutospacing="0" w:after="0" w:afterAutospacing="0" w:line="400" w:lineRule="exact"/>
              <w:ind w:left="0" w:right="0" w:firstLine="420" w:firstLineChars="200"/>
              <w:rPr>
                <w:rFonts w:hint="eastAsia" w:ascii="Calibri" w:hAnsi="Calibri" w:eastAsia="宋体" w:cs="Times New Roman"/>
                <w:color w:val="auto"/>
                <w:highlight w:val="none"/>
              </w:rPr>
            </w:pPr>
            <w:r>
              <w:rPr>
                <w:rFonts w:hint="eastAsia" w:ascii="Calibri" w:hAnsi="Calibri" w:eastAsia="宋体" w:cs="Times New Roman"/>
                <w:color w:val="auto"/>
                <w:highlight w:val="none"/>
              </w:rPr>
              <w:t>□同意，支付时间为本表签发后的15天内。</w:t>
            </w:r>
          </w:p>
          <w:p w14:paraId="36DDCC14">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rPr>
            </w:pPr>
            <w:r>
              <w:rPr>
                <w:rFonts w:hint="eastAsia" w:ascii="Calibri" w:hAnsi="Calibri" w:eastAsia="宋体" w:cs="Times New Roman"/>
                <w:color w:val="auto"/>
                <w:highlight w:val="none"/>
              </w:rPr>
              <w:t xml:space="preserve">发包人（章）           </w:t>
            </w:r>
          </w:p>
          <w:p w14:paraId="7CFD594D">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发包人代表</w:t>
            </w:r>
            <w:r>
              <w:rPr>
                <w:rFonts w:hint="eastAsia" w:ascii="Calibri" w:hAnsi="Calibri" w:eastAsia="宋体" w:cs="Times New Roman"/>
                <w:color w:val="auto"/>
                <w:highlight w:val="none"/>
                <w:u w:val="single"/>
              </w:rPr>
              <w:t xml:space="preserve">             </w:t>
            </w:r>
          </w:p>
          <w:p w14:paraId="09C57CD5">
            <w:pPr>
              <w:keepNext w:val="0"/>
              <w:keepLines w:val="0"/>
              <w:suppressLineNumbers w:val="0"/>
              <w:wordWrap w:val="0"/>
              <w:spacing w:before="0" w:beforeAutospacing="0" w:after="0" w:afterAutospacing="0" w:line="400" w:lineRule="exact"/>
              <w:ind w:left="0" w:right="0" w:firstLine="420" w:firstLineChars="200"/>
              <w:jc w:val="right"/>
              <w:rPr>
                <w:rFonts w:hint="eastAsia" w:ascii="Calibri" w:hAnsi="Calibri" w:eastAsia="宋体" w:cs="Times New Roman"/>
                <w:color w:val="auto"/>
                <w:highlight w:val="none"/>
                <w:u w:val="single"/>
              </w:rPr>
            </w:pPr>
            <w:r>
              <w:rPr>
                <w:rFonts w:hint="eastAsia" w:ascii="Calibri" w:hAnsi="Calibri" w:eastAsia="宋体" w:cs="Times New Roman"/>
                <w:color w:val="auto"/>
                <w:highlight w:val="none"/>
              </w:rPr>
              <w:t>日      期</w:t>
            </w:r>
            <w:r>
              <w:rPr>
                <w:rFonts w:hint="eastAsia" w:ascii="Calibri" w:hAnsi="Calibri" w:eastAsia="宋体" w:cs="Times New Roman"/>
                <w:color w:val="auto"/>
                <w:highlight w:val="none"/>
                <w:u w:val="single"/>
              </w:rPr>
              <w:t xml:space="preserve">             </w:t>
            </w:r>
          </w:p>
        </w:tc>
      </w:tr>
    </w:tbl>
    <w:p w14:paraId="0D8F98AC">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57021242">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52E3F1D">
      <w:pPr>
        <w:spacing w:line="360" w:lineRule="auto"/>
        <w:ind w:firstLine="420" w:firstLineChars="200"/>
        <w:jc w:val="left"/>
        <w:rPr>
          <w:color w:val="auto"/>
          <w:highlight w:val="none"/>
          <w:u w:val="single"/>
        </w:rPr>
      </w:pPr>
    </w:p>
    <w:p w14:paraId="3E9BFC8A">
      <w:pPr>
        <w:spacing w:before="120" w:beforeLines="50"/>
        <w:ind w:left="1200" w:hanging="1200" w:hangingChars="400"/>
        <w:rPr>
          <w:rFonts w:ascii="宋体"/>
          <w:color w:val="auto"/>
          <w:sz w:val="30"/>
          <w:szCs w:val="30"/>
          <w:highlight w:val="none"/>
        </w:rPr>
      </w:pPr>
    </w:p>
    <w:p w14:paraId="43A4D67B">
      <w:pPr>
        <w:spacing w:line="360" w:lineRule="auto"/>
        <w:jc w:val="left"/>
        <w:rPr>
          <w:rFonts w:hint="eastAsia" w:hAnsi="宋体" w:cs="宋体"/>
          <w:color w:val="auto"/>
          <w:sz w:val="30"/>
          <w:szCs w:val="30"/>
          <w:highlight w:val="none"/>
        </w:rPr>
      </w:pPr>
      <w:r>
        <w:rPr>
          <w:rFonts w:hint="eastAsia"/>
          <w:color w:val="auto"/>
          <w:sz w:val="30"/>
          <w:szCs w:val="30"/>
          <w:highlight w:val="none"/>
        </w:rPr>
        <w:t>附件14：</w:t>
      </w:r>
    </w:p>
    <w:p w14:paraId="568303E4">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3DF3E89D">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3419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F6ECF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进度款期次</w:t>
            </w:r>
          </w:p>
        </w:tc>
        <w:tc>
          <w:tcPr>
            <w:tcW w:w="3794" w:type="dxa"/>
            <w:gridSpan w:val="2"/>
            <w:noWrap w:val="0"/>
            <w:vAlign w:val="top"/>
          </w:tcPr>
          <w:p w14:paraId="3D0939C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形象进度</w:t>
            </w:r>
          </w:p>
        </w:tc>
        <w:tc>
          <w:tcPr>
            <w:tcW w:w="2268" w:type="dxa"/>
            <w:noWrap w:val="0"/>
            <w:vAlign w:val="top"/>
          </w:tcPr>
          <w:p w14:paraId="5A5C750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进度款付款金额（元）</w:t>
            </w:r>
          </w:p>
        </w:tc>
        <w:tc>
          <w:tcPr>
            <w:tcW w:w="1276" w:type="dxa"/>
            <w:noWrap w:val="0"/>
            <w:vAlign w:val="top"/>
          </w:tcPr>
          <w:p w14:paraId="634F447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r>
      <w:tr w14:paraId="1BF4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029BE5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第一期</w:t>
            </w:r>
          </w:p>
        </w:tc>
        <w:tc>
          <w:tcPr>
            <w:tcW w:w="3794" w:type="dxa"/>
            <w:gridSpan w:val="2"/>
            <w:noWrap w:val="0"/>
            <w:vAlign w:val="top"/>
          </w:tcPr>
          <w:p w14:paraId="36A0FF6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0A73A9A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02784BC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3F11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F25B1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第二期</w:t>
            </w:r>
          </w:p>
        </w:tc>
        <w:tc>
          <w:tcPr>
            <w:tcW w:w="3794" w:type="dxa"/>
            <w:gridSpan w:val="2"/>
            <w:noWrap w:val="0"/>
            <w:vAlign w:val="top"/>
          </w:tcPr>
          <w:p w14:paraId="104529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57A9E7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516B09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2B12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69319A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第三期</w:t>
            </w:r>
          </w:p>
        </w:tc>
        <w:tc>
          <w:tcPr>
            <w:tcW w:w="3794" w:type="dxa"/>
            <w:gridSpan w:val="2"/>
            <w:noWrap w:val="0"/>
            <w:vAlign w:val="top"/>
          </w:tcPr>
          <w:p w14:paraId="656474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6687F26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78D0C4D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6EC6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E1DBF3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default" w:ascii="宋体" w:hAnsi="宋体" w:eastAsia="宋体" w:cs="宋体"/>
                <w:color w:val="auto"/>
                <w:kern w:val="0"/>
                <w:highlight w:val="none"/>
              </w:rPr>
              <w:t>……</w:t>
            </w:r>
          </w:p>
        </w:tc>
        <w:tc>
          <w:tcPr>
            <w:tcW w:w="3794" w:type="dxa"/>
            <w:gridSpan w:val="2"/>
            <w:noWrap w:val="0"/>
            <w:vAlign w:val="top"/>
          </w:tcPr>
          <w:p w14:paraId="1BEF910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17D81FD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02FD3F2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7169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3CB0F384">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68E7026F">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3AD454C">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发包人代表签字：</w:t>
            </w:r>
          </w:p>
          <w:p w14:paraId="76C23295">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740DB1AC">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发包人（盖公章）</w:t>
            </w:r>
          </w:p>
          <w:p w14:paraId="0E5B9873">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0062AE6A">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        </w:t>
            </w:r>
            <w:r>
              <w:rPr>
                <w:rFonts w:hint="eastAsia" w:ascii="Calibri" w:hAnsi="Calibri" w:eastAsia="宋体" w:cs="Times New Roman"/>
                <w:color w:val="auto"/>
                <w:highlight w:val="none"/>
                <w:u w:val="single"/>
              </w:rPr>
              <w:t xml:space="preserve">   </w:t>
            </w:r>
          </w:p>
        </w:tc>
        <w:tc>
          <w:tcPr>
            <w:tcW w:w="4219" w:type="dxa"/>
            <w:gridSpan w:val="3"/>
            <w:noWrap w:val="0"/>
            <w:vAlign w:val="top"/>
          </w:tcPr>
          <w:p w14:paraId="4BC3498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08D4F55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p>
          <w:p w14:paraId="1CAE91F3">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承包人代表签字：</w:t>
            </w:r>
          </w:p>
          <w:p w14:paraId="5329FAE4">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257A0D4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承包人（盖公章）</w:t>
            </w:r>
          </w:p>
          <w:p w14:paraId="668CE5D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1E264F8C">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r>
    </w:tbl>
    <w:p w14:paraId="11CC75C8">
      <w:pPr>
        <w:spacing w:line="360" w:lineRule="auto"/>
        <w:rPr>
          <w:rFonts w:ascii="宋体"/>
          <w:color w:val="auto"/>
          <w:highlight w:val="none"/>
        </w:rPr>
      </w:pPr>
    </w:p>
    <w:p w14:paraId="2AF34046">
      <w:pPr>
        <w:spacing w:line="360" w:lineRule="auto"/>
        <w:rPr>
          <w:rFonts w:ascii="宋体"/>
          <w:color w:val="auto"/>
          <w:highlight w:val="none"/>
        </w:rPr>
      </w:pPr>
    </w:p>
    <w:p w14:paraId="2E463F5C">
      <w:pPr>
        <w:spacing w:line="360" w:lineRule="auto"/>
        <w:rPr>
          <w:rFonts w:ascii="宋体"/>
          <w:color w:val="auto"/>
          <w:highlight w:val="none"/>
        </w:rPr>
      </w:pPr>
    </w:p>
    <w:p w14:paraId="55BFD689">
      <w:pPr>
        <w:spacing w:line="360" w:lineRule="auto"/>
        <w:rPr>
          <w:rFonts w:ascii="宋体"/>
          <w:color w:val="auto"/>
          <w:highlight w:val="none"/>
        </w:rPr>
      </w:pPr>
    </w:p>
    <w:p w14:paraId="15737B3E">
      <w:pPr>
        <w:spacing w:line="360" w:lineRule="auto"/>
        <w:rPr>
          <w:rFonts w:ascii="宋体"/>
          <w:color w:val="auto"/>
          <w:highlight w:val="none"/>
        </w:rPr>
      </w:pPr>
    </w:p>
    <w:p w14:paraId="40F74502">
      <w:pPr>
        <w:spacing w:line="360" w:lineRule="auto"/>
        <w:rPr>
          <w:rFonts w:ascii="宋体"/>
          <w:color w:val="auto"/>
          <w:highlight w:val="none"/>
        </w:rPr>
      </w:pPr>
    </w:p>
    <w:p w14:paraId="4CB3A020">
      <w:pPr>
        <w:spacing w:line="360" w:lineRule="auto"/>
        <w:rPr>
          <w:rFonts w:ascii="宋体"/>
          <w:color w:val="auto"/>
          <w:highlight w:val="none"/>
        </w:rPr>
      </w:pPr>
    </w:p>
    <w:p w14:paraId="20CCE760">
      <w:pPr>
        <w:spacing w:line="360" w:lineRule="auto"/>
        <w:rPr>
          <w:rFonts w:ascii="宋体"/>
          <w:color w:val="auto"/>
          <w:highlight w:val="none"/>
        </w:rPr>
      </w:pPr>
    </w:p>
    <w:p w14:paraId="284BD0A9">
      <w:pPr>
        <w:spacing w:line="360" w:lineRule="auto"/>
        <w:rPr>
          <w:rFonts w:ascii="宋体"/>
          <w:color w:val="auto"/>
          <w:highlight w:val="none"/>
        </w:rPr>
      </w:pPr>
    </w:p>
    <w:p w14:paraId="72F7BC7A">
      <w:pPr>
        <w:spacing w:line="360" w:lineRule="auto"/>
        <w:rPr>
          <w:rFonts w:ascii="宋体"/>
          <w:color w:val="auto"/>
          <w:highlight w:val="none"/>
        </w:rPr>
      </w:pPr>
    </w:p>
    <w:p w14:paraId="1228C18A">
      <w:pPr>
        <w:spacing w:line="360" w:lineRule="auto"/>
        <w:rPr>
          <w:rFonts w:ascii="宋体"/>
          <w:color w:val="auto"/>
          <w:highlight w:val="none"/>
        </w:rPr>
      </w:pPr>
    </w:p>
    <w:p w14:paraId="53E1AD20">
      <w:pPr>
        <w:spacing w:line="360" w:lineRule="auto"/>
        <w:rPr>
          <w:rFonts w:ascii="宋体"/>
          <w:color w:val="auto"/>
          <w:highlight w:val="none"/>
        </w:rPr>
      </w:pPr>
    </w:p>
    <w:p w14:paraId="2BAE168C">
      <w:pPr>
        <w:spacing w:line="360" w:lineRule="auto"/>
        <w:rPr>
          <w:rFonts w:ascii="宋体"/>
          <w:color w:val="auto"/>
          <w:highlight w:val="none"/>
        </w:rPr>
      </w:pPr>
    </w:p>
    <w:p w14:paraId="5EA6FAE5">
      <w:pPr>
        <w:spacing w:line="360" w:lineRule="auto"/>
        <w:rPr>
          <w:rFonts w:hint="eastAsia" w:ascii="宋体"/>
          <w:color w:val="auto"/>
          <w:highlight w:val="none"/>
        </w:rPr>
      </w:pPr>
    </w:p>
    <w:p w14:paraId="0F06AF16">
      <w:pPr>
        <w:pStyle w:val="2"/>
        <w:jc w:val="center"/>
        <w:rPr>
          <w:color w:val="auto"/>
          <w:highlight w:val="none"/>
        </w:rPr>
      </w:pPr>
      <w:bookmarkStart w:id="2240" w:name="_Toc13010"/>
      <w:bookmarkStart w:id="2241" w:name="_Toc78449868"/>
      <w:bookmarkStart w:id="2242" w:name="_Toc1532473377"/>
      <w:bookmarkStart w:id="2243" w:name="_Toc407135283"/>
      <w:r>
        <w:rPr>
          <w:rFonts w:hint="eastAsia" w:cs="黑体"/>
          <w:color w:val="auto"/>
          <w:highlight w:val="none"/>
        </w:rPr>
        <w:t>第五章</w:t>
      </w:r>
      <w:r>
        <w:rPr>
          <w:color w:val="auto"/>
          <w:highlight w:val="none"/>
        </w:rPr>
        <w:t xml:space="preserve"> </w:t>
      </w:r>
      <w:r>
        <w:rPr>
          <w:rFonts w:hint="eastAsia" w:cs="黑体"/>
          <w:color w:val="auto"/>
          <w:highlight w:val="none"/>
        </w:rPr>
        <w:t>工程量清单</w:t>
      </w:r>
      <w:bookmarkEnd w:id="2240"/>
      <w:bookmarkEnd w:id="2241"/>
      <w:bookmarkEnd w:id="2242"/>
      <w:bookmarkEnd w:id="2243"/>
    </w:p>
    <w:p w14:paraId="38100446">
      <w:pPr>
        <w:jc w:val="center"/>
        <w:rPr>
          <w:b/>
          <w:bCs/>
          <w:color w:val="auto"/>
          <w:kern w:val="44"/>
          <w:sz w:val="32"/>
          <w:szCs w:val="32"/>
          <w:highlight w:val="none"/>
        </w:rPr>
      </w:pPr>
    </w:p>
    <w:p w14:paraId="1E994BD2">
      <w:pPr>
        <w:pStyle w:val="3"/>
        <w:rPr>
          <w:color w:val="auto"/>
          <w:kern w:val="44"/>
          <w:highlight w:val="none"/>
        </w:rPr>
      </w:pPr>
      <w:bookmarkStart w:id="2244" w:name="_Toc23613"/>
      <w:bookmarkStart w:id="2245" w:name="_Toc1392571603"/>
      <w:bookmarkStart w:id="2246" w:name="_Toc407135284"/>
      <w:bookmarkStart w:id="2247" w:name="_Toc78449869"/>
      <w:r>
        <w:rPr>
          <w:color w:val="auto"/>
          <w:highlight w:val="none"/>
        </w:rPr>
        <w:t xml:space="preserve">1 </w:t>
      </w:r>
      <w:r>
        <w:rPr>
          <w:rFonts w:hint="eastAsia" w:cs="黑体"/>
          <w:color w:val="auto"/>
          <w:highlight w:val="none"/>
        </w:rPr>
        <w:t>工程量清单编制说明</w:t>
      </w:r>
      <w:bookmarkEnd w:id="2244"/>
    </w:p>
    <w:p w14:paraId="263C1953">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本工程量清单依据《广西壮族自治区建设工程全过程计价规范》（以下简称</w:t>
      </w:r>
      <w:r>
        <w:rPr>
          <w:color w:val="auto"/>
          <w:highlight w:val="none"/>
        </w:rPr>
        <w:t>“</w:t>
      </w:r>
      <w:r>
        <w:rPr>
          <w:rFonts w:hint="eastAsia" w:hAnsi="宋体" w:cs="宋体"/>
          <w:color w:val="auto"/>
          <w:highlight w:val="none"/>
        </w:rPr>
        <w:t>《计价规范》</w:t>
      </w:r>
      <w:r>
        <w:rPr>
          <w:color w:val="auto"/>
          <w:highlight w:val="none"/>
        </w:rPr>
        <w:t>”</w:t>
      </w:r>
      <w:r>
        <w:rPr>
          <w:rFonts w:hint="eastAsia" w:cs="宋体"/>
          <w:color w:val="auto"/>
          <w:highlight w:val="none"/>
        </w:rPr>
        <w:t>）</w:t>
      </w:r>
      <w:r>
        <w:rPr>
          <w:rFonts w:hint="eastAsia" w:hAnsi="宋体" w:cs="宋体"/>
          <w:color w:val="auto"/>
          <w:highlight w:val="none"/>
        </w:rPr>
        <w:t>、《广西壮族自治区建设工程多层级工程量清单计算规范》（以下简称</w:t>
      </w:r>
      <w:r>
        <w:rPr>
          <w:color w:val="auto"/>
          <w:highlight w:val="none"/>
        </w:rPr>
        <w:t>“</w:t>
      </w:r>
      <w:r>
        <w:rPr>
          <w:rFonts w:hint="eastAsia" w:hAnsi="宋体" w:cs="宋体"/>
          <w:color w:val="auto"/>
          <w:highlight w:val="none"/>
        </w:rPr>
        <w:t>《计算规范》</w:t>
      </w:r>
      <w:r>
        <w:rPr>
          <w:color w:val="auto"/>
          <w:highlight w:val="none"/>
        </w:rPr>
        <w:t>”</w:t>
      </w:r>
      <w:r>
        <w:rPr>
          <w:rFonts w:hint="eastAsia" w:hAnsi="宋体" w:cs="宋体"/>
          <w:color w:val="auto"/>
          <w:highlight w:val="none"/>
        </w:rPr>
        <w:t>）、</w:t>
      </w:r>
      <w:r>
        <w:rPr>
          <w:rFonts w:hint="eastAsia" w:hAnsi="宋体" w:cs="宋体"/>
          <w:color w:val="auto"/>
          <w:kern w:val="0"/>
          <w:highlight w:val="none"/>
        </w:rPr>
        <w:t>招</w:t>
      </w:r>
      <w:r>
        <w:rPr>
          <w:rFonts w:hint="eastAsia" w:hAnsi="宋体" w:cs="宋体"/>
          <w:color w:val="auto"/>
          <w:highlight w:val="none"/>
        </w:rPr>
        <w:t>标文件、</w:t>
      </w:r>
      <w:r>
        <w:rPr>
          <w:rFonts w:hint="eastAsia" w:hAnsi="宋体" w:cs="宋体"/>
          <w:color w:val="auto"/>
          <w:highlight w:val="none"/>
          <w:lang w:eastAsia="zh-CN"/>
        </w:rPr>
        <w:t>招标图纸</w:t>
      </w:r>
      <w:r>
        <w:rPr>
          <w:rFonts w:hint="eastAsia" w:hAnsi="宋体" w:cs="宋体"/>
          <w:color w:val="auto"/>
          <w:highlight w:val="none"/>
        </w:rPr>
        <w:t>等编制。计算规范中没有的清单项目，应在本章第</w:t>
      </w:r>
      <w:r>
        <w:rPr>
          <w:color w:val="auto"/>
          <w:highlight w:val="none"/>
        </w:rPr>
        <w:t>1.4</w:t>
      </w:r>
      <w:r>
        <w:rPr>
          <w:rFonts w:hint="eastAsia" w:hAnsi="宋体" w:cs="宋体"/>
          <w:color w:val="auto"/>
          <w:highlight w:val="none"/>
        </w:rPr>
        <w:t>款约定。</w:t>
      </w:r>
    </w:p>
    <w:p w14:paraId="25801679">
      <w:pPr>
        <w:spacing w:line="360" w:lineRule="auto"/>
        <w:ind w:firstLine="420" w:firstLineChars="200"/>
        <w:outlineLvl w:val="9"/>
        <w:rPr>
          <w:color w:val="auto"/>
          <w:highlight w:val="none"/>
        </w:rPr>
      </w:pPr>
      <w:r>
        <w:rPr>
          <w:color w:val="auto"/>
          <w:highlight w:val="none"/>
        </w:rPr>
        <w:t xml:space="preserve">1.2 </w:t>
      </w:r>
      <w:r>
        <w:rPr>
          <w:rFonts w:hint="eastAsia"/>
          <w:color w:val="auto"/>
          <w:highlight w:val="none"/>
        </w:rPr>
        <w:t>工程量清单应与投标须知、合同协议条款、合同的通用条款、合同专用条款、技术规范及图纸等文件一起结合使用。</w:t>
      </w:r>
    </w:p>
    <w:p w14:paraId="2936CDFF">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工程量清单是招标文件的组成部分。</w:t>
      </w:r>
    </w:p>
    <w:p w14:paraId="7969E62B">
      <w:pPr>
        <w:spacing w:line="360" w:lineRule="auto"/>
        <w:ind w:left="2" w:firstLine="420" w:firstLineChars="200"/>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补充清单项目的特征、计量单位、工程量计算规则及工作内容在发布的工程量清单编制说明中明确。</w:t>
      </w:r>
    </w:p>
    <w:p w14:paraId="35FC47B4">
      <w:pPr>
        <w:pStyle w:val="21"/>
        <w:spacing w:line="360" w:lineRule="auto"/>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highlight w:val="none"/>
        </w:rPr>
        <w:t xml:space="preserve">1.5 </w:t>
      </w:r>
      <w:r>
        <w:rPr>
          <w:rFonts w:hint="eastAsia" w:ascii="Times New Roman" w:hAnsi="Times New Roman"/>
          <w:color w:val="auto"/>
          <w:sz w:val="21"/>
          <w:szCs w:val="21"/>
          <w:highlight w:val="none"/>
        </w:rPr>
        <w:t>工程量清单应载明人工及主要材料价差调整的相关信息，具体如下：</w:t>
      </w:r>
    </w:p>
    <w:p w14:paraId="7B409425">
      <w:pPr>
        <w:pStyle w:val="21"/>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本工程为单价合同，主要材料价差调整采用价格差额调整法，有关调价信息详见《允许调整价格的主要材料一览表》。</w:t>
      </w:r>
    </w:p>
    <w:p w14:paraId="50DC84E0">
      <w:pPr>
        <w:pStyle w:val="21"/>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本工程为总价合同，人工及主要材料价差调整采用价格指数调整法。有关调价信息详见《人工及主要材料可调因子价格指数及权重表》。</w:t>
      </w:r>
    </w:p>
    <w:p w14:paraId="2A940DDB">
      <w:pPr>
        <w:pStyle w:val="21"/>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1.6 </w:t>
      </w:r>
      <w:r>
        <w:rPr>
          <w:rFonts w:hint="eastAsia" w:ascii="Times New Roman" w:hAnsi="Times New Roman"/>
          <w:color w:val="auto"/>
          <w:sz w:val="21"/>
          <w:szCs w:val="21"/>
          <w:highlight w:val="none"/>
        </w:rPr>
        <w:t>本工程暂列金额共</w:t>
      </w:r>
      <w:r>
        <w:rPr>
          <w:rFonts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元，作为招标时尚未能确定或详细说明的工程、服务和工程实施中可能发生的合同价款调整等所预留的费用。</w:t>
      </w:r>
    </w:p>
    <w:p w14:paraId="241A09A7">
      <w:pPr>
        <w:pStyle w:val="21"/>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1.7 本工程□有□无材料暂估价，具体内容详见《材料暂估价明细表》，结算按实调整。</w:t>
      </w:r>
    </w:p>
    <w:p w14:paraId="05BD634C">
      <w:pPr>
        <w:pStyle w:val="21"/>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1.8 本工程□有□无暂估专业工程，具体内容详见《专业工程暂估价明细表》，结算按实调整。</w:t>
      </w:r>
    </w:p>
    <w:p w14:paraId="3B939BBB">
      <w:pPr>
        <w:pStyle w:val="21"/>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1.9 本工程□有□无发包人提供的材料，具体内容详见《发包人提供材料一览表》。</w:t>
      </w:r>
    </w:p>
    <w:p w14:paraId="71C05889">
      <w:pPr>
        <w:pStyle w:val="21"/>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1.10 其它需要说明的问题：                                                       </w:t>
      </w:r>
    </w:p>
    <w:p w14:paraId="2CAEF3F7">
      <w:pPr>
        <w:spacing w:line="360" w:lineRule="auto"/>
        <w:rPr>
          <w:color w:val="auto"/>
          <w:highlight w:val="none"/>
        </w:rPr>
      </w:pPr>
      <w:r>
        <w:rPr>
          <w:rFonts w:hint="eastAsia" w:ascii="Times New Roman" w:hAnsi="Times New Roman"/>
          <w:color w:val="auto"/>
          <w:sz w:val="21"/>
          <w:szCs w:val="21"/>
          <w:highlight w:val="none"/>
        </w:rPr>
        <w:t xml:space="preserve">                                                                                 。</w:t>
      </w:r>
    </w:p>
    <w:p w14:paraId="5E557FD1">
      <w:pPr>
        <w:spacing w:line="360" w:lineRule="auto"/>
        <w:ind w:firstLine="420" w:firstLineChars="200"/>
        <w:jc w:val="left"/>
        <w:rPr>
          <w:color w:val="auto"/>
          <w:highlight w:val="none"/>
        </w:rPr>
      </w:pPr>
      <w:r>
        <w:rPr>
          <w:color w:val="auto"/>
          <w:highlight w:val="none"/>
        </w:rPr>
        <w:t>1.1</w:t>
      </w:r>
      <w:r>
        <w:rPr>
          <w:rFonts w:hint="eastAsia"/>
          <w:color w:val="auto"/>
          <w:highlight w:val="none"/>
          <w:lang w:val="en-US" w:eastAsia="zh-CN"/>
        </w:rPr>
        <w:t>1</w:t>
      </w:r>
      <w:r>
        <w:rPr>
          <w:color w:val="auto"/>
          <w:highlight w:val="none"/>
        </w:rPr>
        <w:t xml:space="preserve"> </w:t>
      </w:r>
      <w:r>
        <w:rPr>
          <w:rFonts w:hint="eastAsia" w:cs="宋体"/>
          <w:color w:val="auto"/>
          <w:highlight w:val="none"/>
        </w:rPr>
        <w:t>工程量清单在广西电子招投标系统发布，潜在投标人可</w:t>
      </w:r>
      <w:r>
        <w:rPr>
          <w:rFonts w:hint="eastAsia" w:cs="宋体"/>
          <w:color w:val="auto"/>
          <w:highlight w:val="none"/>
          <w:lang w:val="en-US" w:eastAsia="zh-CN"/>
        </w:rPr>
        <w:t>登录</w:t>
      </w:r>
      <w:r>
        <w:rPr>
          <w:rFonts w:hint="eastAsia" w:cs="宋体"/>
          <w:color w:val="auto"/>
          <w:highlight w:val="none"/>
        </w:rPr>
        <w:t>系统自行下载，文件后缀名为“</w:t>
      </w:r>
      <w:r>
        <w:rPr>
          <w:color w:val="auto"/>
          <w:highlight w:val="none"/>
        </w:rPr>
        <w:t>.gxzb</w:t>
      </w:r>
      <w:r>
        <w:rPr>
          <w:rFonts w:hint="eastAsia" w:cs="宋体"/>
          <w:color w:val="auto"/>
          <w:highlight w:val="none"/>
        </w:rPr>
        <w:t>”。</w:t>
      </w:r>
      <w:r>
        <w:rPr>
          <w:color w:val="auto"/>
          <w:highlight w:val="none"/>
        </w:rPr>
        <w:t xml:space="preserve"> </w:t>
      </w:r>
      <w:r>
        <w:rPr>
          <w:rFonts w:hint="eastAsia"/>
          <w:color w:val="auto"/>
          <w:highlight w:val="none"/>
        </w:rPr>
        <w:t>工程量清单表格</w:t>
      </w:r>
      <w:r>
        <w:rPr>
          <w:rFonts w:hint="eastAsia" w:ascii="宋体" w:hAnsi="宋体" w:cs="宋体"/>
          <w:color w:val="auto"/>
          <w:highlight w:val="none"/>
        </w:rPr>
        <w:t>具体</w:t>
      </w:r>
      <w:r>
        <w:rPr>
          <w:rFonts w:hint="eastAsia" w:cs="宋体"/>
          <w:color w:val="auto"/>
          <w:highlight w:val="none"/>
        </w:rPr>
        <w:t>包括：</w:t>
      </w:r>
    </w:p>
    <w:p w14:paraId="2BC513BD">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046A4A79">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招标工程量清单（扉</w:t>
      </w:r>
      <w:r>
        <w:rPr>
          <w:color w:val="auto"/>
          <w:highlight w:val="none"/>
        </w:rPr>
        <w:t>-1</w:t>
      </w:r>
      <w:r>
        <w:rPr>
          <w:rFonts w:hint="eastAsia" w:cs="宋体"/>
          <w:color w:val="auto"/>
          <w:highlight w:val="none"/>
        </w:rPr>
        <w:t>）</w:t>
      </w:r>
    </w:p>
    <w:p w14:paraId="24CB0DFD">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lang w:eastAsia="zh-CN"/>
        </w:rPr>
        <w:t>编制</w:t>
      </w:r>
      <w:r>
        <w:rPr>
          <w:rFonts w:hint="eastAsia" w:cs="宋体"/>
          <w:color w:val="auto"/>
          <w:highlight w:val="none"/>
        </w:rPr>
        <w:t>说明（表</w:t>
      </w:r>
      <w:r>
        <w:rPr>
          <w:color w:val="auto"/>
          <w:highlight w:val="none"/>
        </w:rPr>
        <w:t>-01</w:t>
      </w:r>
      <w:r>
        <w:rPr>
          <w:rFonts w:hint="eastAsia" w:cs="宋体"/>
          <w:color w:val="auto"/>
          <w:highlight w:val="none"/>
        </w:rPr>
        <w:t>）</w:t>
      </w:r>
    </w:p>
    <w:p w14:paraId="7D74595D">
      <w:pPr>
        <w:spacing w:line="360" w:lineRule="auto"/>
        <w:ind w:firstLine="630" w:firstLineChars="300"/>
        <w:jc w:val="left"/>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s="宋体"/>
          <w:color w:val="auto"/>
          <w:highlight w:val="none"/>
        </w:rPr>
        <w:t>招标工程量清单</w:t>
      </w:r>
      <w:r>
        <w:rPr>
          <w:rFonts w:hint="eastAsia" w:cs="宋体"/>
          <w:color w:val="auto"/>
          <w:highlight w:val="none"/>
          <w:lang w:val="en-US" w:eastAsia="zh-CN"/>
        </w:rPr>
        <w:t>扉页</w:t>
      </w:r>
      <w:r>
        <w:rPr>
          <w:rFonts w:hint="eastAsia" w:cs="宋体"/>
          <w:color w:val="auto"/>
          <w:highlight w:val="none"/>
        </w:rPr>
        <w:t>（扉</w:t>
      </w:r>
      <w:r>
        <w:rPr>
          <w:color w:val="auto"/>
          <w:highlight w:val="none"/>
        </w:rPr>
        <w:t>-1</w:t>
      </w:r>
      <w:r>
        <w:rPr>
          <w:rFonts w:hint="eastAsia" w:cs="宋体"/>
          <w:color w:val="auto"/>
          <w:highlight w:val="none"/>
        </w:rPr>
        <w:t>）</w:t>
      </w:r>
    </w:p>
    <w:p w14:paraId="614AEC5A">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2BEC8B9C">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3730ABFE">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792BEEDD">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05适用于单价合同，表-06适用于总价合同</w:t>
      </w:r>
      <w:r>
        <w:rPr>
          <w:rFonts w:hint="eastAsia" w:ascii="Times New Roman" w:hAnsi="Times New Roman" w:eastAsia="宋体" w:cs="宋体"/>
          <w:color w:val="auto"/>
          <w:highlight w:val="none"/>
        </w:rPr>
        <w:t>）</w:t>
      </w:r>
    </w:p>
    <w:p w14:paraId="1A60718F">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14512C9F">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08</w:t>
      </w:r>
      <w:r>
        <w:rPr>
          <w:rFonts w:hint="eastAsia" w:ascii="Times New Roman" w:hAnsi="Times New Roman" w:eastAsia="宋体" w:cs="宋体"/>
          <w:color w:val="auto"/>
          <w:highlight w:val="none"/>
        </w:rPr>
        <w:t>）</w:t>
      </w:r>
    </w:p>
    <w:p w14:paraId="2AA4925B">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09</w:t>
      </w:r>
      <w:r>
        <w:rPr>
          <w:rFonts w:hint="eastAsia" w:ascii="Times New Roman" w:hAnsi="Times New Roman" w:eastAsia="宋体" w:cs="宋体"/>
          <w:color w:val="auto"/>
          <w:highlight w:val="none"/>
        </w:rPr>
        <w:t>）</w:t>
      </w:r>
    </w:p>
    <w:p w14:paraId="088C320C">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ascii="Times New Roman" w:hAnsi="Times New Roman" w:eastAsia="宋体" w:cs="宋体"/>
          <w:strike w:val="0"/>
          <w:color w:val="auto"/>
          <w:highlight w:val="none"/>
          <w:lang w:eastAsia="zh-CN"/>
        </w:rPr>
        <w:t>0</w:t>
      </w:r>
      <w:r>
        <w:rPr>
          <w:rFonts w:hint="eastAsia" w:ascii="Times New Roman" w:hAnsi="Times New Roman" w:eastAsia="宋体" w:cs="宋体"/>
          <w:strike w:val="0"/>
          <w:color w:val="auto"/>
          <w:highlight w:val="none"/>
        </w:rPr>
        <w:t>）</w:t>
      </w:r>
    </w:p>
    <w:p w14:paraId="2D69A162">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253330D4">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12</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w:t>
      </w:r>
    </w:p>
    <w:p w14:paraId="47623387">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13</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ascii="Times New Roman" w:hAnsi="Times New Roman" w:eastAsia="宋体" w:cs="宋体"/>
          <w:color w:val="auto"/>
          <w:highlight w:val="none"/>
          <w:lang w:eastAsia="zh-CN"/>
        </w:rPr>
        <w:t>3</w:t>
      </w:r>
      <w:r>
        <w:rPr>
          <w:rFonts w:hint="eastAsia" w:ascii="Times New Roman" w:hAnsi="Times New Roman" w:eastAsia="宋体" w:cs="宋体"/>
          <w:color w:val="auto"/>
          <w:highlight w:val="none"/>
        </w:rPr>
        <w:t>）</w:t>
      </w:r>
    </w:p>
    <w:p w14:paraId="5145EBA8">
      <w:pPr>
        <w:spacing w:line="360" w:lineRule="auto"/>
        <w:ind w:firstLine="632" w:firstLineChars="300"/>
        <w:jc w:val="left"/>
        <w:rPr>
          <w:rFonts w:hint="eastAsia" w:ascii="Times New Roman" w:hAnsi="Times New Roman" w:eastAsia="宋体" w:cs="宋体"/>
          <w:color w:val="auto"/>
          <w:highlight w:val="none"/>
        </w:rPr>
      </w:pPr>
      <w:r>
        <w:rPr>
          <w:rFonts w:hint="eastAsia" w:cs="宋体"/>
          <w:b/>
          <w:bCs/>
          <w:color w:val="auto"/>
          <w:sz w:val="21"/>
          <w:szCs w:val="21"/>
          <w:highlight w:val="none"/>
          <w:lang w:val="en-US" w:eastAsia="zh-CN"/>
        </w:rPr>
        <w:t>（14）</w:t>
      </w:r>
      <w:r>
        <w:rPr>
          <w:rFonts w:hint="eastAsia" w:ascii="Times New Roman" w:hAnsi="Times New Roman" w:eastAsia="宋体" w:cs="宋体"/>
          <w:b w:val="0"/>
          <w:color w:val="auto"/>
          <w:sz w:val="21"/>
          <w:szCs w:val="21"/>
          <w:highlight w:val="none"/>
        </w:rPr>
        <w:t>材料暂估价</w:t>
      </w:r>
      <w:r>
        <w:rPr>
          <w:rFonts w:hint="eastAsia" w:cs="宋体"/>
          <w:color w:val="auto"/>
          <w:highlight w:val="none"/>
          <w:lang w:val="en-US" w:eastAsia="zh-CN"/>
        </w:rPr>
        <w:t>明细</w:t>
      </w:r>
      <w:r>
        <w:rPr>
          <w:rFonts w:hint="eastAsia" w:ascii="Times New Roman" w:hAnsi="Times New Roman" w:eastAsia="宋体" w:cs="宋体"/>
          <w:b w:val="0"/>
          <w:color w:val="auto"/>
          <w:sz w:val="21"/>
          <w:szCs w:val="21"/>
          <w:highlight w:val="none"/>
        </w:rPr>
        <w:t>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rPr>
        <w:t>1</w:t>
      </w:r>
      <w:r>
        <w:rPr>
          <w:rFonts w:hint="eastAsia" w:ascii="Times New Roman" w:hAnsi="Times New Roman" w:eastAsia="宋体" w:cs="宋体"/>
          <w:color w:val="auto"/>
          <w:highlight w:val="none"/>
          <w:lang w:val="en-US" w:eastAsia="zh-CN"/>
        </w:rPr>
        <w:t>3-1</w:t>
      </w:r>
      <w:r>
        <w:rPr>
          <w:rFonts w:hint="eastAsia" w:ascii="Times New Roman" w:hAnsi="Times New Roman" w:eastAsia="宋体" w:cs="宋体"/>
          <w:color w:val="auto"/>
          <w:highlight w:val="none"/>
        </w:rPr>
        <w:t>）</w:t>
      </w:r>
    </w:p>
    <w:p w14:paraId="19CFE9DD">
      <w:pPr>
        <w:spacing w:line="360" w:lineRule="auto"/>
        <w:ind w:firstLine="632" w:firstLineChars="300"/>
        <w:jc w:val="left"/>
        <w:rPr>
          <w:color w:val="auto"/>
          <w:highlight w:val="none"/>
        </w:rPr>
      </w:pPr>
      <w:r>
        <w:rPr>
          <w:rFonts w:hint="eastAsia" w:cs="宋体"/>
          <w:b/>
          <w:bCs/>
          <w:color w:val="auto"/>
          <w:sz w:val="21"/>
          <w:szCs w:val="21"/>
          <w:highlight w:val="none"/>
          <w:lang w:val="en-US" w:eastAsia="zh-CN"/>
        </w:rPr>
        <w:t>（15）</w:t>
      </w:r>
      <w:r>
        <w:rPr>
          <w:rFonts w:hint="eastAsia" w:cs="宋体"/>
          <w:color w:val="auto"/>
          <w:highlight w:val="none"/>
        </w:rPr>
        <w:t>专业工程暂估价</w:t>
      </w:r>
      <w:r>
        <w:rPr>
          <w:rFonts w:hint="eastAsia" w:cs="宋体"/>
          <w:color w:val="auto"/>
          <w:highlight w:val="none"/>
          <w:lang w:val="en-US" w:eastAsia="zh-CN"/>
        </w:rPr>
        <w:t>明细</w:t>
      </w:r>
      <w:r>
        <w:rPr>
          <w:rFonts w:hint="eastAsia" w:cs="宋体"/>
          <w:color w:val="auto"/>
          <w:highlight w:val="none"/>
        </w:rPr>
        <w:t>表（表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3-2</w:t>
      </w:r>
      <w:r>
        <w:rPr>
          <w:rFonts w:hint="eastAsia" w:cs="宋体"/>
          <w:color w:val="auto"/>
          <w:highlight w:val="none"/>
        </w:rPr>
        <w:t>）</w:t>
      </w:r>
    </w:p>
    <w:p w14:paraId="31F66BF4">
      <w:pPr>
        <w:spacing w:line="360" w:lineRule="auto"/>
        <w:ind w:firstLine="632" w:firstLineChars="300"/>
        <w:jc w:val="left"/>
        <w:rPr>
          <w:color w:val="auto"/>
          <w:highlight w:val="none"/>
        </w:rPr>
      </w:pPr>
      <w:r>
        <w:rPr>
          <w:rFonts w:hint="eastAsia" w:cs="宋体"/>
          <w:b/>
          <w:bCs/>
          <w:color w:val="auto"/>
          <w:sz w:val="21"/>
          <w:szCs w:val="21"/>
          <w:highlight w:val="none"/>
          <w:lang w:val="en-US" w:eastAsia="zh-CN"/>
        </w:rPr>
        <w:t>（16）</w:t>
      </w:r>
      <w:r>
        <w:rPr>
          <w:rFonts w:hint="eastAsia" w:cs="宋体"/>
          <w:color w:val="auto"/>
          <w:highlight w:val="none"/>
          <w:lang w:val="en-US" w:eastAsia="zh-CN"/>
        </w:rPr>
        <w:t>暂列金额明细表</w:t>
      </w:r>
      <w:r>
        <w:rPr>
          <w:rFonts w:hint="eastAsia" w:cs="宋体"/>
          <w:color w:val="auto"/>
          <w:highlight w:val="none"/>
        </w:rPr>
        <w:t>（表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3-3</w:t>
      </w:r>
      <w:r>
        <w:rPr>
          <w:rFonts w:hint="eastAsia" w:cs="宋体"/>
          <w:color w:val="auto"/>
          <w:highlight w:val="none"/>
        </w:rPr>
        <w:t>）</w:t>
      </w:r>
    </w:p>
    <w:p w14:paraId="6AA433C7">
      <w:pPr>
        <w:spacing w:line="360" w:lineRule="auto"/>
        <w:ind w:firstLine="632" w:firstLineChars="300"/>
        <w:jc w:val="left"/>
        <w:rPr>
          <w:rFonts w:hint="eastAsia"/>
          <w:color w:val="auto"/>
          <w:highlight w:val="none"/>
          <w:lang w:eastAsia="zh-CN"/>
        </w:rPr>
      </w:pPr>
      <w:r>
        <w:rPr>
          <w:rFonts w:hint="eastAsia" w:cs="宋体"/>
          <w:b/>
          <w:bCs/>
          <w:color w:val="auto"/>
          <w:sz w:val="21"/>
          <w:szCs w:val="21"/>
          <w:highlight w:val="none"/>
          <w:lang w:val="en-US" w:eastAsia="zh-CN"/>
        </w:rPr>
        <w:t>（17）</w:t>
      </w:r>
      <w:r>
        <w:rPr>
          <w:rFonts w:hint="eastAsia" w:cs="宋体"/>
          <w:color w:val="auto"/>
          <w:highlight w:val="none"/>
        </w:rPr>
        <w:t>总承包服</w:t>
      </w:r>
      <w:r>
        <w:rPr>
          <w:rFonts w:hint="default" w:ascii="Times New Roman" w:hAnsi="Times New Roman" w:eastAsia="宋体" w:cs="宋体"/>
          <w:color w:val="auto"/>
          <w:highlight w:val="none"/>
          <w:lang w:val="en"/>
        </w:rPr>
        <w:t>务费计价表（表</w:t>
      </w:r>
      <w:r>
        <w:rPr>
          <w:rFonts w:hint="default"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
        </w:rPr>
        <w:t>1</w:t>
      </w:r>
      <w:r>
        <w:rPr>
          <w:rFonts w:hint="eastAsia" w:ascii="Times New Roman" w:hAnsi="Times New Roman" w:eastAsia="宋体" w:cs="宋体"/>
          <w:color w:val="auto"/>
          <w:highlight w:val="none"/>
          <w:lang w:val="en-US" w:eastAsia="zh-CN"/>
        </w:rPr>
        <w:t>3-4</w:t>
      </w:r>
      <w:r>
        <w:rPr>
          <w:rFonts w:hint="default" w:ascii="Times New Roman" w:hAnsi="Times New Roman" w:eastAsia="宋体" w:cs="宋体"/>
          <w:color w:val="auto"/>
          <w:highlight w:val="none"/>
          <w:lang w:val="en"/>
        </w:rPr>
        <w:t>）</w:t>
      </w:r>
    </w:p>
    <w:p w14:paraId="7C6E8C82">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
        </w:rPr>
        <w:t>1</w:t>
      </w:r>
      <w:r>
        <w:rPr>
          <w:rFonts w:hint="default" w:ascii="Times New Roman" w:hAnsi="Times New Roman" w:eastAsia="宋体" w:cs="宋体"/>
          <w:color w:val="auto"/>
          <w:highlight w:val="none"/>
          <w:lang w:val="en" w:eastAsia="zh-CN"/>
        </w:rPr>
        <w:t>8</w:t>
      </w:r>
      <w:r>
        <w:rPr>
          <w:rFonts w:hint="default" w:ascii="Times New Roman" w:hAnsi="Times New Roman" w:eastAsia="宋体" w:cs="宋体"/>
          <w:color w:val="auto"/>
          <w:highlight w:val="none"/>
          <w:lang w:val="en"/>
        </w:rPr>
        <w:t>）</w:t>
      </w:r>
    </w:p>
    <w:p w14:paraId="65BA2483">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19</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19</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12BAF53F">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20</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-2</w:t>
      </w:r>
      <w:r>
        <w:rPr>
          <w:rFonts w:hint="default" w:ascii="Times New Roman" w:hAnsi="Times New Roman" w:eastAsia="宋体" w:cs="宋体"/>
          <w:color w:val="auto"/>
          <w:highlight w:val="none"/>
          <w:lang w:val="en" w:eastAsia="zh-CN"/>
        </w:rPr>
        <w:t>0</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0D0ADB54">
      <w:pPr>
        <w:spacing w:line="360" w:lineRule="auto"/>
        <w:ind w:firstLine="630" w:firstLineChars="300"/>
        <w:jc w:val="left"/>
        <w:rPr>
          <w:rFonts w:hint="eastAsia" w:ascii="Times New Roman" w:hAnsi="Times New Roman" w:eastAsia="宋体" w:cs="宋体"/>
          <w:color w:val="auto"/>
          <w:highlight w:val="none"/>
          <w:lang w:val="en-US" w:eastAsia="zh-CN"/>
        </w:rPr>
      </w:pPr>
      <w:r>
        <w:rPr>
          <w:rFonts w:hint="eastAsia" w:cs="宋体"/>
          <w:color w:val="auto"/>
          <w:highlight w:val="none"/>
        </w:rPr>
        <w:t>注：</w:t>
      </w:r>
      <w:r>
        <w:rPr>
          <w:rFonts w:hint="eastAsia" w:cs="宋体"/>
          <w:color w:val="auto"/>
          <w:highlight w:val="none"/>
        </w:rPr>
        <w:t>以</w:t>
      </w:r>
      <w:r>
        <w:rPr>
          <w:rFonts w:hint="eastAsia" w:cs="宋体"/>
          <w:color w:val="auto"/>
          <w:highlight w:val="none"/>
          <w:lang w:val="en-US" w:eastAsia="zh-CN"/>
        </w:rPr>
        <w:t>上</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cs="宋体"/>
          <w:color w:val="auto"/>
          <w:highlight w:val="none"/>
          <w:lang w:val="en-US" w:eastAsia="zh-CN"/>
        </w:rPr>
        <w:t>19</w:t>
      </w:r>
      <w:r>
        <w:rPr>
          <w:rFonts w:hint="eastAsia" w:cs="宋体"/>
          <w:color w:val="auto"/>
          <w:highlight w:val="none"/>
          <w:lang w:eastAsia="zh-CN"/>
        </w:rPr>
        <w:t>）（</w:t>
      </w:r>
      <w:r>
        <w:rPr>
          <w:rFonts w:hint="eastAsia" w:cs="宋体"/>
          <w:color w:val="auto"/>
          <w:highlight w:val="none"/>
          <w:lang w:val="en-US" w:eastAsia="zh-CN"/>
        </w:rPr>
        <w:t>20</w:t>
      </w:r>
      <w:r>
        <w:rPr>
          <w:rFonts w:hint="eastAsia" w:cs="宋体"/>
          <w:color w:val="auto"/>
          <w:highlight w:val="none"/>
          <w:lang w:eastAsia="zh-CN"/>
        </w:rPr>
        <w:t>）</w:t>
      </w:r>
      <w:r>
        <w:rPr>
          <w:rFonts w:hint="eastAsia" w:cs="宋体"/>
          <w:color w:val="auto"/>
          <w:highlight w:val="none"/>
        </w:rPr>
        <w:t>表格</w:t>
      </w:r>
      <w:r>
        <w:rPr>
          <w:rFonts w:hint="eastAsia" w:cs="宋体"/>
          <w:color w:val="auto"/>
          <w:highlight w:val="none"/>
          <w:lang w:val="en-US" w:eastAsia="zh-CN"/>
        </w:rPr>
        <w:t>根据</w:t>
      </w:r>
      <w:r>
        <w:rPr>
          <w:rFonts w:hint="eastAsia" w:cs="宋体"/>
          <w:color w:val="auto"/>
          <w:highlight w:val="none"/>
        </w:rPr>
        <w:t>工程实际需要选用</w:t>
      </w:r>
      <w:r>
        <w:rPr>
          <w:rFonts w:hint="eastAsia" w:cs="宋体"/>
          <w:color w:val="auto"/>
          <w:highlight w:val="none"/>
          <w:lang w:eastAsia="zh-CN"/>
        </w:rPr>
        <w:t>。</w:t>
      </w:r>
    </w:p>
    <w:p w14:paraId="2E9BA950">
      <w:pPr>
        <w:spacing w:line="360" w:lineRule="auto"/>
        <w:ind w:firstLine="420" w:firstLineChars="200"/>
        <w:jc w:val="left"/>
        <w:rPr>
          <w:rFonts w:hint="default" w:ascii="Times New Roman" w:hAnsi="宋体" w:eastAsia="宋体" w:cs="宋体"/>
          <w:strike w:val="0"/>
          <w:color w:val="auto"/>
          <w:kern w:val="0"/>
          <w:highlight w:val="none"/>
          <w:lang w:val="en-US" w:eastAsia="zh-CN"/>
        </w:rPr>
      </w:pPr>
      <w:r>
        <w:rPr>
          <w:rFonts w:hint="eastAsia" w:ascii="Times New Roman" w:hAnsi="宋体" w:eastAsia="宋体" w:cs="宋体"/>
          <w:strike w:val="0"/>
          <w:color w:val="auto"/>
          <w:kern w:val="0"/>
          <w:highlight w:val="none"/>
          <w:lang w:val="en-US" w:eastAsia="zh-CN"/>
        </w:rPr>
        <w:t>1.12 招标工程量清单另册发放</w:t>
      </w:r>
    </w:p>
    <w:p w14:paraId="62473051">
      <w:pPr>
        <w:spacing w:line="360" w:lineRule="auto"/>
        <w:ind w:firstLine="630" w:firstLineChars="300"/>
        <w:rPr>
          <w:rFonts w:hint="eastAsia"/>
          <w:color w:val="auto"/>
          <w:highlight w:val="none"/>
        </w:rPr>
      </w:pPr>
    </w:p>
    <w:p w14:paraId="15EFD303">
      <w:pPr>
        <w:pStyle w:val="3"/>
        <w:rPr>
          <w:color w:val="auto"/>
          <w:highlight w:val="none"/>
        </w:rPr>
      </w:pPr>
      <w:bookmarkStart w:id="2248" w:name="_Toc24340"/>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bookmarkEnd w:id="2248"/>
    </w:p>
    <w:p w14:paraId="07CF60DB">
      <w:pPr>
        <w:spacing w:line="360" w:lineRule="auto"/>
        <w:ind w:firstLine="420" w:firstLineChars="200"/>
        <w:outlineLvl w:val="9"/>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.1编制依据：</w:t>
      </w:r>
    </w:p>
    <w:p w14:paraId="192CC117">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（1）</w:t>
      </w:r>
      <w:r>
        <w:rPr>
          <w:rFonts w:hint="default" w:ascii="宋体" w:hAnsi="宋体" w:cs="宋体"/>
          <w:b w:val="0"/>
          <w:bCs/>
          <w:color w:val="auto"/>
          <w:sz w:val="21"/>
          <w:szCs w:val="21"/>
          <w:highlight w:val="none"/>
          <w:lang w:val="en" w:eastAsia="zh-CN"/>
        </w:rPr>
        <w:t>自治区建设行政主管部门颁发的</w:t>
      </w:r>
      <w:r>
        <w:rPr>
          <w:rFonts w:hint="eastAsia" w:ascii="宋体" w:hAnsi="宋体" w:cs="宋体"/>
          <w:b w:val="0"/>
          <w:bCs/>
          <w:color w:val="auto"/>
          <w:sz w:val="21"/>
          <w:szCs w:val="21"/>
          <w:highlight w:val="none"/>
          <w:lang w:val="en" w:eastAsia="zh-CN"/>
        </w:rPr>
        <w:t>《</w:t>
      </w:r>
      <w:r>
        <w:rPr>
          <w:rFonts w:hint="eastAsia" w:ascii="宋体" w:hAnsi="宋体" w:cs="宋体"/>
          <w:b w:val="0"/>
          <w:bCs/>
          <w:color w:val="auto"/>
          <w:sz w:val="21"/>
          <w:szCs w:val="21"/>
          <w:highlight w:val="none"/>
          <w:lang w:val="en-US" w:eastAsia="zh-CN"/>
        </w:rPr>
        <w:t>计价规范》《</w:t>
      </w:r>
      <w:r>
        <w:rPr>
          <w:rFonts w:hint="default" w:ascii="宋体" w:hAnsi="宋体" w:cs="宋体"/>
          <w:b w:val="0"/>
          <w:bCs/>
          <w:color w:val="auto"/>
          <w:sz w:val="21"/>
          <w:szCs w:val="21"/>
          <w:highlight w:val="none"/>
          <w:lang w:val="en" w:eastAsia="zh-CN"/>
        </w:rPr>
        <w:t>计算规范</w:t>
      </w:r>
      <w:r>
        <w:rPr>
          <w:rFonts w:hint="eastAsia" w:ascii="宋体" w:hAnsi="宋体" w:cs="宋体"/>
          <w:b w:val="0"/>
          <w:bCs/>
          <w:color w:val="auto"/>
          <w:sz w:val="21"/>
          <w:szCs w:val="21"/>
          <w:highlight w:val="none"/>
          <w:lang w:val="en" w:eastAsia="zh-CN"/>
        </w:rPr>
        <w:t>》，</w:t>
      </w:r>
      <w:r>
        <w:rPr>
          <w:rFonts w:hint="default" w:ascii="宋体" w:hAnsi="宋体" w:cs="宋体"/>
          <w:b w:val="0"/>
          <w:bCs/>
          <w:color w:val="auto"/>
          <w:sz w:val="21"/>
          <w:szCs w:val="21"/>
          <w:highlight w:val="none"/>
          <w:lang w:val="en" w:eastAsia="zh-CN"/>
        </w:rPr>
        <w:t>以及根据工程需要补充的工程量计算规则；</w:t>
      </w:r>
    </w:p>
    <w:p w14:paraId="2AD5C034">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（2）</w:t>
      </w:r>
      <w:r>
        <w:rPr>
          <w:rFonts w:hint="default" w:ascii="宋体" w:hAnsi="宋体" w:cs="宋体"/>
          <w:b w:val="0"/>
          <w:bCs/>
          <w:color w:val="auto"/>
          <w:sz w:val="21"/>
          <w:szCs w:val="21"/>
          <w:highlight w:val="none"/>
          <w:lang w:val="en" w:eastAsia="zh-CN"/>
        </w:rPr>
        <w:t>招标文件（包括招标工程量清单、合同条款、招标图纸等）及其补遗、澄清或修改；</w:t>
      </w:r>
    </w:p>
    <w:p w14:paraId="7F8F17B1">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（3）</w:t>
      </w:r>
      <w:r>
        <w:rPr>
          <w:rFonts w:hint="default" w:ascii="宋体" w:hAnsi="宋体" w:cs="宋体"/>
          <w:b w:val="0"/>
          <w:bCs/>
          <w:color w:val="auto"/>
          <w:sz w:val="21"/>
          <w:szCs w:val="21"/>
          <w:highlight w:val="none"/>
          <w:lang w:val="en" w:eastAsia="zh-CN"/>
        </w:rPr>
        <w:t>与招标工程相关的标准、规范、技术资料；</w:t>
      </w:r>
    </w:p>
    <w:p w14:paraId="20C8CD58">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（4）</w:t>
      </w:r>
      <w:r>
        <w:rPr>
          <w:rFonts w:hint="default" w:ascii="宋体" w:hAnsi="宋体" w:cs="宋体"/>
          <w:b w:val="0"/>
          <w:bCs/>
          <w:color w:val="auto"/>
          <w:sz w:val="21"/>
          <w:szCs w:val="21"/>
          <w:highlight w:val="none"/>
          <w:lang w:val="en" w:eastAsia="zh-CN"/>
        </w:rPr>
        <w:t>施工现场情况、地勘水文资料、工程特点等；</w:t>
      </w:r>
    </w:p>
    <w:p w14:paraId="73364B70">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（5）</w:t>
      </w:r>
      <w:r>
        <w:rPr>
          <w:rFonts w:hint="default" w:ascii="宋体" w:hAnsi="宋体" w:cs="宋体"/>
          <w:b w:val="0"/>
          <w:bCs/>
          <w:color w:val="auto"/>
          <w:sz w:val="21"/>
          <w:szCs w:val="21"/>
          <w:highlight w:val="none"/>
          <w:lang w:val="en" w:eastAsia="zh-CN"/>
        </w:rPr>
        <w:t>合理施工工期及常规施工工艺、顺序；</w:t>
      </w:r>
    </w:p>
    <w:p w14:paraId="6D6B3BCC">
      <w:pPr>
        <w:spacing w:line="360" w:lineRule="auto"/>
        <w:ind w:firstLine="422" w:firstLineChars="200"/>
        <w:rPr>
          <w:rFonts w:hint="eastAsia" w:ascii="宋体" w:hAnsi="宋体" w:cs="宋体"/>
          <w:b/>
          <w:bCs w:val="0"/>
          <w:color w:val="auto"/>
          <w:sz w:val="21"/>
          <w:szCs w:val="21"/>
          <w:highlight w:val="none"/>
          <w:u w:val="single"/>
          <w:lang w:val="en-US" w:eastAsia="zh-CN"/>
        </w:rPr>
      </w:pPr>
      <w:r>
        <w:rPr>
          <w:rFonts w:hint="eastAsia" w:ascii="宋体" w:hAnsi="宋体" w:cs="宋体"/>
          <w:b/>
          <w:bCs w:val="0"/>
          <w:color w:val="auto"/>
          <w:sz w:val="21"/>
          <w:szCs w:val="21"/>
          <w:highlight w:val="none"/>
          <w:lang w:val="en-US" w:eastAsia="zh-CN"/>
        </w:rPr>
        <w:t>（6）最高投标限价计算方法及价格来源：</w:t>
      </w:r>
      <w:r>
        <w:rPr>
          <w:rFonts w:hint="eastAsia" w:ascii="宋体" w:hAnsi="宋体" w:cs="宋体"/>
          <w:b/>
          <w:bCs w:val="0"/>
          <w:color w:val="auto"/>
          <w:sz w:val="21"/>
          <w:szCs w:val="21"/>
          <w:highlight w:val="none"/>
          <w:u w:val="single"/>
          <w:lang w:val="en-US" w:eastAsia="zh-CN"/>
        </w:rPr>
        <w:t xml:space="preserve">                              。</w:t>
      </w:r>
    </w:p>
    <w:p w14:paraId="525127BE">
      <w:pPr>
        <w:spacing w:line="360" w:lineRule="auto"/>
        <w:ind w:firstLine="420" w:firstLineChars="200"/>
        <w:rPr>
          <w:color w:val="auto"/>
          <w:highlight w:val="none"/>
        </w:rPr>
      </w:pPr>
      <w:r>
        <w:rPr>
          <w:color w:val="auto"/>
          <w:highlight w:val="none"/>
        </w:rPr>
        <w:t xml:space="preserve">2.2 </w:t>
      </w:r>
      <w:r>
        <w:rPr>
          <w:rFonts w:hint="eastAsia" w:ascii="Times New Roman" w:hAnsi="Times New Roman" w:eastAsia="宋体" w:cs="宋体"/>
          <w:b w:val="0"/>
          <w:color w:val="auto"/>
          <w:sz w:val="21"/>
          <w:szCs w:val="21"/>
          <w:highlight w:val="none"/>
        </w:rPr>
        <w:t>分部分项</w:t>
      </w:r>
      <w:r>
        <w:rPr>
          <w:rFonts w:hint="eastAsia" w:ascii="Times New Roman" w:hAnsi="Times New Roman" w:eastAsia="宋体" w:cs="宋体"/>
          <w:b w:val="0"/>
          <w:color w:val="auto"/>
          <w:sz w:val="21"/>
          <w:szCs w:val="21"/>
          <w:highlight w:val="none"/>
          <w:lang w:val="en-US" w:eastAsia="zh-CN"/>
        </w:rPr>
        <w:t>工程项目清单</w:t>
      </w:r>
      <w:r>
        <w:rPr>
          <w:rFonts w:hint="eastAsia" w:hAnsi="宋体" w:cs="宋体"/>
          <w:color w:val="auto"/>
          <w:highlight w:val="none"/>
        </w:rPr>
        <w:t>综合单价包括招标文件中招标人要求投标人所承担的风险内容及其范围（幅度）产生的风险费用。</w:t>
      </w:r>
    </w:p>
    <w:p w14:paraId="062D212F">
      <w:pPr>
        <w:spacing w:line="360" w:lineRule="auto"/>
        <w:ind w:firstLine="420"/>
        <w:rPr>
          <w:color w:val="auto"/>
          <w:highlight w:val="none"/>
        </w:rPr>
      </w:pPr>
      <w:r>
        <w:rPr>
          <w:color w:val="auto"/>
          <w:highlight w:val="none"/>
        </w:rPr>
        <w:t xml:space="preserve">2.3 </w:t>
      </w:r>
      <w:r>
        <w:rPr>
          <w:rFonts w:hint="eastAsia" w:ascii="Times New Roman" w:hAnsi="Times New Roman" w:eastAsia="宋体" w:cs="宋体"/>
          <w:b w:val="0"/>
          <w:color w:val="auto"/>
          <w:sz w:val="21"/>
          <w:szCs w:val="21"/>
          <w:highlight w:val="none"/>
        </w:rPr>
        <w:t>技术措施项目</w:t>
      </w:r>
      <w:r>
        <w:rPr>
          <w:rFonts w:hint="eastAsia" w:ascii="Times New Roman" w:hAnsi="Times New Roman" w:eastAsia="宋体" w:cs="宋体"/>
          <w:b w:val="0"/>
          <w:color w:val="auto"/>
          <w:sz w:val="21"/>
          <w:szCs w:val="21"/>
          <w:highlight w:val="none"/>
          <w:lang w:val="en-US" w:eastAsia="zh-CN"/>
        </w:rPr>
        <w:t>清单和</w:t>
      </w:r>
      <w:r>
        <w:rPr>
          <w:rFonts w:hint="eastAsia" w:hAnsi="宋体" w:cs="宋体"/>
          <w:color w:val="auto"/>
          <w:highlight w:val="none"/>
          <w:lang w:val="en-US" w:eastAsia="zh-CN"/>
        </w:rPr>
        <w:t>综合措施</w:t>
      </w:r>
      <w:r>
        <w:rPr>
          <w:rFonts w:hint="eastAsia" w:hAnsi="宋体" w:cs="宋体"/>
          <w:color w:val="auto"/>
          <w:highlight w:val="none"/>
        </w:rPr>
        <w:t>项目</w:t>
      </w:r>
      <w:r>
        <w:rPr>
          <w:rFonts w:hint="eastAsia" w:hAnsi="宋体" w:cs="宋体"/>
          <w:color w:val="auto"/>
          <w:highlight w:val="none"/>
          <w:lang w:val="en-US" w:eastAsia="zh-CN"/>
        </w:rPr>
        <w:t>清单</w:t>
      </w:r>
      <w:r>
        <w:rPr>
          <w:rFonts w:hint="eastAsia" w:hAnsi="宋体" w:cs="宋体"/>
          <w:color w:val="auto"/>
          <w:highlight w:val="none"/>
        </w:rPr>
        <w:t>根据拟定的招标文件和常规施工</w:t>
      </w:r>
      <w:r>
        <w:rPr>
          <w:rFonts w:hint="eastAsia" w:hAnsi="宋体" w:cs="宋体"/>
          <w:color w:val="auto"/>
          <w:highlight w:val="none"/>
          <w:lang w:val="en-US" w:eastAsia="zh-CN"/>
        </w:rPr>
        <w:t>工艺</w:t>
      </w:r>
      <w:r>
        <w:rPr>
          <w:rFonts w:hint="eastAsia" w:hAnsi="宋体" w:cs="宋体"/>
          <w:color w:val="auto"/>
          <w:highlight w:val="none"/>
        </w:rPr>
        <w:t>按《计价规范》和《计算规范》规定编制。</w:t>
      </w:r>
    </w:p>
    <w:p w14:paraId="0DE5A65A">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其他项目费按下列规定</w:t>
      </w:r>
      <w:r>
        <w:rPr>
          <w:rFonts w:hint="eastAsia" w:cs="宋体"/>
          <w:color w:val="auto"/>
          <w:highlight w:val="none"/>
          <w:lang w:val="en-US" w:eastAsia="zh-CN"/>
        </w:rPr>
        <w:t>计算</w:t>
      </w:r>
      <w:r>
        <w:rPr>
          <w:rFonts w:hint="eastAsia" w:cs="宋体"/>
          <w:color w:val="auto"/>
          <w:highlight w:val="none"/>
        </w:rPr>
        <w:t>：</w:t>
      </w:r>
    </w:p>
    <w:p w14:paraId="1E6871DA">
      <w:pPr>
        <w:spacing w:line="360" w:lineRule="auto"/>
        <w:ind w:firstLine="420" w:firstLineChars="200"/>
        <w:rPr>
          <w:rFonts w:hint="eastAsia" w:ascii="Times New Roman" w:hAnsi="Times New Roman" w:eastAsia="宋体" w:cs="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Times New Roman" w:hAnsi="Times New Roman" w:eastAsia="宋体" w:cs="宋体"/>
          <w:color w:val="auto"/>
          <w:highlight w:val="none"/>
        </w:rPr>
        <w:t>材料暂估价按招标工程量清单中列出的单价</w:t>
      </w:r>
      <w:r>
        <w:rPr>
          <w:rFonts w:hint="eastAsia" w:ascii="Times New Roman" w:hAnsi="Times New Roman" w:eastAsia="宋体" w:cs="宋体"/>
          <w:color w:val="auto"/>
          <w:highlight w:val="none"/>
          <w:lang w:val="en-US" w:eastAsia="zh-CN"/>
        </w:rPr>
        <w:t>计算，不计入分部分项工程项目清单综合单价</w:t>
      </w:r>
      <w:r>
        <w:rPr>
          <w:rFonts w:hint="eastAsia" w:ascii="Times New Roman" w:hAnsi="Times New Roman" w:eastAsia="宋体" w:cs="宋体"/>
          <w:color w:val="auto"/>
          <w:highlight w:val="none"/>
        </w:rPr>
        <w:t>；</w:t>
      </w:r>
    </w:p>
    <w:p w14:paraId="3AC67CAD">
      <w:pPr>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（2）专业工程暂估价按招标工程量清单中列出的金额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00625324">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（3）暂列金额按招标工程量清单中列出的金额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1D2E28A2">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（4）</w:t>
      </w:r>
      <w:r>
        <w:rPr>
          <w:rFonts w:hint="eastAsia" w:ascii="Times New Roman" w:hAnsi="Times New Roman" w:eastAsia="宋体" w:cs="宋体"/>
          <w:b w:val="0"/>
          <w:bCs w:val="0"/>
          <w:color w:val="auto"/>
          <w:sz w:val="21"/>
          <w:szCs w:val="21"/>
          <w:highlight w:val="none"/>
          <w:lang w:val="zh-TW" w:eastAsia="zh-CN"/>
        </w:rPr>
        <w:t>总承包服务费按招标工程量清单列出的</w:t>
      </w:r>
      <w:r>
        <w:rPr>
          <w:rFonts w:hint="eastAsia" w:ascii="Times New Roman" w:hAnsi="Times New Roman" w:eastAsia="宋体" w:cs="宋体"/>
          <w:b w:val="0"/>
          <w:bCs w:val="0"/>
          <w:color w:val="auto"/>
          <w:sz w:val="21"/>
          <w:szCs w:val="21"/>
          <w:highlight w:val="none"/>
          <w:lang w:val="en-US" w:eastAsia="zh-CN"/>
        </w:rPr>
        <w:t>需要投标人提供服务的服务内容计价</w:t>
      </w:r>
      <w:r>
        <w:rPr>
          <w:rFonts w:hint="default" w:ascii="Times New Roman" w:hAnsi="Times New Roman" w:cs="Times New Roman"/>
          <w:color w:val="auto"/>
          <w:szCs w:val="21"/>
          <w:highlight w:val="none"/>
        </w:rPr>
        <w:t>。</w:t>
      </w:r>
    </w:p>
    <w:p w14:paraId="6C20F243">
      <w:pPr>
        <w:spacing w:line="360" w:lineRule="auto"/>
        <w:ind w:firstLine="420" w:firstLineChars="200"/>
        <w:rPr>
          <w:rFonts w:hint="eastAsia" w:cs="宋体"/>
          <w:color w:val="auto"/>
          <w:highlight w:val="none"/>
        </w:rPr>
      </w:pPr>
      <w:r>
        <w:rPr>
          <w:color w:val="auto"/>
          <w:highlight w:val="none"/>
        </w:rPr>
        <w:t xml:space="preserve">2.5 </w:t>
      </w:r>
      <w:r>
        <w:rPr>
          <w:rFonts w:hint="eastAsia" w:ascii="Times New Roman" w:hAnsi="Times New Roman" w:eastAsia="宋体" w:cs="宋体"/>
          <w:color w:val="auto"/>
          <w:sz w:val="21"/>
          <w:szCs w:val="21"/>
          <w:highlight w:val="none"/>
        </w:rPr>
        <w:t>安全生产费</w:t>
      </w:r>
      <w:r>
        <w:rPr>
          <w:rFonts w:hint="eastAsia" w:cs="宋体"/>
          <w:color w:val="auto"/>
          <w:highlight w:val="none"/>
        </w:rPr>
        <w:t>按规定确定，作为不可竞争费用。</w:t>
      </w:r>
    </w:p>
    <w:p w14:paraId="075AEAA5">
      <w:pPr>
        <w:spacing w:line="360" w:lineRule="auto"/>
        <w:ind w:firstLine="420" w:firstLineChars="200"/>
        <w:rPr>
          <w:rFonts w:hint="default" w:eastAsia="宋体" w:cs="宋体"/>
          <w:color w:val="auto"/>
          <w:highlight w:val="none"/>
          <w:lang w:val="en-US" w:eastAsia="zh-CN"/>
        </w:rPr>
      </w:pPr>
      <w:r>
        <w:rPr>
          <w:rFonts w:hint="eastAsia" w:cs="宋体"/>
          <w:color w:val="auto"/>
          <w:highlight w:val="none"/>
          <w:lang w:val="en-US" w:eastAsia="zh-CN"/>
        </w:rPr>
        <w:t>2.6</w:t>
      </w:r>
      <w:r>
        <w:rPr>
          <w:rFonts w:hint="eastAsia" w:ascii="宋体" w:hAnsi="宋体" w:eastAsia="宋体" w:cs="宋体"/>
          <w:color w:val="auto"/>
          <w:sz w:val="21"/>
          <w:szCs w:val="21"/>
          <w:highlight w:val="none"/>
          <w:lang w:val="zh-TW"/>
        </w:rPr>
        <w:t xml:space="preserve"> </w:t>
      </w:r>
      <w:r>
        <w:rPr>
          <w:rFonts w:hint="eastAsia" w:ascii="宋体" w:hAnsi="宋体" w:eastAsia="宋体" w:cs="宋体"/>
          <w:b w:val="0"/>
          <w:bCs w:val="0"/>
          <w:color w:val="auto"/>
          <w:sz w:val="21"/>
          <w:szCs w:val="21"/>
          <w:highlight w:val="none"/>
          <w:lang w:val="en-US" w:eastAsia="zh-CN"/>
        </w:rPr>
        <w:t>增值税按政府有关主管部门的规定计算</w:t>
      </w:r>
      <w:r>
        <w:rPr>
          <w:rFonts w:hint="eastAsia" w:ascii="宋体" w:hAnsi="宋体" w:cs="宋体"/>
          <w:b w:val="0"/>
          <w:bCs w:val="0"/>
          <w:color w:val="auto"/>
          <w:sz w:val="21"/>
          <w:szCs w:val="21"/>
          <w:highlight w:val="none"/>
          <w:lang w:val="en-US" w:eastAsia="zh-CN"/>
        </w:rPr>
        <w:t>。</w:t>
      </w:r>
    </w:p>
    <w:p w14:paraId="68F4AD71">
      <w:pPr>
        <w:spacing w:line="360" w:lineRule="auto"/>
        <w:ind w:firstLine="420" w:firstLineChars="200"/>
        <w:rPr>
          <w:color w:val="auto"/>
          <w:highlight w:val="none"/>
        </w:rPr>
      </w:pPr>
      <w:r>
        <w:rPr>
          <w:color w:val="auto"/>
          <w:highlight w:val="none"/>
        </w:rPr>
        <w:t>2.</w:t>
      </w:r>
      <w:r>
        <w:rPr>
          <w:rFonts w:hint="eastAsia"/>
          <w:color w:val="auto"/>
          <w:highlight w:val="none"/>
          <w:lang w:val="en-US" w:eastAsia="zh-CN"/>
        </w:rPr>
        <w:t>7</w:t>
      </w:r>
      <w:r>
        <w:rPr>
          <w:color w:val="auto"/>
          <w:highlight w:val="none"/>
        </w:rPr>
        <w:t xml:space="preserve"> </w:t>
      </w:r>
      <w:r>
        <w:rPr>
          <w:rFonts w:hint="eastAsia" w:hAnsi="宋体" w:cs="宋体"/>
          <w:color w:val="auto"/>
          <w:highlight w:val="none"/>
        </w:rPr>
        <w:t>其它需要说明的问题：</w:t>
      </w:r>
      <w:r>
        <w:rPr>
          <w:color w:val="auto"/>
          <w:highlight w:val="none"/>
          <w:u w:val="single"/>
        </w:rPr>
        <w:t xml:space="preserve">     </w:t>
      </w:r>
      <w:bookmarkEnd w:id="2239"/>
      <w:bookmarkEnd w:id="2245"/>
      <w:bookmarkEnd w:id="2246"/>
      <w:bookmarkEnd w:id="2247"/>
      <w:r>
        <w:rPr>
          <w:color w:val="auto"/>
          <w:highlight w:val="none"/>
        </w:rPr>
        <w:br w:type="page"/>
      </w:r>
    </w:p>
    <w:p w14:paraId="3209FC5A">
      <w:pPr>
        <w:rPr>
          <w:color w:val="auto"/>
          <w:highlight w:val="none"/>
        </w:rPr>
      </w:pPr>
    </w:p>
    <w:p w14:paraId="0694A951">
      <w:pPr>
        <w:pStyle w:val="2"/>
        <w:jc w:val="center"/>
        <w:rPr>
          <w:color w:val="auto"/>
          <w:highlight w:val="none"/>
        </w:rPr>
      </w:pPr>
      <w:bookmarkStart w:id="2249" w:name="_Toc78449872"/>
      <w:bookmarkStart w:id="2250" w:name="_Toc358569765"/>
      <w:bookmarkStart w:id="2251" w:name="_Toc389065346"/>
      <w:bookmarkStart w:id="2252" w:name="_Toc407135287"/>
      <w:bookmarkStart w:id="2253" w:name="_Toc400456622"/>
      <w:bookmarkStart w:id="2254" w:name="_Toc30713"/>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bookmarkEnd w:id="2249"/>
      <w:bookmarkEnd w:id="2250"/>
      <w:bookmarkEnd w:id="2251"/>
      <w:bookmarkEnd w:id="2252"/>
      <w:bookmarkEnd w:id="2253"/>
      <w:bookmarkEnd w:id="2254"/>
    </w:p>
    <w:p w14:paraId="6E9141A4">
      <w:pPr>
        <w:jc w:val="center"/>
        <w:rPr>
          <w:b/>
          <w:bCs/>
          <w:color w:val="auto"/>
          <w:sz w:val="32"/>
          <w:szCs w:val="32"/>
          <w:highlight w:val="none"/>
        </w:rPr>
      </w:pPr>
      <w:r>
        <w:rPr>
          <w:rFonts w:hint="eastAsia" w:cs="宋体"/>
          <w:b/>
          <w:bCs/>
          <w:color w:val="auto"/>
          <w:sz w:val="32"/>
          <w:szCs w:val="32"/>
          <w:highlight w:val="none"/>
        </w:rPr>
        <w:t>（请代理</w:t>
      </w:r>
      <w:r>
        <w:rPr>
          <w:rFonts w:cs="宋体"/>
          <w:b/>
          <w:bCs/>
          <w:color w:val="auto"/>
          <w:sz w:val="32"/>
          <w:szCs w:val="32"/>
          <w:highlight w:val="none"/>
        </w:rPr>
        <w:t>机构列明图纸清单</w:t>
      </w:r>
      <w:r>
        <w:rPr>
          <w:rFonts w:hint="eastAsia" w:cs="宋体"/>
          <w:b/>
          <w:bCs/>
          <w:color w:val="auto"/>
          <w:sz w:val="32"/>
          <w:szCs w:val="32"/>
          <w:highlight w:val="none"/>
        </w:rPr>
        <w:t>供</w:t>
      </w:r>
      <w:r>
        <w:rPr>
          <w:rFonts w:cs="宋体"/>
          <w:b/>
          <w:bCs/>
          <w:color w:val="auto"/>
          <w:sz w:val="32"/>
          <w:szCs w:val="32"/>
          <w:highlight w:val="none"/>
        </w:rPr>
        <w:t>投标人核对图纸完整性</w:t>
      </w:r>
      <w:r>
        <w:rPr>
          <w:rFonts w:hint="eastAsia" w:cs="宋体"/>
          <w:b/>
          <w:bCs/>
          <w:color w:val="auto"/>
          <w:sz w:val="32"/>
          <w:szCs w:val="32"/>
          <w:highlight w:val="none"/>
        </w:rPr>
        <w:t>）</w:t>
      </w:r>
    </w:p>
    <w:p w14:paraId="418A158F">
      <w:pPr>
        <w:pStyle w:val="2"/>
        <w:jc w:val="center"/>
        <w:rPr>
          <w:color w:val="auto"/>
          <w:highlight w:val="none"/>
        </w:rPr>
      </w:pPr>
      <w:r>
        <w:rPr>
          <w:color w:val="auto"/>
          <w:highlight w:val="none"/>
        </w:rPr>
        <w:br w:type="page"/>
      </w:r>
      <w:bookmarkStart w:id="2255" w:name="_Toc78449873"/>
      <w:bookmarkStart w:id="2256" w:name="_Toc1719832737"/>
      <w:bookmarkStart w:id="2257" w:name="_Toc11521"/>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bookmarkEnd w:id="2255"/>
      <w:bookmarkEnd w:id="2256"/>
      <w:bookmarkEnd w:id="2257"/>
    </w:p>
    <w:p w14:paraId="048177AA">
      <w:pPr>
        <w:jc w:val="center"/>
        <w:rPr>
          <w:color w:val="auto"/>
          <w:highlight w:val="none"/>
        </w:rPr>
      </w:pPr>
    </w:p>
    <w:p w14:paraId="4574C899">
      <w:pPr>
        <w:jc w:val="center"/>
        <w:rPr>
          <w:color w:val="auto"/>
          <w:highlight w:val="none"/>
        </w:rPr>
      </w:pPr>
    </w:p>
    <w:p w14:paraId="29BDC4DF">
      <w:pPr>
        <w:spacing w:line="360" w:lineRule="auto"/>
        <w:ind w:firstLine="420" w:firstLineChars="200"/>
        <w:rPr>
          <w:rFonts w:hAnsi="宋体" w:cs="宋体"/>
          <w:color w:val="auto"/>
          <w:highlight w:val="none"/>
        </w:rPr>
      </w:pPr>
      <w:r>
        <w:rPr>
          <w:rFonts w:hint="eastAsia" w:hAnsi="宋体" w:cs="宋体"/>
          <w:color w:val="auto"/>
          <w:highlight w:val="none"/>
        </w:rPr>
        <w:t>本章由招标人根据国家行业和地方现行标准、规范和规程等，以及项目具体情况摘录。</w:t>
      </w:r>
    </w:p>
    <w:p w14:paraId="7E6A3A36">
      <w:pPr>
        <w:spacing w:line="360" w:lineRule="auto"/>
        <w:ind w:firstLine="420" w:firstLineChars="200"/>
        <w:rPr>
          <w:rFonts w:hint="eastAsia" w:hAnsi="宋体" w:cs="宋体"/>
          <w:color w:val="auto"/>
          <w:highlight w:val="none"/>
        </w:rPr>
      </w:pPr>
      <w:r>
        <w:rPr>
          <w:rFonts w:hint="eastAsia" w:ascii="宋体" w:hAnsi="宋体" w:cs="宋体"/>
          <w:color w:val="auto"/>
          <w:highlight w:val="none"/>
        </w:rPr>
        <w:t>《危险性较大的分部分项工程安全管理规定》（建设部令第37号）</w:t>
      </w:r>
      <w:r>
        <w:rPr>
          <w:rFonts w:hint="eastAsia" w:ascii="宋体" w:hAnsi="宋体" w:cs="宋体"/>
          <w:color w:val="auto"/>
          <w:szCs w:val="22"/>
          <w:highlight w:val="none"/>
        </w:rPr>
        <w:t>2019年修订版</w:t>
      </w:r>
      <w:r>
        <w:rPr>
          <w:rFonts w:hint="eastAsia" w:ascii="宋体" w:hAnsi="宋体" w:cs="宋体"/>
          <w:color w:val="auto"/>
          <w:highlight w:val="none"/>
        </w:rPr>
        <w:t>以及《住房城乡建设部办公厅关于实施</w:t>
      </w:r>
      <w:r>
        <w:rPr>
          <w:rFonts w:hint="eastAsia" w:ascii="宋体" w:hAnsi="宋体" w:cs="宋体"/>
          <w:color w:val="auto"/>
          <w:highlight w:val="none"/>
          <w:lang w:eastAsia="zh-CN"/>
        </w:rPr>
        <w:t>〈</w:t>
      </w:r>
      <w:r>
        <w:rPr>
          <w:rFonts w:hint="eastAsia" w:ascii="宋体" w:hAnsi="宋体" w:cs="宋体"/>
          <w:color w:val="auto"/>
          <w:highlight w:val="none"/>
        </w:rPr>
        <w:t>危险性较大的分部分项工程安全管理规定</w:t>
      </w:r>
      <w:r>
        <w:rPr>
          <w:rFonts w:hint="eastAsia" w:ascii="宋体" w:hAnsi="宋体" w:cs="宋体"/>
          <w:color w:val="auto"/>
          <w:highlight w:val="none"/>
          <w:lang w:eastAsia="zh-CN"/>
        </w:rPr>
        <w:t>〉</w:t>
      </w:r>
      <w:r>
        <w:rPr>
          <w:rFonts w:hint="eastAsia" w:ascii="宋体" w:hAnsi="宋体" w:cs="宋体"/>
          <w:color w:val="auto"/>
          <w:highlight w:val="none"/>
        </w:rPr>
        <w:t>有关问题的通知》（建办质〔</w:t>
      </w:r>
      <w:r>
        <w:rPr>
          <w:rFonts w:ascii="宋体" w:hAnsi="宋体" w:cs="宋体"/>
          <w:color w:val="auto"/>
          <w:highlight w:val="none"/>
        </w:rPr>
        <w:t>2018〕31号</w:t>
      </w:r>
      <w:r>
        <w:rPr>
          <w:rFonts w:hint="eastAsia" w:ascii="宋体" w:hAnsi="宋体" w:cs="宋体"/>
          <w:color w:val="auto"/>
          <w:highlight w:val="none"/>
        </w:rPr>
        <w:t>）。</w:t>
      </w:r>
    </w:p>
    <w:p w14:paraId="3B2E54B7">
      <w:pPr>
        <w:jc w:val="center"/>
        <w:rPr>
          <w:rFonts w:cs="宋体"/>
          <w:color w:val="auto"/>
          <w:sz w:val="28"/>
          <w:szCs w:val="28"/>
          <w:highlight w:val="none"/>
        </w:rPr>
      </w:pPr>
      <w:r>
        <w:rPr>
          <w:color w:val="auto"/>
          <w:highlight w:val="none"/>
        </w:rPr>
        <w:br w:type="page"/>
      </w:r>
      <w:bookmarkStart w:id="2258" w:name="_Toc389065348"/>
      <w:bookmarkStart w:id="2259" w:name="_Toc407135288"/>
      <w:bookmarkStart w:id="2260" w:name="_Toc358569767"/>
      <w:r>
        <w:rPr>
          <w:rFonts w:cs="宋体"/>
          <w:color w:val="auto"/>
          <w:sz w:val="28"/>
          <w:szCs w:val="28"/>
          <w:highlight w:val="none"/>
        </w:rPr>
        <w:t xml:space="preserve"> </w:t>
      </w:r>
    </w:p>
    <w:p w14:paraId="772E68E7">
      <w:pPr>
        <w:pStyle w:val="2"/>
        <w:jc w:val="center"/>
        <w:rPr>
          <w:rFonts w:cs="黑体"/>
          <w:color w:val="auto"/>
          <w:highlight w:val="none"/>
        </w:rPr>
      </w:pPr>
      <w:bookmarkStart w:id="2261" w:name="_Toc8947"/>
      <w:bookmarkStart w:id="2262" w:name="_Toc1620174697"/>
      <w:bookmarkStart w:id="2263" w:name="_Toc78449874"/>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bookmarkEnd w:id="2258"/>
      <w:bookmarkEnd w:id="2259"/>
      <w:bookmarkEnd w:id="2260"/>
      <w:bookmarkEnd w:id="2261"/>
      <w:bookmarkEnd w:id="2262"/>
      <w:bookmarkEnd w:id="2263"/>
    </w:p>
    <w:p w14:paraId="528D0F35">
      <w:pPr>
        <w:jc w:val="center"/>
        <w:rPr>
          <w:color w:val="auto"/>
          <w:highlight w:val="none"/>
        </w:rPr>
      </w:pPr>
      <w:bookmarkStart w:id="2264" w:name="_Toc349557651"/>
      <w:bookmarkStart w:id="2265" w:name="_Toc349555826"/>
    </w:p>
    <w:p w14:paraId="41134232">
      <w:pPr>
        <w:jc w:val="center"/>
        <w:rPr>
          <w:color w:val="auto"/>
          <w:highlight w:val="none"/>
        </w:rPr>
      </w:pPr>
    </w:p>
    <w:p w14:paraId="09720635">
      <w:pPr>
        <w:jc w:val="center"/>
        <w:rPr>
          <w:color w:val="auto"/>
          <w:sz w:val="28"/>
          <w:szCs w:val="28"/>
          <w:highlight w:val="none"/>
        </w:rPr>
      </w:pPr>
      <w:r>
        <w:rPr>
          <w:rFonts w:hint="eastAsia" w:cs="宋体"/>
          <w:color w:val="auto"/>
          <w:sz w:val="28"/>
          <w:szCs w:val="28"/>
          <w:highlight w:val="none"/>
        </w:rPr>
        <w:t>本章由招标人根据国家行业和地方现行标准、规范和规程等，</w:t>
      </w:r>
    </w:p>
    <w:p w14:paraId="59AFBCEE">
      <w:pPr>
        <w:jc w:val="center"/>
        <w:rPr>
          <w:rFonts w:cs="宋体"/>
          <w:color w:val="auto"/>
          <w:sz w:val="28"/>
          <w:szCs w:val="28"/>
          <w:highlight w:val="none"/>
        </w:rPr>
      </w:pPr>
      <w:r>
        <w:rPr>
          <w:rFonts w:hint="eastAsia" w:cs="宋体"/>
          <w:color w:val="auto"/>
          <w:sz w:val="28"/>
          <w:szCs w:val="28"/>
          <w:highlight w:val="none"/>
        </w:rPr>
        <w:t>以及项目具体情况摘录。</w:t>
      </w:r>
      <w:bookmarkEnd w:id="2264"/>
      <w:bookmarkEnd w:id="2265"/>
    </w:p>
    <w:p w14:paraId="4768A3F7">
      <w:pPr>
        <w:jc w:val="center"/>
        <w:rPr>
          <w:b/>
          <w:bCs/>
          <w:color w:val="auto"/>
          <w:kern w:val="44"/>
          <w:sz w:val="32"/>
          <w:szCs w:val="32"/>
          <w:highlight w:val="none"/>
        </w:rPr>
      </w:pPr>
      <w:r>
        <w:rPr>
          <w:color w:val="auto"/>
          <w:sz w:val="28"/>
          <w:szCs w:val="28"/>
          <w:highlight w:val="none"/>
        </w:rPr>
        <w:br w:type="page"/>
      </w:r>
    </w:p>
    <w:p w14:paraId="16A08180">
      <w:pPr>
        <w:rPr>
          <w:color w:val="auto"/>
          <w:highlight w:val="none"/>
        </w:rPr>
      </w:pPr>
    </w:p>
    <w:p w14:paraId="77F4CD1A">
      <w:pPr>
        <w:pStyle w:val="2"/>
        <w:jc w:val="center"/>
        <w:rPr>
          <w:color w:val="auto"/>
          <w:highlight w:val="none"/>
        </w:rPr>
      </w:pPr>
      <w:bookmarkStart w:id="2266" w:name="_Toc407135289"/>
      <w:bookmarkStart w:id="2267" w:name="_Toc1978887856"/>
      <w:bookmarkStart w:id="2268" w:name="_Toc358569769"/>
      <w:bookmarkStart w:id="2269" w:name="_Toc389065350"/>
      <w:bookmarkStart w:id="2270" w:name="_Toc78449875"/>
      <w:bookmarkStart w:id="2271" w:name="_Toc1391"/>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bookmarkEnd w:id="2266"/>
      <w:bookmarkEnd w:id="2267"/>
      <w:bookmarkEnd w:id="2268"/>
      <w:bookmarkEnd w:id="2269"/>
      <w:bookmarkEnd w:id="2270"/>
      <w:bookmarkEnd w:id="2271"/>
    </w:p>
    <w:p w14:paraId="40920B5D">
      <w:pPr>
        <w:rPr>
          <w:color w:val="auto"/>
          <w:sz w:val="32"/>
          <w:szCs w:val="32"/>
          <w:highlight w:val="none"/>
        </w:rPr>
      </w:pPr>
    </w:p>
    <w:p w14:paraId="43586C72">
      <w:pPr>
        <w:jc w:val="center"/>
        <w:rPr>
          <w:color w:val="auto"/>
          <w:sz w:val="32"/>
          <w:szCs w:val="32"/>
          <w:highlight w:val="none"/>
        </w:rPr>
      </w:pPr>
      <w:r>
        <w:rPr>
          <w:color w:val="auto"/>
          <w:sz w:val="32"/>
          <w:szCs w:val="32"/>
          <w:highlight w:val="none"/>
        </w:rPr>
        <w:br w:type="page"/>
      </w:r>
    </w:p>
    <w:p w14:paraId="02D079C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47AA2A5A">
      <w:pPr>
        <w:jc w:val="center"/>
        <w:rPr>
          <w:color w:val="auto"/>
          <w:sz w:val="28"/>
          <w:szCs w:val="28"/>
          <w:highlight w:val="none"/>
        </w:rPr>
      </w:pPr>
    </w:p>
    <w:p w14:paraId="382658C5">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1F5FB018">
      <w:pPr>
        <w:jc w:val="center"/>
        <w:rPr>
          <w:color w:val="auto"/>
          <w:sz w:val="32"/>
          <w:szCs w:val="32"/>
          <w:highlight w:val="none"/>
        </w:rPr>
      </w:pPr>
    </w:p>
    <w:p w14:paraId="1150479E">
      <w:pPr>
        <w:jc w:val="center"/>
        <w:rPr>
          <w:color w:val="auto"/>
          <w:sz w:val="32"/>
          <w:szCs w:val="32"/>
          <w:highlight w:val="none"/>
        </w:rPr>
      </w:pPr>
    </w:p>
    <w:p w14:paraId="22681AA6">
      <w:pPr>
        <w:jc w:val="center"/>
        <w:rPr>
          <w:color w:val="auto"/>
          <w:sz w:val="32"/>
          <w:szCs w:val="32"/>
          <w:highlight w:val="none"/>
        </w:rPr>
      </w:pPr>
    </w:p>
    <w:p w14:paraId="59C10074">
      <w:pPr>
        <w:jc w:val="center"/>
        <w:rPr>
          <w:color w:val="auto"/>
          <w:sz w:val="32"/>
          <w:szCs w:val="32"/>
          <w:highlight w:val="none"/>
        </w:rPr>
      </w:pPr>
    </w:p>
    <w:p w14:paraId="47DBF1B0">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581AA424">
      <w:pPr>
        <w:jc w:val="center"/>
        <w:rPr>
          <w:color w:val="auto"/>
          <w:sz w:val="32"/>
          <w:szCs w:val="32"/>
          <w:highlight w:val="none"/>
        </w:rPr>
      </w:pPr>
    </w:p>
    <w:p w14:paraId="77A04E2A">
      <w:pPr>
        <w:jc w:val="center"/>
        <w:rPr>
          <w:color w:val="auto"/>
          <w:sz w:val="32"/>
          <w:szCs w:val="32"/>
          <w:highlight w:val="none"/>
        </w:rPr>
      </w:pPr>
    </w:p>
    <w:p w14:paraId="09A1EEB1">
      <w:pPr>
        <w:jc w:val="center"/>
        <w:rPr>
          <w:color w:val="auto"/>
          <w:sz w:val="32"/>
          <w:szCs w:val="32"/>
          <w:highlight w:val="none"/>
        </w:rPr>
      </w:pPr>
    </w:p>
    <w:p w14:paraId="7301D650">
      <w:pPr>
        <w:jc w:val="center"/>
        <w:rPr>
          <w:color w:val="auto"/>
          <w:sz w:val="32"/>
          <w:szCs w:val="32"/>
          <w:highlight w:val="none"/>
        </w:rPr>
      </w:pPr>
    </w:p>
    <w:p w14:paraId="7D67CBF8">
      <w:pPr>
        <w:jc w:val="center"/>
        <w:rPr>
          <w:color w:val="auto"/>
          <w:sz w:val="32"/>
          <w:szCs w:val="32"/>
          <w:highlight w:val="none"/>
        </w:rPr>
      </w:pPr>
    </w:p>
    <w:p w14:paraId="46D7B14F">
      <w:pPr>
        <w:jc w:val="center"/>
        <w:rPr>
          <w:color w:val="auto"/>
          <w:sz w:val="32"/>
          <w:szCs w:val="32"/>
          <w:highlight w:val="none"/>
        </w:rPr>
      </w:pPr>
    </w:p>
    <w:p w14:paraId="00370A02">
      <w:pPr>
        <w:jc w:val="center"/>
        <w:rPr>
          <w:color w:val="auto"/>
          <w:sz w:val="32"/>
          <w:szCs w:val="32"/>
          <w:highlight w:val="none"/>
        </w:rPr>
      </w:pPr>
    </w:p>
    <w:p w14:paraId="7D0398DE">
      <w:pPr>
        <w:jc w:val="center"/>
        <w:rPr>
          <w:color w:val="auto"/>
          <w:sz w:val="32"/>
          <w:szCs w:val="32"/>
          <w:highlight w:val="none"/>
        </w:rPr>
      </w:pPr>
    </w:p>
    <w:p w14:paraId="2A262CCC">
      <w:pPr>
        <w:jc w:val="center"/>
        <w:rPr>
          <w:color w:val="auto"/>
          <w:sz w:val="32"/>
          <w:szCs w:val="32"/>
          <w:highlight w:val="none"/>
        </w:rPr>
      </w:pPr>
    </w:p>
    <w:p w14:paraId="5F90B510">
      <w:pPr>
        <w:jc w:val="center"/>
        <w:rPr>
          <w:color w:val="auto"/>
          <w:sz w:val="32"/>
          <w:szCs w:val="32"/>
          <w:highlight w:val="none"/>
        </w:rPr>
      </w:pPr>
    </w:p>
    <w:p w14:paraId="6C7FB856">
      <w:pPr>
        <w:jc w:val="center"/>
        <w:rPr>
          <w:color w:val="auto"/>
          <w:sz w:val="32"/>
          <w:szCs w:val="32"/>
          <w:highlight w:val="none"/>
        </w:rPr>
      </w:pPr>
    </w:p>
    <w:p w14:paraId="49F38AC3">
      <w:pPr>
        <w:jc w:val="center"/>
        <w:rPr>
          <w:color w:val="auto"/>
          <w:sz w:val="32"/>
          <w:szCs w:val="32"/>
          <w:highlight w:val="none"/>
        </w:rPr>
      </w:pPr>
    </w:p>
    <w:p w14:paraId="27C371FB">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7761875A">
      <w:pPr>
        <w:spacing w:line="360" w:lineRule="auto"/>
        <w:ind w:firstLine="1400" w:firstLineChars="50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盖法人单位电子印章</w:t>
      </w:r>
      <w:r>
        <w:rPr>
          <w:rFonts w:hint="eastAsia" w:cs="宋体"/>
          <w:color w:val="auto"/>
          <w:sz w:val="28"/>
          <w:szCs w:val="28"/>
          <w:highlight w:val="none"/>
        </w:rPr>
        <w:t>）</w:t>
      </w:r>
    </w:p>
    <w:p w14:paraId="650CD3FC">
      <w:pPr>
        <w:jc w:val="center"/>
        <w:rPr>
          <w:color w:val="auto"/>
          <w:sz w:val="28"/>
          <w:szCs w:val="28"/>
          <w:highlight w:val="none"/>
        </w:rPr>
      </w:pPr>
    </w:p>
    <w:p w14:paraId="6E7D2438">
      <w:pPr>
        <w:jc w:val="center"/>
        <w:rPr>
          <w:color w:val="auto"/>
          <w:sz w:val="28"/>
          <w:szCs w:val="28"/>
          <w:highlight w:val="none"/>
        </w:rPr>
      </w:pPr>
    </w:p>
    <w:p w14:paraId="56AED887">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64E3E144">
      <w:pPr>
        <w:spacing w:before="240" w:beforeLines="100" w:after="240" w:afterLines="100"/>
        <w:rPr>
          <w:rFonts w:eastAsia="楷体_GB2312"/>
          <w:color w:val="auto"/>
          <w:highlight w:val="none"/>
        </w:rPr>
      </w:pPr>
      <w:r>
        <w:rPr>
          <w:rFonts w:eastAsia="楷体_GB2312"/>
          <w:color w:val="auto"/>
          <w:highlight w:val="none"/>
        </w:rPr>
        <w:t xml:space="preserve"> </w:t>
      </w:r>
    </w:p>
    <w:p w14:paraId="38D77899">
      <w:pPr>
        <w:spacing w:before="240" w:beforeLines="100" w:after="240" w:afterLines="100"/>
        <w:rPr>
          <w:rFonts w:eastAsia="楷体_GB2312"/>
          <w:color w:val="auto"/>
          <w:highlight w:val="none"/>
        </w:rPr>
      </w:pPr>
    </w:p>
    <w:p w14:paraId="5DCA6117">
      <w:pPr>
        <w:spacing w:before="240" w:beforeLines="100" w:after="240" w:afterLines="100"/>
        <w:rPr>
          <w:rFonts w:eastAsia="楷体_GB2312"/>
          <w:color w:val="auto"/>
          <w:highlight w:val="none"/>
        </w:rPr>
      </w:pPr>
    </w:p>
    <w:p w14:paraId="2116B503">
      <w:pPr>
        <w:spacing w:before="240" w:beforeLines="100" w:after="240" w:afterLines="100"/>
        <w:rPr>
          <w:rFonts w:eastAsia="楷体_GB2312"/>
          <w:color w:val="auto"/>
          <w:highlight w:val="none"/>
        </w:rPr>
      </w:pPr>
    </w:p>
    <w:p w14:paraId="43AF16A5">
      <w:pPr>
        <w:pStyle w:val="27"/>
        <w:pBdr>
          <w:top w:val="none" w:color="auto" w:sz="0" w:space="0"/>
          <w:left w:val="none" w:color="auto" w:sz="0" w:space="0"/>
          <w:bottom w:val="none" w:color="auto" w:sz="0" w:space="1"/>
          <w:right w:val="none" w:color="auto" w:sz="0" w:space="0"/>
          <w:between w:val="none" w:color="auto" w:sz="0" w:space="0"/>
        </w:pBdr>
        <w:rPr>
          <w:color w:val="auto"/>
          <w:highlight w:val="none"/>
        </w:rPr>
      </w:pPr>
    </w:p>
    <w:p w14:paraId="13FB9993">
      <w:pPr>
        <w:spacing w:before="240" w:beforeLines="100" w:after="240" w:afterLines="100"/>
        <w:rPr>
          <w:rFonts w:hint="eastAsia" w:eastAsia="楷体_GB2312"/>
          <w:color w:val="auto"/>
          <w:highlight w:val="none"/>
        </w:rPr>
      </w:pPr>
    </w:p>
    <w:p w14:paraId="7107CD39">
      <w:pPr>
        <w:spacing w:before="240" w:beforeLines="100" w:after="240" w:afterLines="100"/>
        <w:rPr>
          <w:rFonts w:eastAsia="楷体_GB2312"/>
          <w:color w:val="auto"/>
          <w:highlight w:val="none"/>
        </w:rPr>
      </w:pPr>
    </w:p>
    <w:p w14:paraId="55027E91">
      <w:pPr>
        <w:pStyle w:val="135"/>
        <w:numPr>
          <w:ilvl w:val="0"/>
          <w:numId w:val="0"/>
        </w:numPr>
        <w:jc w:val="both"/>
        <w:outlineLvl w:val="0"/>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t>1.专职投标员身份证及近1个月（   年   月至投标截止时间止任意一个月社保）在现任职单位依法缴纳社会保险证明材料的扫描件。</w:t>
      </w:r>
    </w:p>
    <w:p w14:paraId="097B5DBF">
      <w:pPr>
        <w:pStyle w:val="135"/>
        <w:numPr>
          <w:ilvl w:val="0"/>
          <w:numId w:val="0"/>
        </w:numPr>
        <w:jc w:val="both"/>
        <w:outlineLvl w:val="0"/>
        <w:rPr>
          <w:rFonts w:hint="eastAsia" w:cs="宋体"/>
          <w:b/>
          <w:bCs/>
          <w:color w:val="auto"/>
          <w:sz w:val="28"/>
          <w:szCs w:val="28"/>
          <w:highlight w:val="none"/>
          <w:lang w:val="en-US" w:eastAsia="zh-CN"/>
        </w:rPr>
      </w:pPr>
    </w:p>
    <w:p w14:paraId="10FEE309">
      <w:pPr>
        <w:jc w:val="cente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法定代表人身份证明（如有）</w:t>
      </w:r>
    </w:p>
    <w:p w14:paraId="367363B0">
      <w:pPr>
        <w:autoSpaceDE w:val="0"/>
        <w:autoSpaceDN w:val="0"/>
        <w:adjustRightInd w:val="0"/>
        <w:spacing w:line="480" w:lineRule="exact"/>
        <w:rPr>
          <w:rFonts w:ascii="Times New Roman" w:hAnsi="Times New Roman" w:cs="Times New Roman"/>
          <w:color w:val="auto"/>
          <w:kern w:val="0"/>
          <w:sz w:val="32"/>
          <w:highlight w:val="none"/>
        </w:rPr>
      </w:pPr>
    </w:p>
    <w:p w14:paraId="6EC01E48">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投 标 人：</w:t>
      </w:r>
      <w:r>
        <w:rPr>
          <w:rFonts w:ascii="Times New Roman" w:hAnsi="Times New Roman" w:cs="Times New Roman"/>
          <w:bCs/>
          <w:color w:val="auto"/>
          <w:kern w:val="0"/>
          <w:highlight w:val="none"/>
          <w:u w:val="single"/>
        </w:rPr>
        <w:t xml:space="preserve">                                             </w:t>
      </w:r>
    </w:p>
    <w:p w14:paraId="5F6EE13C">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0191705F">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单位性质：</w:t>
      </w:r>
      <w:r>
        <w:rPr>
          <w:rFonts w:ascii="Times New Roman" w:hAnsi="Times New Roman" w:cs="Times New Roman"/>
          <w:bCs/>
          <w:color w:val="auto"/>
          <w:kern w:val="0"/>
          <w:highlight w:val="none"/>
          <w:u w:val="single"/>
        </w:rPr>
        <w:t xml:space="preserve">                                             </w:t>
      </w:r>
    </w:p>
    <w:p w14:paraId="2EB347A1">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1B78955">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地 址：</w:t>
      </w:r>
      <w:r>
        <w:rPr>
          <w:rFonts w:ascii="Times New Roman" w:hAnsi="Times New Roman" w:cs="Times New Roman"/>
          <w:bCs/>
          <w:color w:val="auto"/>
          <w:kern w:val="0"/>
          <w:highlight w:val="none"/>
          <w:u w:val="single"/>
        </w:rPr>
        <w:t xml:space="preserve">                                                </w:t>
      </w:r>
    </w:p>
    <w:p w14:paraId="7F6394F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7AEA4F7">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成立时间：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月</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日</w:t>
      </w:r>
    </w:p>
    <w:p w14:paraId="4C98AA1A">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09B3471">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经营期限：</w:t>
      </w:r>
      <w:r>
        <w:rPr>
          <w:rFonts w:ascii="Times New Roman" w:hAnsi="Times New Roman" w:cs="Times New Roman"/>
          <w:bCs/>
          <w:color w:val="auto"/>
          <w:kern w:val="0"/>
          <w:highlight w:val="none"/>
          <w:u w:val="single"/>
        </w:rPr>
        <w:t xml:space="preserve">                                             </w:t>
      </w:r>
    </w:p>
    <w:p w14:paraId="4425560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1C9CEA8E">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姓 名：</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 xml:space="preserve"> 性 别：</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 龄：</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职 务：</w:t>
      </w:r>
      <w:r>
        <w:rPr>
          <w:rFonts w:ascii="Times New Roman" w:hAnsi="Times New Roman" w:cs="Times New Roman"/>
          <w:bCs/>
          <w:color w:val="auto"/>
          <w:kern w:val="0"/>
          <w:highlight w:val="none"/>
          <w:u w:val="single"/>
        </w:rPr>
        <w:t xml:space="preserve">      </w:t>
      </w:r>
    </w:p>
    <w:p w14:paraId="2B25D680">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0D0D478">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系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（投标人名称）的法定代表人。</w:t>
      </w:r>
    </w:p>
    <w:p w14:paraId="2A8DF4D2">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1DA57E7F">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特此证明。</w:t>
      </w:r>
    </w:p>
    <w:p w14:paraId="43D7D7AC">
      <w:pPr>
        <w:autoSpaceDE w:val="0"/>
        <w:autoSpaceDN w:val="0"/>
        <w:adjustRightInd w:val="0"/>
        <w:spacing w:line="400" w:lineRule="exact"/>
        <w:rPr>
          <w:rFonts w:ascii="Times New Roman" w:hAnsi="Times New Roman" w:cs="Times New Roman"/>
          <w:bCs/>
          <w:color w:val="auto"/>
          <w:kern w:val="0"/>
          <w:highlight w:val="none"/>
        </w:rPr>
      </w:pPr>
    </w:p>
    <w:p w14:paraId="08BE6FE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189C87A">
      <w:pPr>
        <w:autoSpaceDE w:val="0"/>
        <w:autoSpaceDN w:val="0"/>
        <w:adjustRightInd w:val="0"/>
        <w:spacing w:line="400" w:lineRule="exact"/>
        <w:ind w:firstLine="3360" w:firstLineChars="160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投标人：</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w:t>
      </w:r>
      <w:r>
        <w:rPr>
          <w:rFonts w:hint="eastAsia" w:cs="Times New Roman"/>
          <w:bCs/>
          <w:color w:val="auto"/>
          <w:kern w:val="0"/>
          <w:highlight w:val="none"/>
          <w:lang w:eastAsia="zh-CN"/>
        </w:rPr>
        <w:t>盖法人单位电子印章</w:t>
      </w:r>
      <w:r>
        <w:rPr>
          <w:rFonts w:ascii="Times New Roman" w:hAnsi="Times New Roman" w:cs="Times New Roman"/>
          <w:bCs/>
          <w:color w:val="auto"/>
          <w:kern w:val="0"/>
          <w:highlight w:val="none"/>
        </w:rPr>
        <w:t>）</w:t>
      </w:r>
    </w:p>
    <w:p w14:paraId="3935FD72">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76A872A">
      <w:pPr>
        <w:spacing w:line="480" w:lineRule="exact"/>
        <w:ind w:firstLine="3885" w:firstLineChars="1850"/>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日期：</w:t>
      </w:r>
      <w:r>
        <w:rPr>
          <w:rFonts w:ascii="Times New Roman" w:hAnsi="Times New Roman" w:cs="Times New Roman"/>
          <w:color w:val="auto"/>
          <w:kern w:val="0"/>
          <w:highlight w:val="none"/>
          <w:u w:val="single"/>
        </w:rPr>
        <w:t xml:space="preserve">  </w:t>
      </w:r>
      <w:r>
        <w:rPr>
          <w:rFonts w:hint="default"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年</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月</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日</w:t>
      </w:r>
    </w:p>
    <w:p w14:paraId="1962061C">
      <w:pPr>
        <w:spacing w:line="480" w:lineRule="exact"/>
        <w:ind w:firstLine="3885" w:firstLineChars="1850"/>
        <w:rPr>
          <w:rFonts w:hint="default" w:ascii="Times New Roman" w:hAnsi="Times New Roman" w:cs="Times New Roman"/>
          <w:color w:val="auto"/>
          <w:kern w:val="0"/>
          <w:highlight w:val="none"/>
        </w:rPr>
      </w:pPr>
    </w:p>
    <w:p w14:paraId="777D73B3">
      <w:pPr>
        <w:spacing w:line="480" w:lineRule="exact"/>
        <w:ind w:firstLine="3885" w:firstLineChars="1850"/>
        <w:rPr>
          <w:rFonts w:hint="default" w:ascii="Times New Roman" w:hAnsi="Times New Roman" w:cs="Times New Roman"/>
          <w:color w:val="auto"/>
          <w:kern w:val="0"/>
          <w:highlight w:val="none"/>
        </w:rPr>
      </w:pPr>
    </w:p>
    <w:p w14:paraId="7AED8DC8">
      <w:pPr>
        <w:widowControl/>
        <w:ind w:firstLine="420" w:firstLineChars="200"/>
        <w:jc w:val="left"/>
        <w:rPr>
          <w:rFonts w:ascii="Times New Roman" w:hAnsi="Times New Roman" w:cs="Times New Roman"/>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p w14:paraId="2BBBFC79">
      <w:pPr>
        <w:tabs>
          <w:tab w:val="left" w:pos="826"/>
        </w:tabs>
        <w:snapToGrid w:val="0"/>
        <w:spacing w:line="360" w:lineRule="auto"/>
        <w:ind w:firstLine="315" w:firstLineChars="150"/>
        <w:jc w:val="center"/>
        <w:rPr>
          <w:rFonts w:hint="default" w:ascii="Times New Roman" w:hAnsi="Times New Roman" w:cs="Times New Roman"/>
          <w:color w:val="auto"/>
          <w:highlight w:val="none"/>
        </w:rPr>
      </w:pPr>
    </w:p>
    <w:p w14:paraId="59E58126">
      <w:pPr>
        <w:spacing w:line="360" w:lineRule="auto"/>
        <w:rPr>
          <w:rFonts w:hint="default" w:ascii="Times New Roman" w:hAnsi="Times New Roman" w:cs="Times New Roman"/>
          <w:color w:val="auto"/>
          <w:highlight w:val="none"/>
        </w:rPr>
      </w:pPr>
    </w:p>
    <w:p w14:paraId="07F47695">
      <w:pPr>
        <w:spacing w:line="480" w:lineRule="auto"/>
        <w:jc w:val="center"/>
        <w:rPr>
          <w:rFonts w:ascii="Times New Roman" w:hAnsi="Times New Roman" w:cs="Times New Roman"/>
          <w:color w:val="auto"/>
          <w:highlight w:val="none"/>
        </w:rPr>
      </w:pPr>
    </w:p>
    <w:p w14:paraId="461A2824">
      <w:pPr>
        <w:spacing w:line="480" w:lineRule="auto"/>
        <w:jc w:val="center"/>
        <w:rPr>
          <w:rFonts w:ascii="Times New Roman" w:hAnsi="Times New Roman" w:cs="Times New Roman"/>
          <w:color w:val="auto"/>
          <w:highlight w:val="none"/>
        </w:rPr>
      </w:pPr>
    </w:p>
    <w:p w14:paraId="02002F0D">
      <w:pPr>
        <w:spacing w:line="480" w:lineRule="auto"/>
        <w:jc w:val="center"/>
        <w:rPr>
          <w:rFonts w:ascii="Times New Roman" w:hAnsi="Times New Roman" w:cs="Times New Roman"/>
          <w:color w:val="auto"/>
          <w:highlight w:val="none"/>
        </w:rPr>
      </w:pPr>
    </w:p>
    <w:p w14:paraId="7662C192">
      <w:pPr>
        <w:spacing w:line="480" w:lineRule="auto"/>
        <w:jc w:val="center"/>
        <w:rPr>
          <w:rFonts w:hint="default" w:ascii="Times New Roman" w:hAnsi="Times New Roman" w:cs="Times New Roman"/>
          <w:color w:val="auto"/>
          <w:highlight w:val="none"/>
        </w:rPr>
      </w:pPr>
    </w:p>
    <w:p w14:paraId="170603DA">
      <w:pPr>
        <w:pStyle w:val="135"/>
        <w:jc w:val="center"/>
        <w:outlineLvl w:val="0"/>
        <w:rPr>
          <w:color w:val="auto"/>
          <w:sz w:val="28"/>
          <w:szCs w:val="28"/>
          <w:highlight w:val="none"/>
        </w:rPr>
      </w:pPr>
      <w:r>
        <w:rPr>
          <w:rFonts w:hint="eastAsia" w:cs="宋体"/>
          <w:b/>
          <w:bCs/>
          <w:color w:val="auto"/>
          <w:sz w:val="28"/>
          <w:szCs w:val="28"/>
          <w:highlight w:val="none"/>
          <w:lang w:val="en-US" w:eastAsia="zh-CN"/>
        </w:rPr>
        <w:t>2.</w:t>
      </w:r>
      <w:r>
        <w:rPr>
          <w:rFonts w:hint="eastAsia" w:cs="宋体"/>
          <w:b/>
          <w:bCs/>
          <w:color w:val="auto"/>
          <w:sz w:val="28"/>
          <w:szCs w:val="28"/>
          <w:highlight w:val="none"/>
        </w:rPr>
        <w:t>投标人基本情况表（包含联合体各方企业基本情况、营业执照、安全生产许可证、资质证书）</w:t>
      </w:r>
    </w:p>
    <w:p w14:paraId="1C7C11B7">
      <w:pPr>
        <w:pStyle w:val="36"/>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45E959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E5B06A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2EE7AA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44AA63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5C5E74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574275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EBA7D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1D1573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95DAC8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r>
      <w:tr w14:paraId="6F207C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3E88C1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A5BC91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3DE182F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465B60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C78B5D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E0710F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BF134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72A636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D9C121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D46420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158562B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3CC2A9B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64D563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2574A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9741B0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E7369C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5ECFAC2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0724B31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200C39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454DD0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5A88DE1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0DAC6F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70D4BE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522865E">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企业</w:t>
            </w:r>
            <w:r>
              <w:rPr>
                <w:rFonts w:hint="default" w:ascii="宋体" w:hAnsi="宋体" w:eastAsia="宋体" w:cs="宋体"/>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0D5C87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65481F09">
      <w:pPr>
        <w:pStyle w:val="36"/>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29D088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5333FE4">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A95994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70B3A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8C0AE79">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6A5A4F4">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8A780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CD49BB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690431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021E371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4548465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8B0C48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52AA2FE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5BAD8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1C64658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20EADF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p w14:paraId="3E1255A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C938B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61A08F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07341F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7F4A009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772A8529">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616ADA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D12F8A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48DC20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809B0F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68FAA8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4281842">
      <w:pPr>
        <w:pStyle w:val="36"/>
        <w:snapToGrid w:val="0"/>
        <w:spacing w:line="300" w:lineRule="auto"/>
        <w:jc w:val="center"/>
        <w:rPr>
          <w:rFonts w:hint="eastAsia" w:ascii="黑体" w:eastAsia="黑体" w:cs="黑体"/>
          <w:b/>
          <w:snapToGrid w:val="0"/>
          <w:color w:val="auto"/>
          <w:sz w:val="36"/>
          <w:szCs w:val="36"/>
          <w:highlight w:val="none"/>
          <w:u w:val="single"/>
        </w:rPr>
      </w:pPr>
    </w:p>
    <w:p w14:paraId="5E34B092">
      <w:pPr>
        <w:pStyle w:val="36"/>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企业安全生产许可证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74FBFD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498972F">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BAB61B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A30C48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18CBD0C">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1F7A5D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CE54A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5D1EFF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7DD9E0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4FA330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608606B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04D60A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6BCD6C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30967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9FA35F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8CD9D8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33BD291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6D5D596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6DF612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97C94E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A27C5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E230D7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B76CDB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5EFA49C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4039E1C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B9FE6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025245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A43F36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321FC702">
      <w:pPr>
        <w:pStyle w:val="36"/>
        <w:snapToGrid w:val="0"/>
        <w:spacing w:line="300" w:lineRule="auto"/>
        <w:jc w:val="center"/>
        <w:rPr>
          <w:rFonts w:ascii="黑体" w:eastAsia="黑体" w:cs="黑体"/>
          <w:b/>
          <w:snapToGrid w:val="0"/>
          <w:color w:val="auto"/>
          <w:sz w:val="36"/>
          <w:szCs w:val="36"/>
          <w:highlight w:val="none"/>
        </w:rPr>
      </w:pPr>
    </w:p>
    <w:p w14:paraId="622904B5">
      <w:pPr>
        <w:pStyle w:val="36"/>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tbl>
      <w:tblPr>
        <w:tblStyle w:val="40"/>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4CE5B2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AA9EA23">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E8C2C5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EFC4A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69FA9C2">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B1392B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4E27A9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8AF1ED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2FA706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D09EEB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786986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FF1874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7A87FA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4293F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419EBD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795EB9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32E857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0BCE64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D6BD47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C8019E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27424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1DD02F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4D4630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6669AFAF">
      <w:pPr>
        <w:spacing w:line="440" w:lineRule="exact"/>
        <w:rPr>
          <w:color w:val="auto"/>
          <w:highlight w:val="none"/>
        </w:rPr>
      </w:pPr>
    </w:p>
    <w:p w14:paraId="16B84D74">
      <w:pPr>
        <w:widowControl/>
        <w:ind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【备注：企业基本情况、营业执照、企业资质证书、安全生产许可证的信息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“桂建云”读取</w:t>
      </w:r>
      <w:r>
        <w:rPr>
          <w:rFonts w:hint="eastAsia" w:ascii="方正楷体_GB2312" w:hAnsi="方正楷体_GB2312" w:eastAsia="方正楷体_GB2312" w:cs="方正楷体_GB2312"/>
          <w:color w:val="auto"/>
          <w:szCs w:val="21"/>
          <w:highlight w:val="none"/>
          <w:lang w:eastAsia="zh-CN"/>
        </w:rPr>
        <w:t>，投标人不可修改，不要求提供扫描件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未通过“桂建云”读取的，在评审时不予承认</w:t>
      </w:r>
      <w:r>
        <w:rPr>
          <w:rFonts w:hint="eastAsia" w:ascii="方正楷体_GB2312" w:hAnsi="方正楷体_GB2312" w:eastAsia="方正楷体_GB2312" w:cs="方正楷体_GB2312"/>
          <w:color w:val="auto"/>
          <w:szCs w:val="21"/>
          <w:highlight w:val="none"/>
          <w:lang w:eastAsia="zh-CN"/>
        </w:rPr>
        <w:t>】</w:t>
      </w:r>
    </w:p>
    <w:p w14:paraId="4D653D9A">
      <w:pPr>
        <w:pStyle w:val="135"/>
        <w:jc w:val="center"/>
        <w:outlineLvl w:val="0"/>
        <w:rPr>
          <w:color w:val="auto"/>
          <w:sz w:val="28"/>
          <w:szCs w:val="28"/>
          <w:highlight w:val="none"/>
        </w:rPr>
      </w:pPr>
      <w:r>
        <w:rPr>
          <w:color w:val="auto"/>
          <w:highlight w:val="none"/>
        </w:rPr>
        <w:br w:type="page"/>
      </w:r>
      <w:r>
        <w:rPr>
          <w:rFonts w:hint="eastAsia" w:cs="宋体"/>
          <w:b/>
          <w:bCs/>
          <w:color w:val="auto"/>
          <w:sz w:val="28"/>
          <w:szCs w:val="28"/>
          <w:highlight w:val="none"/>
          <w:lang w:val="en-US" w:eastAsia="zh-CN"/>
        </w:rPr>
        <w:t>3.</w:t>
      </w:r>
      <w:r>
        <w:rPr>
          <w:rFonts w:hint="eastAsia" w:cs="宋体"/>
          <w:b/>
          <w:bCs/>
          <w:color w:val="auto"/>
          <w:sz w:val="28"/>
          <w:szCs w:val="28"/>
          <w:highlight w:val="none"/>
        </w:rPr>
        <w:t>联合体协议书（联合体投标人适用）</w:t>
      </w:r>
    </w:p>
    <w:p w14:paraId="3B745B96">
      <w:pPr>
        <w:spacing w:line="394" w:lineRule="exact"/>
        <w:rPr>
          <w:color w:val="auto"/>
          <w:highlight w:val="none"/>
        </w:rPr>
      </w:pPr>
      <w:r>
        <w:rPr>
          <w:rFonts w:hint="eastAsia" w:cs="宋体"/>
          <w:color w:val="auto"/>
          <w:highlight w:val="none"/>
        </w:rPr>
        <w:t>牵头人名称：</w:t>
      </w:r>
      <w:r>
        <w:rPr>
          <w:color w:val="auto"/>
          <w:highlight w:val="none"/>
          <w:u w:val="single"/>
        </w:rPr>
        <w:t xml:space="preserve">                                                  </w:t>
      </w:r>
    </w:p>
    <w:p w14:paraId="181A5DDA">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492E3584">
      <w:pPr>
        <w:spacing w:line="394" w:lineRule="exact"/>
        <w:rPr>
          <w:color w:val="auto"/>
          <w:highlight w:val="none"/>
        </w:rPr>
      </w:pPr>
      <w:r>
        <w:rPr>
          <w:rFonts w:hint="eastAsia" w:cs="宋体"/>
          <w:color w:val="auto"/>
          <w:highlight w:val="none"/>
        </w:rPr>
        <w:t>法定住所：</w:t>
      </w:r>
      <w:r>
        <w:rPr>
          <w:color w:val="auto"/>
          <w:highlight w:val="none"/>
          <w:u w:val="single"/>
        </w:rPr>
        <w:t xml:space="preserve">                                                    </w:t>
      </w:r>
    </w:p>
    <w:p w14:paraId="3C4F2738">
      <w:pPr>
        <w:spacing w:line="394" w:lineRule="exact"/>
        <w:rPr>
          <w:color w:val="auto"/>
          <w:highlight w:val="none"/>
        </w:rPr>
      </w:pPr>
      <w:r>
        <w:rPr>
          <w:rFonts w:hint="eastAsia" w:cs="宋体"/>
          <w:color w:val="auto"/>
          <w:highlight w:val="none"/>
        </w:rPr>
        <w:t>成员二名称：</w:t>
      </w:r>
      <w:r>
        <w:rPr>
          <w:color w:val="auto"/>
          <w:highlight w:val="none"/>
          <w:u w:val="single"/>
        </w:rPr>
        <w:t xml:space="preserve">                                                  </w:t>
      </w:r>
    </w:p>
    <w:p w14:paraId="05DE28CE">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7E887C05">
      <w:pPr>
        <w:spacing w:line="394" w:lineRule="exact"/>
        <w:rPr>
          <w:color w:val="auto"/>
          <w:highlight w:val="none"/>
          <w:u w:val="single"/>
        </w:rPr>
      </w:pPr>
      <w:r>
        <w:rPr>
          <w:rFonts w:hint="eastAsia" w:cs="宋体"/>
          <w:color w:val="auto"/>
          <w:highlight w:val="none"/>
        </w:rPr>
        <w:t>法定住所：</w:t>
      </w:r>
      <w:r>
        <w:rPr>
          <w:color w:val="auto"/>
          <w:highlight w:val="none"/>
          <w:u w:val="single"/>
        </w:rPr>
        <w:t xml:space="preserve">                                                    </w:t>
      </w:r>
    </w:p>
    <w:p w14:paraId="7510DB18">
      <w:pPr>
        <w:spacing w:line="394" w:lineRule="exact"/>
        <w:rPr>
          <w:color w:val="auto"/>
          <w:highlight w:val="none"/>
        </w:rPr>
      </w:pPr>
      <w:r>
        <w:rPr>
          <w:color w:val="auto"/>
          <w:highlight w:val="none"/>
        </w:rPr>
        <w:t>……</w:t>
      </w:r>
    </w:p>
    <w:p w14:paraId="4433F4C8">
      <w:pPr>
        <w:spacing w:line="400" w:lineRule="exact"/>
        <w:ind w:firstLine="420" w:firstLineChars="200"/>
        <w:rPr>
          <w:color w:val="auto"/>
          <w:highlight w:val="none"/>
        </w:rPr>
      </w:pPr>
      <w:r>
        <w:rPr>
          <w:rFonts w:hint="eastAsia" w:cs="宋体"/>
          <w:color w:val="auto"/>
          <w:highlight w:val="none"/>
        </w:rPr>
        <w:t>鉴于上述各成员单位经过友好协商，自愿组成</w:t>
      </w:r>
      <w:r>
        <w:rPr>
          <w:color w:val="auto"/>
          <w:highlight w:val="none"/>
          <w:u w:val="single"/>
        </w:rPr>
        <w:t xml:space="preserve">                          </w:t>
      </w:r>
      <w:r>
        <w:rPr>
          <w:rFonts w:hint="eastAsia" w:cs="宋体"/>
          <w:color w:val="auto"/>
          <w:highlight w:val="none"/>
        </w:rPr>
        <w:t>（联合体名称）联合体，共同参加</w:t>
      </w:r>
      <w:r>
        <w:rPr>
          <w:color w:val="auto"/>
          <w:highlight w:val="none"/>
          <w:u w:val="single"/>
        </w:rPr>
        <w:t xml:space="preserve">                                     </w:t>
      </w:r>
      <w:r>
        <w:rPr>
          <w:rFonts w:hint="eastAsia" w:cs="宋体"/>
          <w:color w:val="auto"/>
          <w:highlight w:val="none"/>
        </w:rPr>
        <w:t>（招标人名称）（以下简称招标人）</w:t>
      </w:r>
    </w:p>
    <w:p w14:paraId="2D7FD6DE">
      <w:pPr>
        <w:spacing w:line="400" w:lineRule="exact"/>
        <w:rPr>
          <w:color w:val="auto"/>
          <w:highlight w:val="none"/>
        </w:rPr>
      </w:pPr>
      <w:r>
        <w:rPr>
          <w:color w:val="auto"/>
          <w:highlight w:val="none"/>
          <w:u w:val="single"/>
        </w:rPr>
        <w:t xml:space="preserve">                           </w:t>
      </w:r>
      <w:r>
        <w:rPr>
          <w:rFonts w:hint="eastAsia" w:cs="宋体"/>
          <w:color w:val="auto"/>
          <w:highlight w:val="none"/>
        </w:rPr>
        <w:t>（</w:t>
      </w:r>
      <w:r>
        <w:rPr>
          <w:rFonts w:hint="eastAsia" w:cs="宋体"/>
          <w:color w:val="auto"/>
          <w:highlight w:val="none"/>
          <w:lang w:val="en-US" w:eastAsia="zh-CN"/>
        </w:rPr>
        <w:t>招标</w:t>
      </w:r>
      <w:r>
        <w:rPr>
          <w:rFonts w:hint="eastAsia" w:cs="宋体"/>
          <w:color w:val="auto"/>
          <w:highlight w:val="none"/>
        </w:rPr>
        <w:t>项目名称）（以下简称本工程）的施工投标并争取赢得本工程施工承包合同（以下简称合同）。现就联合体投标事宜订立如下协议：</w:t>
      </w:r>
    </w:p>
    <w:p w14:paraId="2D09D2E5">
      <w:pPr>
        <w:spacing w:line="400" w:lineRule="exact"/>
        <w:ind w:firstLine="420" w:firstLineChars="200"/>
        <w:rPr>
          <w:color w:val="auto"/>
          <w:highlight w:val="none"/>
        </w:rPr>
      </w:pPr>
      <w:r>
        <w:rPr>
          <w:color w:val="auto"/>
          <w:highlight w:val="none"/>
        </w:rPr>
        <w:t>1</w:t>
      </w:r>
      <w:r>
        <w:rPr>
          <w:rFonts w:hint="eastAsia" w:cs="宋体"/>
          <w:color w:val="auto"/>
          <w:highlight w:val="none"/>
        </w:rPr>
        <w:t>．</w:t>
      </w:r>
      <w:r>
        <w:rPr>
          <w:color w:val="auto"/>
          <w:highlight w:val="none"/>
          <w:u w:val="single"/>
        </w:rPr>
        <w:t xml:space="preserve">        </w:t>
      </w:r>
      <w:r>
        <w:rPr>
          <w:rFonts w:hint="eastAsia" w:cs="宋体"/>
          <w:color w:val="auto"/>
          <w:highlight w:val="none"/>
        </w:rPr>
        <w:t>（某成员单位名称）为</w:t>
      </w:r>
      <w:r>
        <w:rPr>
          <w:color w:val="auto"/>
          <w:highlight w:val="none"/>
          <w:u w:val="single"/>
        </w:rPr>
        <w:t xml:space="preserve">              </w:t>
      </w:r>
      <w:r>
        <w:rPr>
          <w:rFonts w:hint="eastAsia" w:cs="宋体"/>
          <w:color w:val="auto"/>
          <w:highlight w:val="none"/>
        </w:rPr>
        <w:t>（联合体名称）牵头人。</w:t>
      </w:r>
    </w:p>
    <w:p w14:paraId="4E649142">
      <w:pPr>
        <w:spacing w:line="400" w:lineRule="exact"/>
        <w:ind w:firstLine="420" w:firstLineChars="200"/>
        <w:rPr>
          <w:color w:val="auto"/>
          <w:highlight w:val="none"/>
        </w:rPr>
      </w:pPr>
      <w:r>
        <w:rPr>
          <w:color w:val="auto"/>
          <w:highlight w:val="none"/>
        </w:rPr>
        <w:t>2</w:t>
      </w:r>
      <w:r>
        <w:rPr>
          <w:rFonts w:hint="eastAsia" w:cs="宋体"/>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2F196072">
      <w:pPr>
        <w:spacing w:line="400" w:lineRule="exact"/>
        <w:ind w:firstLine="420" w:firstLineChars="200"/>
        <w:rPr>
          <w:color w:val="auto"/>
          <w:highlight w:val="none"/>
        </w:rPr>
      </w:pPr>
      <w:r>
        <w:rPr>
          <w:color w:val="auto"/>
          <w:highlight w:val="none"/>
        </w:rPr>
        <w:t>3</w:t>
      </w:r>
      <w:r>
        <w:rPr>
          <w:rFonts w:hint="eastAsia" w:cs="宋体"/>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ABB4AD1">
      <w:pPr>
        <w:spacing w:line="400" w:lineRule="exact"/>
        <w:ind w:firstLine="420" w:firstLineChars="200"/>
        <w:rPr>
          <w:color w:val="auto"/>
          <w:highlight w:val="none"/>
        </w:rPr>
      </w:pPr>
      <w:r>
        <w:rPr>
          <w:color w:val="auto"/>
          <w:highlight w:val="none"/>
        </w:rPr>
        <w:t>4</w:t>
      </w:r>
      <w:r>
        <w:rPr>
          <w:rFonts w:hint="eastAsia" w:cs="宋体"/>
          <w:color w:val="auto"/>
          <w:highlight w:val="none"/>
        </w:rPr>
        <w:t>．联合体各成员单位内部的职责分工如下：</w:t>
      </w:r>
      <w:r>
        <w:rPr>
          <w:color w:val="auto"/>
          <w:highlight w:val="none"/>
          <w:u w:val="single"/>
        </w:rPr>
        <w:t xml:space="preserve">                                    </w:t>
      </w:r>
      <w:r>
        <w:rPr>
          <w:rFonts w:hint="eastAsia" w:cs="宋体"/>
          <w:color w:val="auto"/>
          <w:highlight w:val="none"/>
        </w:rPr>
        <w:t>。按照本条上述分工，联合体成员单位各自所承担的合同工作量比例如下：</w:t>
      </w:r>
      <w:r>
        <w:rPr>
          <w:color w:val="auto"/>
          <w:highlight w:val="none"/>
          <w:u w:val="single"/>
        </w:rPr>
        <w:t xml:space="preserve">               </w:t>
      </w:r>
      <w:r>
        <w:rPr>
          <w:rFonts w:hint="eastAsia" w:cs="宋体"/>
          <w:color w:val="auto"/>
          <w:highlight w:val="none"/>
        </w:rPr>
        <w:t>。</w:t>
      </w: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314495D1">
      <w:pPr>
        <w:spacing w:line="400" w:lineRule="exact"/>
        <w:ind w:firstLine="420" w:firstLineChars="200"/>
        <w:rPr>
          <w:color w:val="auto"/>
          <w:highlight w:val="none"/>
        </w:rPr>
      </w:pPr>
      <w:r>
        <w:rPr>
          <w:color w:val="auto"/>
          <w:highlight w:val="none"/>
        </w:rPr>
        <w:t>5</w:t>
      </w:r>
      <w:r>
        <w:rPr>
          <w:rFonts w:hint="eastAsia" w:cs="宋体"/>
          <w:color w:val="auto"/>
          <w:highlight w:val="none"/>
        </w:rPr>
        <w:t>．投标工作和联合体在中标后工程实施过程中的有关费用按各自承担的工作量分摊。</w:t>
      </w:r>
    </w:p>
    <w:p w14:paraId="5FA2870C">
      <w:pPr>
        <w:spacing w:line="400" w:lineRule="exact"/>
        <w:ind w:firstLine="420" w:firstLineChars="200"/>
        <w:rPr>
          <w:color w:val="auto"/>
          <w:highlight w:val="none"/>
        </w:rPr>
      </w:pPr>
      <w:r>
        <w:rPr>
          <w:color w:val="auto"/>
          <w:highlight w:val="none"/>
        </w:rPr>
        <w:t>6</w:t>
      </w:r>
      <w:r>
        <w:rPr>
          <w:rFonts w:hint="eastAsia" w:cs="宋体"/>
          <w:color w:val="auto"/>
          <w:highlight w:val="none"/>
        </w:rPr>
        <w:t>．联合体中标后，本联合体协议是合同的附件，对联合体各成员单位有合同约束力。</w:t>
      </w:r>
    </w:p>
    <w:p w14:paraId="0948E544">
      <w:pPr>
        <w:spacing w:line="400" w:lineRule="exact"/>
        <w:ind w:firstLine="420" w:firstLineChars="200"/>
        <w:rPr>
          <w:color w:val="auto"/>
          <w:highlight w:val="none"/>
        </w:rPr>
      </w:pPr>
      <w:r>
        <w:rPr>
          <w:color w:val="auto"/>
          <w:highlight w:val="none"/>
        </w:rPr>
        <w:t>7</w:t>
      </w:r>
      <w:r>
        <w:rPr>
          <w:rFonts w:hint="eastAsia" w:cs="宋体"/>
          <w:color w:val="auto"/>
          <w:highlight w:val="none"/>
        </w:rPr>
        <w:t>．本协议书自签署之日起生效，联合体未中标或者中标时合同履行完毕后自动失效。</w:t>
      </w:r>
    </w:p>
    <w:p w14:paraId="5926BA97">
      <w:pPr>
        <w:spacing w:line="400" w:lineRule="exact"/>
        <w:ind w:firstLine="420" w:firstLineChars="200"/>
        <w:rPr>
          <w:color w:val="auto"/>
          <w:highlight w:val="none"/>
        </w:rPr>
      </w:pPr>
      <w:r>
        <w:rPr>
          <w:color w:val="auto"/>
          <w:highlight w:val="none"/>
        </w:rPr>
        <w:t>8</w:t>
      </w:r>
      <w:r>
        <w:rPr>
          <w:rFonts w:hint="eastAsia" w:cs="宋体"/>
          <w:color w:val="auto"/>
          <w:highlight w:val="none"/>
        </w:rPr>
        <w:t>．本协议书一式</w:t>
      </w:r>
      <w:r>
        <w:rPr>
          <w:color w:val="auto"/>
          <w:highlight w:val="none"/>
          <w:u w:val="single"/>
        </w:rPr>
        <w:t xml:space="preserve">            </w:t>
      </w:r>
      <w:r>
        <w:rPr>
          <w:rFonts w:hint="eastAsia" w:cs="宋体"/>
          <w:color w:val="auto"/>
          <w:highlight w:val="none"/>
        </w:rPr>
        <w:t>份，联合体成员和招标人各执一份。</w:t>
      </w:r>
    </w:p>
    <w:p w14:paraId="3D8E1987">
      <w:pPr>
        <w:spacing w:line="394" w:lineRule="exact"/>
        <w:rPr>
          <w:color w:val="auto"/>
          <w:highlight w:val="none"/>
        </w:rPr>
      </w:pPr>
    </w:p>
    <w:p w14:paraId="49D8F490">
      <w:pPr>
        <w:spacing w:line="394" w:lineRule="exact"/>
        <w:ind w:firstLine="1785" w:firstLineChars="850"/>
        <w:rPr>
          <w:color w:val="auto"/>
          <w:highlight w:val="none"/>
        </w:rPr>
      </w:pPr>
      <w:r>
        <w:rPr>
          <w:rFonts w:hint="eastAsia" w:cs="宋体"/>
          <w:color w:val="auto"/>
          <w:highlight w:val="none"/>
        </w:rPr>
        <w:t>牵头人名称：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712F6292">
      <w:pPr>
        <w:spacing w:line="394" w:lineRule="exact"/>
        <w:ind w:firstLine="1785" w:firstLineChars="850"/>
        <w:rPr>
          <w:color w:val="auto"/>
          <w:highlight w:val="none"/>
        </w:rPr>
      </w:pPr>
    </w:p>
    <w:p w14:paraId="029D00F1">
      <w:pPr>
        <w:spacing w:line="394" w:lineRule="exact"/>
        <w:ind w:firstLine="1785" w:firstLineChars="850"/>
        <w:rPr>
          <w:color w:val="auto"/>
          <w:highlight w:val="none"/>
        </w:rPr>
      </w:pPr>
      <w:r>
        <w:rPr>
          <w:rFonts w:hint="eastAsia" w:cs="宋体"/>
          <w:color w:val="auto"/>
          <w:highlight w:val="none"/>
        </w:rPr>
        <w:t>成员二名称：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4F6288AC">
      <w:pPr>
        <w:spacing w:line="394" w:lineRule="exact"/>
        <w:ind w:firstLine="1785" w:firstLineChars="850"/>
        <w:rPr>
          <w:color w:val="auto"/>
          <w:highlight w:val="none"/>
        </w:rPr>
      </w:pPr>
      <w:r>
        <w:rPr>
          <w:color w:val="auto"/>
          <w:highlight w:val="none"/>
        </w:rPr>
        <w:t>……</w:t>
      </w:r>
    </w:p>
    <w:p w14:paraId="4B9DEBDA">
      <w:pPr>
        <w:wordWrap w:val="0"/>
        <w:spacing w:line="394" w:lineRule="exact"/>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110B827">
      <w:pPr>
        <w:spacing w:line="394" w:lineRule="exact"/>
        <w:rPr>
          <w:color w:val="auto"/>
          <w:highlight w:val="none"/>
        </w:rPr>
      </w:pPr>
    </w:p>
    <w:p w14:paraId="2C0E1FA8">
      <w:pPr>
        <w:spacing w:line="394" w:lineRule="exact"/>
        <w:rPr>
          <w:color w:val="auto"/>
          <w:highlight w:val="none"/>
        </w:rPr>
      </w:pPr>
    </w:p>
    <w:p w14:paraId="7D474B16">
      <w:pPr>
        <w:spacing w:line="394" w:lineRule="exact"/>
        <w:rPr>
          <w:rFonts w:hint="eastAsia"/>
          <w:color w:val="auto"/>
          <w:highlight w:val="none"/>
        </w:rPr>
      </w:pPr>
    </w:p>
    <w:p w14:paraId="0F149219">
      <w:pPr>
        <w:spacing w:line="394" w:lineRule="exact"/>
        <w:rPr>
          <w:rFonts w:hint="eastAsia"/>
          <w:color w:val="auto"/>
          <w:highlight w:val="none"/>
        </w:rPr>
      </w:pPr>
    </w:p>
    <w:p w14:paraId="0EB46CE1">
      <w:pPr>
        <w:pStyle w:val="135"/>
        <w:jc w:val="center"/>
        <w:outlineLvl w:val="0"/>
        <w:rPr>
          <w:rFonts w:cs="宋体"/>
          <w:b/>
          <w:bCs/>
          <w:color w:val="auto"/>
          <w:sz w:val="28"/>
          <w:szCs w:val="28"/>
          <w:highlight w:val="none"/>
        </w:rPr>
      </w:pPr>
      <w:r>
        <w:rPr>
          <w:rFonts w:hint="eastAsia" w:cs="宋体"/>
          <w:b/>
          <w:bCs/>
          <w:color w:val="auto"/>
          <w:sz w:val="28"/>
          <w:szCs w:val="28"/>
          <w:highlight w:val="none"/>
          <w:lang w:val="en-US" w:eastAsia="zh-CN"/>
        </w:rPr>
        <w:t>4.</w:t>
      </w:r>
      <w:r>
        <w:rPr>
          <w:rFonts w:hint="eastAsia" w:cs="宋体"/>
          <w:b/>
          <w:bCs/>
          <w:color w:val="auto"/>
          <w:sz w:val="28"/>
          <w:szCs w:val="28"/>
          <w:highlight w:val="none"/>
        </w:rPr>
        <w:t>投标保证金</w:t>
      </w:r>
    </w:p>
    <w:p w14:paraId="33EF4AE4">
      <w:pPr>
        <w:spacing w:line="480" w:lineRule="auto"/>
        <w:ind w:firstLine="525" w:firstLineChars="250"/>
        <w:jc w:val="left"/>
        <w:rPr>
          <w:rFonts w:cs="宋体"/>
          <w:color w:val="auto"/>
          <w:sz w:val="28"/>
          <w:szCs w:val="28"/>
          <w:highlight w:val="none"/>
        </w:rPr>
      </w:pPr>
      <w:r>
        <w:rPr>
          <w:rFonts w:hint="eastAsia" w:cs="宋体"/>
          <w:color w:val="auto"/>
          <w:highlight w:val="none"/>
        </w:rPr>
        <w:t>投标保证金的</w:t>
      </w:r>
      <w:r>
        <w:rPr>
          <w:rFonts w:hint="eastAsia" w:cs="宋体"/>
          <w:color w:val="auto"/>
          <w:highlight w:val="none"/>
          <w:lang w:eastAsia="zh-CN"/>
        </w:rPr>
        <w:t>转账</w:t>
      </w:r>
      <w:r>
        <w:rPr>
          <w:rFonts w:hint="eastAsia"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cs="宋体"/>
          <w:color w:val="auto"/>
          <w:sz w:val="28"/>
          <w:szCs w:val="28"/>
          <w:highlight w:val="none"/>
        </w:rPr>
        <w:t>。</w:t>
      </w:r>
    </w:p>
    <w:p w14:paraId="33379F6C">
      <w:pPr>
        <w:spacing w:line="360" w:lineRule="auto"/>
        <w:jc w:val="left"/>
        <w:rPr>
          <w:rFonts w:hint="eastAsia" w:ascii="黑体" w:hAnsi="黑体" w:eastAsia="黑体" w:cs="黑体"/>
          <w:b/>
          <w:bCs/>
          <w:color w:val="auto"/>
          <w:sz w:val="32"/>
          <w:szCs w:val="32"/>
          <w:highlight w:val="none"/>
        </w:rPr>
      </w:pPr>
    </w:p>
    <w:p w14:paraId="317A6A5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投标保函示范文本</w:t>
      </w:r>
    </w:p>
    <w:p w14:paraId="4B8949C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5986473D">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7D336B1">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108CF966">
      <w:pPr>
        <w:spacing w:line="360" w:lineRule="auto"/>
        <w:rPr>
          <w:rFonts w:ascii="宋体" w:hAnsi="宋体"/>
          <w:color w:val="auto"/>
          <w:sz w:val="24"/>
          <w:szCs w:val="24"/>
          <w:highlight w:val="none"/>
        </w:rPr>
      </w:pPr>
      <w:bookmarkStart w:id="2272" w:name="_Hlk40303117"/>
      <w:r>
        <w:rPr>
          <w:rFonts w:hint="eastAsia" w:ascii="宋体" w:hAnsi="宋体"/>
          <w:color w:val="auto"/>
          <w:sz w:val="24"/>
          <w:szCs w:val="24"/>
          <w:highlight w:val="none"/>
        </w:rPr>
        <w:t>申请人：</w:t>
      </w:r>
    </w:p>
    <w:p w14:paraId="3FE455E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0765118">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r>
        <w:rPr>
          <w:rFonts w:ascii="宋体" w:hAnsi="宋体"/>
          <w:color w:val="auto"/>
          <w:sz w:val="24"/>
          <w:szCs w:val="24"/>
          <w:highlight w:val="none"/>
        </w:rPr>
        <w:t xml:space="preserve"> </w:t>
      </w:r>
    </w:p>
    <w:p w14:paraId="5A29883E">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65B7E7F">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bookmarkEnd w:id="2272"/>
    <w:p w14:paraId="6F8ADB6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4041177">
      <w:pPr>
        <w:spacing w:line="360" w:lineRule="auto"/>
        <w:rPr>
          <w:rFonts w:ascii="宋体" w:hAnsi="宋体"/>
          <w:color w:val="auto"/>
          <w:sz w:val="24"/>
          <w:szCs w:val="24"/>
          <w:highlight w:val="none"/>
        </w:rPr>
      </w:pPr>
    </w:p>
    <w:p w14:paraId="048F0E26">
      <w:pPr>
        <w:spacing w:line="360" w:lineRule="auto"/>
        <w:rPr>
          <w:rFonts w:ascii="宋体" w:hAnsi="宋体"/>
          <w:color w:val="auto"/>
          <w:sz w:val="24"/>
          <w:szCs w:val="24"/>
          <w:highlight w:val="none"/>
        </w:rPr>
      </w:pPr>
      <w:r>
        <w:rPr>
          <w:rFonts w:hint="eastAsia" w:ascii="宋体" w:hAnsi="宋体"/>
          <w:color w:val="auto"/>
          <w:sz w:val="24"/>
          <w:szCs w:val="24"/>
          <w:highlight w:val="none"/>
        </w:rPr>
        <w:t>致：（受益人名称）</w:t>
      </w:r>
    </w:p>
    <w:p w14:paraId="7FA41A4C">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我方（即“开立人”）已获得通知，本保函申请人（即“投标人”）已响应贵方于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（以下简称“本工程”）发出的招标文件，并已向招标人（即“受益人”）提交了投标文件（即“基础交易”）。</w:t>
      </w:r>
    </w:p>
    <w:p w14:paraId="525AD9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3AA5F2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二、我方在投标人发生以下情形时承担保证担保责任：</w:t>
      </w:r>
      <w:r>
        <w:rPr>
          <w:rFonts w:ascii="宋体" w:hAnsi="宋体"/>
          <w:color w:val="auto"/>
          <w:sz w:val="24"/>
          <w:szCs w:val="24"/>
          <w:highlight w:val="none"/>
        </w:rPr>
        <w:t xml:space="preserve"> </w:t>
      </w:r>
    </w:p>
    <w:p w14:paraId="0C03A0F7">
      <w:pPr>
        <w:pStyle w:val="151"/>
        <w:spacing w:line="360" w:lineRule="auto"/>
        <w:ind w:left="480" w:firstLine="0" w:firstLineChars="0"/>
        <w:rPr>
          <w:rFonts w:ascii="宋体" w:hAnsi="宋体"/>
          <w:color w:val="auto"/>
          <w:sz w:val="24"/>
          <w:szCs w:val="24"/>
          <w:highlight w:val="none"/>
        </w:rPr>
      </w:pPr>
      <w:r>
        <w:rPr>
          <w:rFonts w:hint="eastAsia" w:ascii="宋体" w:hAnsi="宋体"/>
          <w:color w:val="auto"/>
          <w:sz w:val="24"/>
          <w:szCs w:val="24"/>
          <w:highlight w:val="none"/>
        </w:rPr>
        <w:t>（1）投标</w:t>
      </w:r>
      <w:r>
        <w:rPr>
          <w:rFonts w:ascii="宋体" w:hAnsi="宋体"/>
          <w:color w:val="auto"/>
          <w:sz w:val="24"/>
          <w:szCs w:val="24"/>
          <w:highlight w:val="none"/>
        </w:rPr>
        <w:t xml:space="preserve">人在开标后和投标有效期满之前撤销投标的； </w:t>
      </w:r>
    </w:p>
    <w:p w14:paraId="5759E1F4">
      <w:pPr>
        <w:pStyle w:val="151"/>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投标人在收到中标通知后，</w:t>
      </w:r>
      <w:r>
        <w:rPr>
          <w:rFonts w:hint="eastAsia" w:ascii="宋体" w:hAnsi="宋体"/>
          <w:color w:val="auto"/>
          <w:sz w:val="24"/>
          <w:szCs w:val="24"/>
          <w:highlight w:val="none"/>
        </w:rPr>
        <w:t>不能或拒绝</w:t>
      </w:r>
      <w:r>
        <w:rPr>
          <w:rFonts w:ascii="宋体" w:hAnsi="宋体"/>
          <w:color w:val="auto"/>
          <w:sz w:val="24"/>
          <w:szCs w:val="24"/>
          <w:highlight w:val="none"/>
        </w:rPr>
        <w:t xml:space="preserve">在中标通知书规定的时间内与贵方签订合同； </w:t>
      </w:r>
    </w:p>
    <w:p w14:paraId="00606A0E">
      <w:pPr>
        <w:pStyle w:val="151"/>
        <w:spacing w:line="360" w:lineRule="auto"/>
        <w:ind w:firstLine="480" w:firstLineChars="0"/>
        <w:rPr>
          <w:rFonts w:hint="eastAsia" w:ascii="宋体" w:hAnsi="宋体"/>
          <w:color w:val="auto"/>
          <w:sz w:val="24"/>
          <w:szCs w:val="24"/>
          <w:highlight w:val="none"/>
        </w:rPr>
      </w:pPr>
      <w:r>
        <w:rPr>
          <w:rFonts w:hint="eastAsia" w:ascii="宋体" w:hAnsi="宋体"/>
          <w:color w:val="auto"/>
          <w:sz w:val="24"/>
          <w:szCs w:val="24"/>
          <w:highlight w:val="none"/>
        </w:rPr>
        <w:t>（3）投标人在与贵方签订合同后，未在规定的时间内提交符合招标文件要求的履约担保；</w:t>
      </w:r>
    </w:p>
    <w:p w14:paraId="5B13E8F8">
      <w:pPr>
        <w:pStyle w:val="151"/>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（4）投标人违反</w:t>
      </w:r>
      <w:r>
        <w:rPr>
          <w:rFonts w:ascii="宋体" w:hAnsi="宋体"/>
          <w:color w:val="auto"/>
          <w:sz w:val="24"/>
          <w:szCs w:val="24"/>
          <w:highlight w:val="none"/>
        </w:rPr>
        <w:t>招标文件规定</w:t>
      </w:r>
      <w:r>
        <w:rPr>
          <w:rFonts w:hint="eastAsia" w:ascii="宋体" w:hAnsi="宋体"/>
          <w:color w:val="auto"/>
          <w:sz w:val="24"/>
          <w:szCs w:val="24"/>
          <w:highlight w:val="none"/>
        </w:rPr>
        <w:t>的其他</w:t>
      </w:r>
      <w:r>
        <w:rPr>
          <w:rFonts w:ascii="宋体" w:hAnsi="宋体"/>
          <w:color w:val="auto"/>
          <w:sz w:val="24"/>
          <w:szCs w:val="24"/>
          <w:highlight w:val="none"/>
        </w:rPr>
        <w:t>情形。</w:t>
      </w:r>
    </w:p>
    <w:p w14:paraId="6DA1833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三、本保函为</w:t>
      </w:r>
      <w:r>
        <w:rPr>
          <w:rFonts w:ascii="宋体" w:hAnsi="宋体"/>
          <w:color w:val="auto"/>
          <w:sz w:val="24"/>
          <w:szCs w:val="24"/>
          <w:highlight w:val="none"/>
        </w:rPr>
        <w:t>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w:t>
      </w:r>
      <w:r>
        <w:rPr>
          <w:rFonts w:ascii="宋体" w:hAnsi="宋体"/>
          <w:color w:val="auto"/>
          <w:sz w:val="24"/>
          <w:szCs w:val="24"/>
          <w:highlight w:val="none"/>
        </w:rPr>
        <w:t>。</w:t>
      </w:r>
      <w:r>
        <w:rPr>
          <w:rFonts w:hint="eastAsia" w:ascii="宋体" w:hAnsi="宋体"/>
          <w:color w:val="auto"/>
          <w:sz w:val="24"/>
          <w:szCs w:val="24"/>
          <w:highlight w:val="none"/>
        </w:rPr>
        <w:t>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投标有效期届满之日后的</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w:t>
      </w:r>
      <w:r>
        <w:rPr>
          <w:rFonts w:hint="eastAsia" w:ascii="宋体" w:hAnsi="宋体"/>
          <w:color w:val="auto"/>
          <w:sz w:val="24"/>
          <w:szCs w:val="24"/>
          <w:highlight w:val="none"/>
        </w:rPr>
        <w:t>投标有效期延长的，本保函有效期相应顺延</w:t>
      </w:r>
      <w:bookmarkStart w:id="2273" w:name="_Hlk58489417"/>
      <w:r>
        <w:rPr>
          <w:rFonts w:hint="eastAsia" w:ascii="宋体" w:hAnsi="宋体"/>
          <w:color w:val="auto"/>
          <w:sz w:val="24"/>
          <w:szCs w:val="24"/>
          <w:highlight w:val="none"/>
        </w:rPr>
        <w:t>，最迟不超过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bookmarkEnd w:id="2273"/>
      <w:r>
        <w:rPr>
          <w:rFonts w:hint="eastAsia" w:ascii="宋体" w:hAnsi="宋体"/>
          <w:color w:val="auto"/>
          <w:sz w:val="24"/>
          <w:szCs w:val="24"/>
          <w:highlight w:val="none"/>
        </w:rPr>
        <w:t>。</w:t>
      </w:r>
    </w:p>
    <w:p w14:paraId="598FE2AC">
      <w:pPr>
        <w:spacing w:line="360" w:lineRule="auto"/>
        <w:ind w:firstLine="480"/>
        <w:rPr>
          <w:rFonts w:ascii="宋体" w:hAnsi="宋体"/>
          <w:color w:val="auto"/>
          <w:sz w:val="24"/>
          <w:szCs w:val="24"/>
          <w:highlight w:val="none"/>
        </w:rPr>
      </w:pPr>
      <w:bookmarkStart w:id="2274" w:name="_Hlk40302764"/>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0C45F68B">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38060FDD">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1962AD4C">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w:t>
      </w:r>
      <w:bookmarkStart w:id="2275" w:name="_Hlk40354215"/>
      <w:r>
        <w:rPr>
          <w:rFonts w:hint="eastAsia" w:ascii="宋体" w:hAnsi="宋体"/>
          <w:color w:val="auto"/>
          <w:sz w:val="24"/>
          <w:szCs w:val="24"/>
          <w:highlight w:val="none"/>
        </w:rPr>
        <w:t>载明申请人违反招投标文件规定的义务内容和具体条款；</w:t>
      </w:r>
      <w:bookmarkEnd w:id="2275"/>
    </w:p>
    <w:p w14:paraId="297A163A">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（4）</w:t>
      </w:r>
      <w:bookmarkStart w:id="2276" w:name="_Hlk40354839"/>
      <w:r>
        <w:rPr>
          <w:rFonts w:hint="eastAsia" w:ascii="宋体" w:hAnsi="宋体"/>
          <w:color w:val="auto"/>
          <w:sz w:val="24"/>
          <w:szCs w:val="24"/>
          <w:highlight w:val="none"/>
        </w:rPr>
        <w:t>声明不存在招标文件规定或我国法律规定免除申请人或我方支付责任的情形；</w:t>
      </w:r>
      <w:bookmarkEnd w:id="2276"/>
    </w:p>
    <w:p w14:paraId="490024E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（5）书面付款通知应在本保函有效期内到达的地址是：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bookmarkEnd w:id="2274"/>
    <w:p w14:paraId="7C9D452A">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bookmarkStart w:id="2277" w:name="_Hlk40303486"/>
      <w:r>
        <w:rPr>
          <w:rFonts w:hint="eastAsia" w:ascii="宋体" w:hAnsi="宋体"/>
          <w:color w:val="auto"/>
          <w:sz w:val="24"/>
          <w:szCs w:val="24"/>
          <w:highlight w:val="none"/>
        </w:rPr>
        <w:t>受益人发出的书面付款通知应由其为鉴明受益人法定代表人（负责人）或授权代理人签字并加盖公章。</w:t>
      </w:r>
      <w:bookmarkEnd w:id="2277"/>
    </w:p>
    <w:p w14:paraId="31B3B0D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w:t>
      </w:r>
      <w:r>
        <w:rPr>
          <w:rFonts w:hint="eastAsia" w:ascii="宋体" w:hAnsi="宋体"/>
          <w:color w:val="auto"/>
          <w:sz w:val="24"/>
          <w:szCs w:val="24"/>
          <w:highlight w:val="none"/>
        </w:rPr>
        <w:t>贵方</w:t>
      </w:r>
      <w:r>
        <w:rPr>
          <w:rFonts w:ascii="宋体" w:hAnsi="宋体"/>
          <w:color w:val="auto"/>
          <w:sz w:val="24"/>
          <w:szCs w:val="24"/>
          <w:highlight w:val="none"/>
        </w:rPr>
        <w:t>未经我方书面同意转让本保函或其项下任何权利，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9A01A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 xml:space="preserve">本保函项下的基础交易不成立、不生效、无效、被撤销、被解除，不影响本保函的独立有效。 </w:t>
      </w:r>
    </w:p>
    <w:p w14:paraId="4E29B5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七、受益人</w:t>
      </w:r>
      <w:r>
        <w:rPr>
          <w:rFonts w:ascii="宋体" w:hAnsi="宋体"/>
          <w:color w:val="auto"/>
          <w:sz w:val="24"/>
          <w:szCs w:val="24"/>
          <w:highlight w:val="none"/>
        </w:rPr>
        <w:t>应在本保函到期后的</w:t>
      </w:r>
      <w:r>
        <w:rPr>
          <w:rFonts w:hint="eastAsia" w:ascii="宋体" w:hAnsi="宋体"/>
          <w:color w:val="auto"/>
          <w:sz w:val="24"/>
          <w:szCs w:val="24"/>
          <w:highlight w:val="none"/>
        </w:rPr>
        <w:t>七</w:t>
      </w:r>
      <w:r>
        <w:rPr>
          <w:rFonts w:ascii="宋体" w:hAnsi="宋体"/>
          <w:color w:val="auto"/>
          <w:sz w:val="24"/>
          <w:szCs w:val="24"/>
          <w:highlight w:val="none"/>
        </w:rPr>
        <w:t>日内将本保函正本退回我方</w:t>
      </w:r>
      <w:r>
        <w:rPr>
          <w:rFonts w:hint="eastAsia" w:ascii="宋体" w:hAnsi="宋体"/>
          <w:color w:val="auto"/>
          <w:sz w:val="24"/>
          <w:szCs w:val="24"/>
          <w:highlight w:val="none"/>
        </w:rPr>
        <w:t>注销</w:t>
      </w:r>
      <w:r>
        <w:rPr>
          <w:rFonts w:ascii="宋体" w:hAnsi="宋体"/>
          <w:color w:val="auto"/>
          <w:sz w:val="24"/>
          <w:szCs w:val="24"/>
          <w:highlight w:val="none"/>
        </w:rPr>
        <w:t>，但是不论</w:t>
      </w:r>
      <w:r>
        <w:rPr>
          <w:rFonts w:hint="eastAsia" w:ascii="宋体" w:hAnsi="宋体"/>
          <w:color w:val="auto"/>
          <w:sz w:val="24"/>
          <w:szCs w:val="24"/>
          <w:highlight w:val="none"/>
        </w:rPr>
        <w:t>受益人</w:t>
      </w:r>
      <w:r>
        <w:rPr>
          <w:rFonts w:ascii="宋体" w:hAnsi="宋体"/>
          <w:color w:val="auto"/>
          <w:sz w:val="24"/>
          <w:szCs w:val="24"/>
          <w:highlight w:val="none"/>
        </w:rPr>
        <w:t>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320B3781">
      <w:pPr>
        <w:spacing w:line="360" w:lineRule="auto"/>
        <w:ind w:firstLine="480" w:firstLineChars="200"/>
        <w:rPr>
          <w:rFonts w:ascii="宋体" w:hAnsi="宋体"/>
          <w:color w:val="auto"/>
          <w:sz w:val="24"/>
          <w:szCs w:val="24"/>
          <w:highlight w:val="none"/>
        </w:rPr>
      </w:pPr>
      <w:bookmarkStart w:id="2278" w:name="_Hlk40303383"/>
      <w:bookmarkStart w:id="2279" w:name="_Hlk40354981"/>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bookmarkEnd w:id="2278"/>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bookmarkEnd w:id="2279"/>
    <w:p w14:paraId="58A8399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36124A3">
      <w:pPr>
        <w:spacing w:line="360" w:lineRule="auto"/>
        <w:ind w:firstLine="480" w:firstLineChars="200"/>
        <w:rPr>
          <w:rFonts w:ascii="宋体" w:hAnsi="宋体"/>
          <w:color w:val="auto"/>
          <w:sz w:val="24"/>
          <w:szCs w:val="24"/>
          <w:highlight w:val="none"/>
        </w:rPr>
      </w:pPr>
    </w:p>
    <w:p w14:paraId="3915A2B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1C5C6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 ：</w:t>
      </w:r>
      <w:r>
        <w:rPr>
          <w:rFonts w:ascii="宋体" w:hAnsi="宋体"/>
          <w:color w:val="auto"/>
          <w:sz w:val="24"/>
          <w:szCs w:val="24"/>
          <w:highlight w:val="none"/>
        </w:rPr>
        <w:t xml:space="preserve">               （签字） </w:t>
      </w:r>
    </w:p>
    <w:p w14:paraId="7AE2AFA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7DDB6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109F474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1802C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FC5B9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r>
        <w:rPr>
          <w:rFonts w:hint="eastAsia" w:ascii="宋体" w:hAnsi="宋体"/>
          <w:color w:val="auto"/>
          <w:sz w:val="24"/>
          <w:szCs w:val="24"/>
          <w:highlight w:val="none"/>
        </w:rPr>
        <w:t>日</w:t>
      </w:r>
    </w:p>
    <w:p w14:paraId="0472D08C">
      <w:pPr>
        <w:spacing w:line="360" w:lineRule="auto"/>
        <w:ind w:firstLine="480" w:firstLineChars="200"/>
        <w:rPr>
          <w:rFonts w:ascii="宋体" w:hAnsi="宋体"/>
          <w:color w:val="auto"/>
          <w:sz w:val="24"/>
          <w:szCs w:val="24"/>
          <w:highlight w:val="none"/>
        </w:rPr>
      </w:pPr>
    </w:p>
    <w:p w14:paraId="629814A4">
      <w:pPr>
        <w:spacing w:line="360" w:lineRule="auto"/>
        <w:ind w:firstLine="420" w:firstLineChars="200"/>
        <w:rPr>
          <w:rFonts w:hint="eastAsia"/>
          <w:color w:val="auto"/>
          <w:highlight w:val="none"/>
        </w:rPr>
      </w:pPr>
    </w:p>
    <w:p w14:paraId="02665ED9">
      <w:pPr>
        <w:spacing w:line="360" w:lineRule="auto"/>
        <w:rPr>
          <w:color w:val="auto"/>
          <w:sz w:val="24"/>
          <w:szCs w:val="24"/>
          <w:highlight w:val="none"/>
        </w:rPr>
      </w:pPr>
    </w:p>
    <w:p w14:paraId="0F42C08D">
      <w:pPr>
        <w:spacing w:line="360" w:lineRule="auto"/>
        <w:rPr>
          <w:color w:val="auto"/>
          <w:sz w:val="24"/>
          <w:szCs w:val="24"/>
          <w:highlight w:val="none"/>
        </w:rPr>
        <w:sectPr>
          <w:pgSz w:w="11907" w:h="16840"/>
          <w:pgMar w:top="1440" w:right="1440" w:bottom="1440" w:left="1797" w:header="851" w:footer="851" w:gutter="0"/>
          <w:cols w:space="720" w:num="1"/>
          <w:docGrid w:linePitch="312" w:charSpace="0"/>
        </w:sectPr>
      </w:pPr>
    </w:p>
    <w:p w14:paraId="0B4AB270">
      <w:pPr>
        <w:pStyle w:val="135"/>
        <w:jc w:val="center"/>
        <w:outlineLvl w:val="0"/>
        <w:rPr>
          <w:rFonts w:cs="宋体"/>
          <w:b/>
          <w:bCs/>
          <w:strike/>
          <w:color w:val="auto"/>
          <w:sz w:val="28"/>
          <w:szCs w:val="28"/>
          <w:highlight w:val="none"/>
        </w:rPr>
      </w:pPr>
      <w:r>
        <w:rPr>
          <w:rFonts w:hint="eastAsia" w:cs="宋体"/>
          <w:b/>
          <w:bCs/>
          <w:color w:val="auto"/>
          <w:sz w:val="28"/>
          <w:szCs w:val="28"/>
          <w:highlight w:val="none"/>
          <w:lang w:val="en-US" w:eastAsia="zh-CN"/>
        </w:rPr>
        <w:t>5.</w:t>
      </w:r>
      <w:r>
        <w:rPr>
          <w:rFonts w:hint="eastAsia" w:cs="宋体"/>
          <w:b/>
          <w:bCs/>
          <w:strike w:val="0"/>
          <w:color w:val="auto"/>
          <w:sz w:val="28"/>
          <w:szCs w:val="28"/>
          <w:highlight w:val="none"/>
        </w:rPr>
        <w:t>建设工程项目管理承诺书</w:t>
      </w:r>
    </w:p>
    <w:p w14:paraId="268DBEB9">
      <w:pPr>
        <w:spacing w:line="480" w:lineRule="auto"/>
        <w:jc w:val="left"/>
        <w:rPr>
          <w:color w:val="auto"/>
          <w:highlight w:val="none"/>
        </w:rPr>
      </w:pPr>
    </w:p>
    <w:p w14:paraId="116070A2">
      <w:pPr>
        <w:spacing w:line="480" w:lineRule="auto"/>
        <w:jc w:val="left"/>
        <w:rPr>
          <w:color w:val="auto"/>
          <w:highlight w:val="none"/>
        </w:rPr>
      </w:pPr>
      <w:r>
        <w:rPr>
          <w:rFonts w:hint="eastAsia" w:cs="宋体"/>
          <w:color w:val="auto"/>
          <w:highlight w:val="none"/>
        </w:rPr>
        <w:t>致</w:t>
      </w:r>
      <w:r>
        <w:rPr>
          <w:color w:val="auto"/>
          <w:highlight w:val="none"/>
          <w:u w:val="single"/>
        </w:rPr>
        <w:t xml:space="preserve">                        </w:t>
      </w:r>
      <w:r>
        <w:rPr>
          <w:rFonts w:hint="eastAsia" w:cs="宋体"/>
          <w:color w:val="auto"/>
          <w:highlight w:val="none"/>
        </w:rPr>
        <w:t>（招标人名称）：</w:t>
      </w:r>
    </w:p>
    <w:p w14:paraId="30602E0E">
      <w:pPr>
        <w:spacing w:line="520" w:lineRule="exact"/>
        <w:ind w:left="-10" w:firstLine="455" w:firstLineChars="217"/>
        <w:jc w:val="left"/>
        <w:rPr>
          <w:color w:val="auto"/>
          <w:highlight w:val="none"/>
        </w:rPr>
      </w:pPr>
      <w:r>
        <w:rPr>
          <w:rFonts w:hint="eastAsia" w:cs="宋体"/>
          <w:color w:val="auto"/>
          <w:highlight w:val="none"/>
        </w:rPr>
        <w:t>作为参与</w:t>
      </w:r>
      <w:r>
        <w:rPr>
          <w:color w:val="auto"/>
          <w:highlight w:val="none"/>
          <w:u w:val="single"/>
        </w:rPr>
        <w:t xml:space="preserve">                  </w:t>
      </w:r>
      <w:r>
        <w:rPr>
          <w:rFonts w:hint="eastAsia" w:cs="宋体"/>
          <w:color w:val="auto"/>
          <w:highlight w:val="none"/>
        </w:rPr>
        <w:t>（工程名称）项目的投标方，根据国家、自治区相关文件规定，我方在此向招标人承诺：</w:t>
      </w:r>
    </w:p>
    <w:p w14:paraId="26A63FC1">
      <w:pPr>
        <w:spacing w:line="520" w:lineRule="exact"/>
        <w:ind w:left="-10" w:firstLine="455" w:firstLineChars="217"/>
        <w:jc w:val="left"/>
        <w:rPr>
          <w:color w:val="auto"/>
          <w:highlight w:val="none"/>
        </w:rPr>
      </w:pPr>
      <w:r>
        <w:rPr>
          <w:rFonts w:hint="eastAsia"/>
          <w:color w:val="auto"/>
          <w:highlight w:val="none"/>
          <w:lang w:eastAsia="zh-CN"/>
        </w:rPr>
        <w:t>1.</w:t>
      </w:r>
      <w:r>
        <w:rPr>
          <w:color w:val="auto"/>
          <w:highlight w:val="none"/>
        </w:rPr>
        <w:t>一旦中标，我方保证按照政府相关部门的规定，</w:t>
      </w:r>
      <w:r>
        <w:rPr>
          <w:rFonts w:hint="eastAsia" w:ascii="宋体" w:hAnsi="宋体"/>
          <w:color w:val="auto"/>
          <w:highlight w:val="none"/>
        </w:rPr>
        <w:t>在中标后7个工作日内，按照《保障农民工工资支付条例》规定及广西壮族自治区有关规定开设农民工工资专用账户，并按</w:t>
      </w:r>
      <w:r>
        <w:rPr>
          <w:rFonts w:hint="eastAsia" w:ascii="宋体" w:hAnsi="宋体"/>
          <w:color w:val="auto"/>
          <w:highlight w:val="none"/>
          <w:u w:val="single"/>
          <w:lang w:eastAsia="zh-CN"/>
        </w:rPr>
        <w:t>要求</w:t>
      </w:r>
      <w:r>
        <w:rPr>
          <w:rFonts w:hint="eastAsia" w:ascii="宋体" w:hAnsi="宋体"/>
          <w:color w:val="auto"/>
          <w:highlight w:val="none"/>
        </w:rPr>
        <w:t>比例将农民工工资保证金存入</w:t>
      </w:r>
      <w:r>
        <w:rPr>
          <w:rFonts w:hint="eastAsia" w:ascii="宋体" w:hAnsi="宋体"/>
          <w:color w:val="auto"/>
          <w:highlight w:val="none"/>
          <w:lang w:eastAsia="zh-CN"/>
        </w:rPr>
        <w:t>账</w:t>
      </w:r>
      <w:r>
        <w:rPr>
          <w:rFonts w:hint="eastAsia" w:ascii="宋体" w:hAnsi="宋体"/>
          <w:color w:val="auto"/>
          <w:highlight w:val="none"/>
        </w:rPr>
        <w:t>户</w:t>
      </w:r>
      <w:r>
        <w:rPr>
          <w:rFonts w:hint="eastAsia"/>
          <w:color w:val="auto"/>
          <w:highlight w:val="none"/>
        </w:rPr>
        <w:t>，专项用于支付本工程提供劳动的农民工被拖欠的工资。</w:t>
      </w:r>
      <w:r>
        <w:rPr>
          <w:color w:val="auto"/>
          <w:highlight w:val="none"/>
        </w:rPr>
        <w:t>按照与农民工依法约定的工资支付周期和具体支付日期支付工资</w:t>
      </w:r>
      <w:r>
        <w:rPr>
          <w:rFonts w:hint="eastAsia"/>
          <w:color w:val="auto"/>
          <w:highlight w:val="none"/>
        </w:rPr>
        <w:t>，保证</w:t>
      </w:r>
      <w:r>
        <w:rPr>
          <w:color w:val="auto"/>
          <w:highlight w:val="none"/>
        </w:rPr>
        <w:t>每月至少向农民工足额支付一次工资。</w:t>
      </w:r>
    </w:p>
    <w:p w14:paraId="51A41898">
      <w:pPr>
        <w:spacing w:line="520" w:lineRule="exact"/>
        <w:ind w:left="-10" w:firstLine="455" w:firstLineChars="217"/>
        <w:jc w:val="left"/>
        <w:rPr>
          <w:color w:val="auto"/>
          <w:highlight w:val="none"/>
        </w:rPr>
      </w:pPr>
      <w:r>
        <w:rPr>
          <w:rFonts w:hint="eastAsia"/>
          <w:color w:val="auto"/>
          <w:highlight w:val="none"/>
          <w:lang w:eastAsia="zh-CN"/>
        </w:rPr>
        <w:t>2.</w:t>
      </w:r>
      <w:r>
        <w:rPr>
          <w:color w:val="auto"/>
          <w:highlight w:val="none"/>
        </w:rPr>
        <w:t>一旦中标，我方保证在施工过程中，严格执行《广西壮族自治区建筑工程安全文明施工费使用管理细则》（桂建质〔20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号）的有关规定，确保建设工程各项安全防护、文明施工措施落实到位。如我方在该项目的承包中出现未按桂建质〔20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号文附件一规定执行的情形，我方愿意按照相关规定接受建设单位及有关主管部门的处罚。</w:t>
      </w:r>
    </w:p>
    <w:p w14:paraId="64468E30">
      <w:pPr>
        <w:spacing w:line="520" w:lineRule="exact"/>
        <w:ind w:left="-2" w:leftChars="-1" w:firstLine="449" w:firstLineChars="214"/>
        <w:jc w:val="left"/>
        <w:rPr>
          <w:color w:val="auto"/>
          <w:highlight w:val="none"/>
        </w:rPr>
      </w:pPr>
      <w:r>
        <w:rPr>
          <w:rFonts w:hint="eastAsia"/>
          <w:color w:val="auto"/>
          <w:highlight w:val="none"/>
          <w:lang w:eastAsia="zh-CN"/>
        </w:rPr>
        <w:t>3.</w:t>
      </w:r>
      <w:r>
        <w:rPr>
          <w:color w:val="auto"/>
          <w:highlight w:val="none"/>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4B748F31">
      <w:pPr>
        <w:spacing w:line="520" w:lineRule="exact"/>
        <w:ind w:left="-10" w:firstLine="455" w:firstLineChars="217"/>
        <w:jc w:val="left"/>
        <w:rPr>
          <w:color w:val="auto"/>
          <w:highlight w:val="none"/>
        </w:rPr>
      </w:pPr>
      <w:r>
        <w:rPr>
          <w:rFonts w:hint="eastAsia"/>
          <w:color w:val="auto"/>
          <w:highlight w:val="none"/>
          <w:lang w:eastAsia="zh-CN"/>
        </w:rPr>
        <w:t>4.</w:t>
      </w:r>
      <w:r>
        <w:rPr>
          <w:rFonts w:hint="eastAsia"/>
          <w:color w:val="auto"/>
          <w:highlight w:val="none"/>
        </w:rPr>
        <w:t>一旦中标，我方保证在施工过程中，严格执行《关于禁止使用不符合规范要求的竹脚手架的通知》（</w:t>
      </w:r>
      <w:r>
        <w:rPr>
          <w:color w:val="auto"/>
          <w:highlight w:val="none"/>
        </w:rPr>
        <w:t>桂建</w:t>
      </w:r>
      <w:r>
        <w:rPr>
          <w:rFonts w:hint="eastAsia"/>
          <w:color w:val="auto"/>
          <w:highlight w:val="none"/>
        </w:rPr>
        <w:t>管字</w:t>
      </w:r>
      <w:r>
        <w:rPr>
          <w:color w:val="auto"/>
          <w:highlight w:val="none"/>
        </w:rPr>
        <w:t>〔200</w:t>
      </w:r>
      <w:r>
        <w:rPr>
          <w:rFonts w:hint="eastAsia"/>
          <w:color w:val="auto"/>
          <w:highlight w:val="none"/>
        </w:rPr>
        <w:t>3</w:t>
      </w:r>
      <w:r>
        <w:rPr>
          <w:color w:val="auto"/>
          <w:highlight w:val="none"/>
        </w:rPr>
        <w:t>〕</w:t>
      </w:r>
      <w:r>
        <w:rPr>
          <w:rFonts w:hint="eastAsia"/>
          <w:color w:val="auto"/>
          <w:highlight w:val="none"/>
        </w:rPr>
        <w:t>40</w:t>
      </w:r>
      <w:r>
        <w:rPr>
          <w:color w:val="auto"/>
          <w:highlight w:val="none"/>
        </w:rPr>
        <w:t>号</w:t>
      </w:r>
      <w:r>
        <w:rPr>
          <w:rFonts w:hint="eastAsia"/>
          <w:color w:val="auto"/>
          <w:highlight w:val="none"/>
        </w:rPr>
        <w:t>）的有关规定，不使用竹脚手架。如我方在该</w:t>
      </w:r>
      <w:r>
        <w:rPr>
          <w:color w:val="auto"/>
          <w:highlight w:val="none"/>
        </w:rPr>
        <w:t>项目的承包中出现未按规定执行的情形，我方愿意按照相关规定接受建设单位及有关主管部门的处罚。</w:t>
      </w:r>
    </w:p>
    <w:p w14:paraId="0D538640">
      <w:pPr>
        <w:spacing w:line="520" w:lineRule="exact"/>
        <w:ind w:left="-10" w:firstLine="455" w:firstLineChars="217"/>
        <w:jc w:val="left"/>
        <w:rPr>
          <w:rFonts w:hint="eastAsia"/>
          <w:color w:val="auto"/>
          <w:highlight w:val="none"/>
        </w:rPr>
      </w:pPr>
      <w:r>
        <w:rPr>
          <w:rFonts w:hint="eastAsia"/>
          <w:color w:val="auto"/>
          <w:highlight w:val="none"/>
          <w:lang w:eastAsia="zh-CN"/>
        </w:rPr>
        <w:t>5.</w:t>
      </w:r>
      <w:r>
        <w:rPr>
          <w:rFonts w:hint="eastAsia"/>
          <w:color w:val="auto"/>
          <w:highlight w:val="none"/>
        </w:rPr>
        <w:t>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48AE9C89">
      <w:pPr>
        <w:spacing w:line="520" w:lineRule="exact"/>
        <w:jc w:val="left"/>
        <w:rPr>
          <w:color w:val="auto"/>
          <w:highlight w:val="none"/>
        </w:rPr>
      </w:pPr>
    </w:p>
    <w:p w14:paraId="35FA78AB">
      <w:pPr>
        <w:spacing w:line="360" w:lineRule="auto"/>
        <w:ind w:firstLine="4410" w:firstLineChars="2100"/>
        <w:jc w:val="left"/>
        <w:rPr>
          <w:rFonts w:cs="宋体"/>
          <w:color w:val="auto"/>
          <w:highlight w:val="none"/>
          <w:u w:val="single"/>
        </w:rPr>
      </w:pPr>
      <w:r>
        <w:rPr>
          <w:rFonts w:hint="eastAsia" w:cs="宋体"/>
          <w:color w:val="auto"/>
          <w:highlight w:val="none"/>
        </w:rPr>
        <w:t>投标人：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p>
    <w:p w14:paraId="69AB2188">
      <w:pPr>
        <w:spacing w:line="360" w:lineRule="auto"/>
        <w:ind w:firstLine="4410" w:firstLineChars="2100"/>
        <w:jc w:val="left"/>
        <w:rPr>
          <w:rFonts w:hint="eastAsia"/>
          <w:color w:val="auto"/>
          <w:highlight w:val="none"/>
          <w:u w:val="single"/>
        </w:rPr>
      </w:pPr>
    </w:p>
    <w:p w14:paraId="64E23EF3">
      <w:pPr>
        <w:spacing w:line="360" w:lineRule="auto"/>
        <w:ind w:firstLine="4515" w:firstLineChars="2150"/>
        <w:jc w:val="center"/>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rPr>
        <w:br w:type="page"/>
      </w:r>
      <w:r>
        <w:rPr>
          <w:rFonts w:hint="eastAsia" w:cs="宋体"/>
          <w:b/>
          <w:bCs/>
          <w:color w:val="auto"/>
          <w:sz w:val="28"/>
          <w:szCs w:val="28"/>
          <w:highlight w:val="none"/>
        </w:rPr>
        <w:t>广西壮族自治区建筑工程安全文明施工措施项目清单内容</w:t>
      </w:r>
    </w:p>
    <w:p w14:paraId="422AD9F6">
      <w:pPr>
        <w:spacing w:line="360" w:lineRule="auto"/>
        <w:ind w:firstLine="600" w:firstLineChars="250"/>
        <w:jc w:val="center"/>
        <w:rPr>
          <w:color w:val="auto"/>
          <w:sz w:val="24"/>
          <w:szCs w:val="24"/>
          <w:highlight w:val="none"/>
        </w:rPr>
      </w:pPr>
      <w:r>
        <w:rPr>
          <w:rFonts w:hint="eastAsia" w:cs="宋体"/>
          <w:color w:val="auto"/>
          <w:sz w:val="24"/>
          <w:szCs w:val="24"/>
          <w:highlight w:val="none"/>
        </w:rPr>
        <w:t>（桂建质〔</w:t>
      </w:r>
      <w:r>
        <w:rPr>
          <w:color w:val="auto"/>
          <w:sz w:val="24"/>
          <w:szCs w:val="24"/>
          <w:highlight w:val="none"/>
        </w:rPr>
        <w:t>2015</w:t>
      </w:r>
      <w:r>
        <w:rPr>
          <w:rFonts w:hint="eastAsia" w:cs="宋体"/>
          <w:color w:val="auto"/>
          <w:sz w:val="24"/>
          <w:szCs w:val="24"/>
          <w:highlight w:val="none"/>
        </w:rPr>
        <w:t>〕</w:t>
      </w:r>
      <w:r>
        <w:rPr>
          <w:color w:val="auto"/>
          <w:sz w:val="24"/>
          <w:szCs w:val="24"/>
          <w:highlight w:val="none"/>
        </w:rPr>
        <w:t>16</w:t>
      </w:r>
      <w:r>
        <w:rPr>
          <w:rFonts w:hint="eastAsia" w:cs="宋体"/>
          <w:color w:val="auto"/>
          <w:sz w:val="24"/>
          <w:szCs w:val="24"/>
          <w:highlight w:val="none"/>
        </w:rPr>
        <w:t>号文附件一）</w:t>
      </w:r>
    </w:p>
    <w:p w14:paraId="0589C168">
      <w:pPr>
        <w:pStyle w:val="138"/>
        <w:spacing w:line="240" w:lineRule="atLeast"/>
        <w:jc w:val="center"/>
        <w:rPr>
          <w:rFonts w:ascii="宋体"/>
          <w:b/>
          <w:bCs/>
          <w:color w:val="auto"/>
          <w:sz w:val="24"/>
          <w:szCs w:val="24"/>
          <w:highlight w:val="none"/>
        </w:rPr>
      </w:pPr>
      <w:r>
        <w:rPr>
          <w:rFonts w:hint="eastAsia" w:ascii="宋体" w:hAnsi="宋体" w:cs="宋体"/>
          <w:b/>
          <w:bCs/>
          <w:color w:val="auto"/>
          <w:sz w:val="24"/>
          <w:szCs w:val="24"/>
          <w:highlight w:val="none"/>
        </w:rPr>
        <w:t>广西壮族自治区</w:t>
      </w:r>
    </w:p>
    <w:p w14:paraId="74B65A70">
      <w:pPr>
        <w:pStyle w:val="138"/>
        <w:spacing w:line="240" w:lineRule="atLeast"/>
        <w:ind w:firstLine="546"/>
        <w:jc w:val="center"/>
        <w:rPr>
          <w:b/>
          <w:bCs/>
          <w:color w:val="auto"/>
          <w:w w:val="90"/>
          <w:sz w:val="24"/>
          <w:szCs w:val="24"/>
          <w:highlight w:val="none"/>
        </w:rPr>
      </w:pPr>
      <w:r>
        <w:rPr>
          <w:rFonts w:hint="eastAsia" w:cs="宋体"/>
          <w:b/>
          <w:bCs/>
          <w:color w:val="auto"/>
          <w:w w:val="90"/>
          <w:sz w:val="24"/>
          <w:szCs w:val="24"/>
          <w:highlight w:val="none"/>
        </w:rPr>
        <w:t>建设工程安全文明施工措施项目清单内容</w:t>
      </w:r>
    </w:p>
    <w:p w14:paraId="75E4C9D2">
      <w:pPr>
        <w:pStyle w:val="138"/>
        <w:spacing w:line="240" w:lineRule="atLeast"/>
        <w:ind w:firstLine="546"/>
        <w:jc w:val="center"/>
        <w:rPr>
          <w:b/>
          <w:bCs/>
          <w:color w:val="auto"/>
          <w:w w:val="90"/>
          <w:sz w:val="24"/>
          <w:szCs w:val="24"/>
          <w:highlight w:val="none"/>
        </w:rPr>
      </w:pPr>
    </w:p>
    <w:tbl>
      <w:tblPr>
        <w:tblStyle w:val="4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229D3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070423D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tcBorders>
              <w:top w:val="single" w:color="auto" w:sz="12" w:space="0"/>
            </w:tcBorders>
            <w:noWrap w:val="0"/>
            <w:vAlign w:val="center"/>
          </w:tcPr>
          <w:p w14:paraId="118234F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tcBorders>
              <w:top w:val="single" w:color="auto" w:sz="12" w:space="0"/>
            </w:tcBorders>
            <w:noWrap w:val="0"/>
            <w:vAlign w:val="center"/>
          </w:tcPr>
          <w:p w14:paraId="42D6707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36151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4D83968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文明</w:t>
            </w:r>
          </w:p>
          <w:p w14:paraId="4FC25C3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w:t>
            </w:r>
          </w:p>
          <w:p w14:paraId="0C3754D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与</w:t>
            </w:r>
          </w:p>
          <w:p w14:paraId="2E8645E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环境</w:t>
            </w:r>
          </w:p>
          <w:p w14:paraId="64C1C39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保护</w:t>
            </w:r>
          </w:p>
        </w:tc>
        <w:tc>
          <w:tcPr>
            <w:tcW w:w="2070" w:type="dxa"/>
            <w:gridSpan w:val="2"/>
            <w:noWrap w:val="0"/>
            <w:vAlign w:val="center"/>
          </w:tcPr>
          <w:p w14:paraId="43ACE8B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安全警示</w:t>
            </w:r>
          </w:p>
          <w:p w14:paraId="345305B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标志牌</w:t>
            </w:r>
          </w:p>
        </w:tc>
        <w:tc>
          <w:tcPr>
            <w:tcW w:w="6645" w:type="dxa"/>
            <w:noWrap w:val="0"/>
            <w:vAlign w:val="center"/>
          </w:tcPr>
          <w:p w14:paraId="37243FA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在易发伤亡事故（或危险）处设置明显的、符合国家标准要求的安全警示标志牌。</w:t>
            </w:r>
          </w:p>
        </w:tc>
      </w:tr>
      <w:tr w14:paraId="25694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F36492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74C59D1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现场围挡</w:t>
            </w:r>
          </w:p>
        </w:tc>
        <w:tc>
          <w:tcPr>
            <w:tcW w:w="6645" w:type="dxa"/>
            <w:noWrap w:val="0"/>
            <w:vAlign w:val="center"/>
          </w:tcPr>
          <w:p w14:paraId="5D0E73C2">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现场采用封闭围挡，高度不小于</w:t>
            </w:r>
            <w:r>
              <w:rPr>
                <w:rFonts w:hint="default" w:ascii="方正仿宋_GBK" w:hAnsi="Calibri" w:eastAsia="方正仿宋_GBK" w:cs="方正仿宋_GBK"/>
                <w:color w:val="auto"/>
                <w:highlight w:val="none"/>
              </w:rPr>
              <w:t>1.8m</w:t>
            </w:r>
            <w:r>
              <w:rPr>
                <w:rFonts w:hint="eastAsia" w:ascii="方正仿宋_GBK" w:hAnsi="Calibri" w:eastAsia="方正仿宋_GBK" w:cs="方正仿宋_GBK"/>
                <w:color w:val="auto"/>
                <w:highlight w:val="none"/>
              </w:rPr>
              <w:t>。</w:t>
            </w:r>
          </w:p>
          <w:p w14:paraId="4FBEAF6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围挡材料可用彩色、定型钢板，砌块等墙体。</w:t>
            </w:r>
          </w:p>
        </w:tc>
      </w:tr>
      <w:tr w14:paraId="3DD15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7260F8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69B9571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七牌二图</w:t>
            </w:r>
          </w:p>
        </w:tc>
        <w:tc>
          <w:tcPr>
            <w:tcW w:w="6645" w:type="dxa"/>
            <w:noWrap w:val="0"/>
            <w:vAlign w:val="center"/>
          </w:tcPr>
          <w:p w14:paraId="5D1AE810">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在进门处悬挂工程概况、现场出入制度、管理人员名单及监督电话、安全生产规定、文明施工、消防保卫、节能公示等七牌以及施工现场总平面图、工程效果图。</w:t>
            </w:r>
          </w:p>
        </w:tc>
      </w:tr>
      <w:tr w14:paraId="7BA6E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62A968C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2549093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企业标志</w:t>
            </w:r>
          </w:p>
        </w:tc>
        <w:tc>
          <w:tcPr>
            <w:tcW w:w="6645" w:type="dxa"/>
            <w:noWrap w:val="0"/>
            <w:vAlign w:val="center"/>
          </w:tcPr>
          <w:p w14:paraId="0906B1A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现场出入的大门应设有本企业标志或企业标识。</w:t>
            </w:r>
          </w:p>
        </w:tc>
      </w:tr>
      <w:tr w14:paraId="19EA5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E9458B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835568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场容场貌</w:t>
            </w:r>
          </w:p>
        </w:tc>
        <w:tc>
          <w:tcPr>
            <w:tcW w:w="6645" w:type="dxa"/>
            <w:noWrap w:val="0"/>
            <w:vAlign w:val="center"/>
          </w:tcPr>
          <w:p w14:paraId="75AEF23D">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道路畅通。</w:t>
            </w:r>
          </w:p>
          <w:p w14:paraId="37E4B39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排水设施齐全畅通。</w:t>
            </w:r>
          </w:p>
          <w:p w14:paraId="4D407B7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工地地面硬化处理（办公区、生活区、现场道路、材料堆放、混凝土搅拌、砂浆搅拌、钢筋加工等场地和外脚手架基础等）。</w:t>
            </w:r>
          </w:p>
        </w:tc>
      </w:tr>
      <w:tr w14:paraId="1ED94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5629FD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05D5490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材料堆放</w:t>
            </w:r>
          </w:p>
        </w:tc>
        <w:tc>
          <w:tcPr>
            <w:tcW w:w="6645" w:type="dxa"/>
            <w:noWrap w:val="0"/>
            <w:vAlign w:val="center"/>
          </w:tcPr>
          <w:p w14:paraId="40CC69A6">
            <w:pPr>
              <w:pStyle w:val="138"/>
              <w:keepNext w:val="0"/>
              <w:keepLines w:val="0"/>
              <w:numPr>
                <w:ilvl w:val="0"/>
                <w:numId w:val="6"/>
              </w:numPr>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材料、构件、料具等堆放时，应有名称、品种、规格等标牌。</w:t>
            </w:r>
          </w:p>
          <w:p w14:paraId="7BAA93B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水泥和其它易飞扬细颗粒建筑材料应封闭存放或采取覆盖等措施。</w:t>
            </w:r>
          </w:p>
          <w:p w14:paraId="3C56828C">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易燃、易爆和有毒有害物品分类存放。</w:t>
            </w:r>
          </w:p>
        </w:tc>
      </w:tr>
      <w:tr w14:paraId="23744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EEFCE5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168CB73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现场防火</w:t>
            </w:r>
          </w:p>
        </w:tc>
        <w:tc>
          <w:tcPr>
            <w:tcW w:w="6645" w:type="dxa"/>
            <w:noWrap w:val="0"/>
            <w:vAlign w:val="center"/>
          </w:tcPr>
          <w:p w14:paraId="761B7B11">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消防器材配置合理，符合消防要求。</w:t>
            </w:r>
          </w:p>
        </w:tc>
      </w:tr>
      <w:tr w14:paraId="1C445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1DC6B1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69DE66A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垃圾清运</w:t>
            </w:r>
          </w:p>
        </w:tc>
        <w:tc>
          <w:tcPr>
            <w:tcW w:w="6645" w:type="dxa"/>
            <w:noWrap w:val="0"/>
            <w:vAlign w:val="center"/>
          </w:tcPr>
          <w:p w14:paraId="32A9E666">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施工现场应设置密闭式垃圾站，施工垃圾、生活垃圾应分类存放。</w:t>
            </w:r>
          </w:p>
          <w:p w14:paraId="127B319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施工垃圾必须采用相应容器或管道运输。</w:t>
            </w:r>
          </w:p>
        </w:tc>
      </w:tr>
      <w:tr w14:paraId="5C792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08FC8C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26A032C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宣传栏、环保及不扰民措施</w:t>
            </w:r>
          </w:p>
        </w:tc>
        <w:tc>
          <w:tcPr>
            <w:tcW w:w="6645" w:type="dxa"/>
            <w:noWrap w:val="0"/>
            <w:vAlign w:val="center"/>
          </w:tcPr>
          <w:p w14:paraId="7379DE8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宣传栏、安全宣传标语等，洗车（防止污染市区道路）、粉尘、噪声控制和排污（污水、废气）措施等。</w:t>
            </w:r>
          </w:p>
        </w:tc>
      </w:tr>
      <w:tr w14:paraId="51EDB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6544A9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临时设施</w:t>
            </w:r>
          </w:p>
        </w:tc>
        <w:tc>
          <w:tcPr>
            <w:tcW w:w="2070" w:type="dxa"/>
            <w:gridSpan w:val="2"/>
            <w:noWrap w:val="0"/>
            <w:vAlign w:val="center"/>
          </w:tcPr>
          <w:p w14:paraId="7EB4D3D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现场办公</w:t>
            </w:r>
          </w:p>
          <w:p w14:paraId="12F20E7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生活设施</w:t>
            </w:r>
          </w:p>
        </w:tc>
        <w:tc>
          <w:tcPr>
            <w:tcW w:w="6645" w:type="dxa"/>
            <w:noWrap w:val="0"/>
            <w:vAlign w:val="center"/>
          </w:tcPr>
          <w:p w14:paraId="23AD3E74">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施工现场办公、生活区与作业区分开设置，保持安全距离。</w:t>
            </w:r>
          </w:p>
          <w:p w14:paraId="66E4BE8D">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工地办公室、现场宿舍、食堂、厕所、饮水、沐浴、休息场所等符合卫生、消防安全要求。</w:t>
            </w:r>
          </w:p>
        </w:tc>
      </w:tr>
      <w:tr w14:paraId="0FB10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779B09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restart"/>
            <w:noWrap w:val="0"/>
            <w:vAlign w:val="center"/>
          </w:tcPr>
          <w:p w14:paraId="6414DEE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w:t>
            </w:r>
          </w:p>
          <w:p w14:paraId="31C4B59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临时用电</w:t>
            </w:r>
          </w:p>
        </w:tc>
        <w:tc>
          <w:tcPr>
            <w:tcW w:w="1545" w:type="dxa"/>
            <w:noWrap w:val="0"/>
            <w:vAlign w:val="center"/>
          </w:tcPr>
          <w:p w14:paraId="0C53F52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配电线路</w:t>
            </w:r>
          </w:p>
        </w:tc>
        <w:tc>
          <w:tcPr>
            <w:tcW w:w="6645" w:type="dxa"/>
            <w:noWrap w:val="0"/>
            <w:vAlign w:val="center"/>
          </w:tcPr>
          <w:p w14:paraId="59DB88B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按照</w:t>
            </w:r>
            <w:r>
              <w:rPr>
                <w:rFonts w:hint="default" w:ascii="方正仿宋_GBK" w:hAnsi="Calibri" w:eastAsia="方正仿宋_GBK" w:cs="方正仿宋_GBK"/>
                <w:color w:val="auto"/>
                <w:highlight w:val="none"/>
              </w:rPr>
              <w:t>TN-S</w:t>
            </w:r>
            <w:r>
              <w:rPr>
                <w:rFonts w:hint="eastAsia" w:ascii="方正仿宋_GBK" w:hAnsi="Calibri" w:eastAsia="方正仿宋_GBK" w:cs="方正仿宋_GBK"/>
                <w:color w:val="auto"/>
                <w:highlight w:val="none"/>
              </w:rPr>
              <w:t>系统要求配备五芯电缆、四芯电缆和三芯电缆。</w:t>
            </w:r>
          </w:p>
          <w:p w14:paraId="3AB7F0D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按要求架设临时用电线路的电杆、横担、瓷夹、瓷瓶等，或电缆埋地的地沟。</w:t>
            </w:r>
          </w:p>
          <w:p w14:paraId="21871AB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对靠近施工现场的外电线路，设置木质、塑料等绝缘体的防护设施。</w:t>
            </w:r>
          </w:p>
        </w:tc>
      </w:tr>
      <w:tr w14:paraId="3AEF8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5506D3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C53532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67EECF1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配电箱</w:t>
            </w:r>
          </w:p>
          <w:p w14:paraId="2C9B333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开关箱</w:t>
            </w:r>
          </w:p>
        </w:tc>
        <w:tc>
          <w:tcPr>
            <w:tcW w:w="6645" w:type="dxa"/>
            <w:noWrap w:val="0"/>
            <w:vAlign w:val="center"/>
          </w:tcPr>
          <w:p w14:paraId="2195347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按三级配电要求，配备总配电箱、分配电箱、开关箱三类（铁质）标准电箱，开关箱应符合“一机、一箱、一闸、一漏”，三类电箱中的各类电器应是合格品。</w:t>
            </w:r>
          </w:p>
          <w:p w14:paraId="02B36E0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按两级保护的要求，选取符合容量要求和质量合格的总配电箱和开关箱中的漏电保护器。</w:t>
            </w:r>
          </w:p>
          <w:p w14:paraId="03AE12D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对大型、落地式分配电箱、开关箱设置防护棚和通透式围挡。</w:t>
            </w:r>
          </w:p>
        </w:tc>
      </w:tr>
      <w:tr w14:paraId="19808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233BCBF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3C05E5A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349E578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接地装置</w:t>
            </w:r>
          </w:p>
        </w:tc>
        <w:tc>
          <w:tcPr>
            <w:tcW w:w="6645" w:type="dxa"/>
            <w:noWrap w:val="0"/>
            <w:vAlign w:val="center"/>
          </w:tcPr>
          <w:p w14:paraId="5530AE3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施工现场应设置不少于三处的重复接地装置。</w:t>
            </w:r>
          </w:p>
        </w:tc>
      </w:tr>
      <w:tr w14:paraId="6ED16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7717169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2F5B673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090E8A2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现场变配电装置</w:t>
            </w:r>
          </w:p>
        </w:tc>
        <w:tc>
          <w:tcPr>
            <w:tcW w:w="6645" w:type="dxa"/>
            <w:noWrap w:val="0"/>
            <w:vAlign w:val="center"/>
          </w:tcPr>
          <w:p w14:paraId="6AD65441">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总配电房建筑材料必须达到消防防火要求，室内做硬地坪、电缆沟。</w:t>
            </w:r>
          </w:p>
        </w:tc>
      </w:tr>
      <w:tr w14:paraId="02DCB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1A18385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noWrap w:val="0"/>
            <w:vAlign w:val="center"/>
          </w:tcPr>
          <w:p w14:paraId="75FFA8B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noWrap w:val="0"/>
            <w:vAlign w:val="center"/>
          </w:tcPr>
          <w:p w14:paraId="14963A1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7A6F6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7843C4E3">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安全施工</w:t>
            </w:r>
          </w:p>
        </w:tc>
        <w:tc>
          <w:tcPr>
            <w:tcW w:w="525" w:type="dxa"/>
            <w:vMerge w:val="restart"/>
            <w:noWrap w:val="0"/>
            <w:vAlign w:val="center"/>
          </w:tcPr>
          <w:p w14:paraId="36544D70">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高处作业防护</w:t>
            </w:r>
          </w:p>
        </w:tc>
        <w:tc>
          <w:tcPr>
            <w:tcW w:w="1545" w:type="dxa"/>
            <w:noWrap w:val="0"/>
            <w:vAlign w:val="center"/>
          </w:tcPr>
          <w:p w14:paraId="1E9E762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楼层、屋面、阳台等临边</w:t>
            </w:r>
          </w:p>
        </w:tc>
        <w:tc>
          <w:tcPr>
            <w:tcW w:w="6645" w:type="dxa"/>
            <w:noWrap w:val="0"/>
            <w:vAlign w:val="center"/>
          </w:tcPr>
          <w:p w14:paraId="15052C3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设两道防护栏杆和</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高的踢脚板，用密目式安全立网全封闭。</w:t>
            </w:r>
          </w:p>
        </w:tc>
      </w:tr>
      <w:tr w14:paraId="5472E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4A5A26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11A51CA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70A10F8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通道口</w:t>
            </w:r>
          </w:p>
        </w:tc>
        <w:tc>
          <w:tcPr>
            <w:tcW w:w="6645" w:type="dxa"/>
            <w:noWrap w:val="0"/>
            <w:vAlign w:val="center"/>
          </w:tcPr>
          <w:p w14:paraId="7C5AA40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设防护棚，防护棚应为不小于</w:t>
            </w:r>
            <w:r>
              <w:rPr>
                <w:rFonts w:hint="default" w:ascii="方正仿宋_GBK" w:hAnsi="Calibri" w:eastAsia="方正仿宋_GBK" w:cs="方正仿宋_GBK"/>
                <w:color w:val="auto"/>
                <w:highlight w:val="none"/>
              </w:rPr>
              <w:t>5cm</w:t>
            </w:r>
            <w:r>
              <w:rPr>
                <w:rFonts w:hint="eastAsia" w:ascii="方正仿宋_GBK" w:hAnsi="Calibri" w:eastAsia="方正仿宋_GBK" w:cs="方正仿宋_GBK"/>
                <w:color w:val="auto"/>
                <w:highlight w:val="none"/>
              </w:rPr>
              <w:t>厚的木板或两道相距</w:t>
            </w:r>
            <w:r>
              <w:rPr>
                <w:rFonts w:hint="default" w:ascii="方正仿宋_GBK" w:hAnsi="Calibri" w:eastAsia="方正仿宋_GBK" w:cs="方正仿宋_GBK"/>
                <w:color w:val="auto"/>
                <w:highlight w:val="none"/>
              </w:rPr>
              <w:t>50cm</w:t>
            </w:r>
            <w:r>
              <w:rPr>
                <w:rFonts w:hint="eastAsia" w:ascii="方正仿宋_GBK" w:hAnsi="Calibri" w:eastAsia="方正仿宋_GBK" w:cs="方正仿宋_GBK"/>
                <w:color w:val="auto"/>
                <w:highlight w:val="none"/>
              </w:rPr>
              <w:t>的竹笆。两侧应沿栏杆架用密目式安全网封闭。</w:t>
            </w:r>
          </w:p>
        </w:tc>
      </w:tr>
      <w:tr w14:paraId="1E3AE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12A81B9">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5BA3539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415E04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预留洞口</w:t>
            </w:r>
          </w:p>
        </w:tc>
        <w:tc>
          <w:tcPr>
            <w:tcW w:w="6645" w:type="dxa"/>
            <w:noWrap w:val="0"/>
            <w:vAlign w:val="center"/>
          </w:tcPr>
          <w:p w14:paraId="60B351A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用硬质材料全封闭，短边超过</w:t>
            </w:r>
            <w:r>
              <w:rPr>
                <w:rFonts w:hint="default" w:ascii="方正仿宋_GBK" w:hAnsi="Calibri" w:eastAsia="方正仿宋_GBK" w:cs="方正仿宋_GBK"/>
                <w:color w:val="auto"/>
                <w:highlight w:val="none"/>
              </w:rPr>
              <w:t>1.5m</w:t>
            </w:r>
            <w:r>
              <w:rPr>
                <w:rFonts w:hint="eastAsia" w:ascii="方正仿宋_GBK" w:hAnsi="Calibri" w:eastAsia="方正仿宋_GBK" w:cs="方正仿宋_GBK"/>
                <w:color w:val="auto"/>
                <w:highlight w:val="none"/>
              </w:rPr>
              <w:t>长的洞口，除封闭外四周还应设有防护栏杆。</w:t>
            </w:r>
          </w:p>
        </w:tc>
      </w:tr>
      <w:tr w14:paraId="7E5C7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3BCDC17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3DC0266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26A02B0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电梯井口</w:t>
            </w:r>
          </w:p>
        </w:tc>
        <w:tc>
          <w:tcPr>
            <w:tcW w:w="6645" w:type="dxa"/>
            <w:noWrap w:val="0"/>
            <w:vAlign w:val="center"/>
          </w:tcPr>
          <w:p w14:paraId="5F1837A4">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设置定型化、工具化的防护门，在电梯井内每隔</w:t>
            </w:r>
            <w:r>
              <w:rPr>
                <w:rFonts w:hint="default" w:ascii="方正仿宋_GBK" w:hAnsi="Calibri" w:eastAsia="方正仿宋_GBK" w:cs="方正仿宋_GBK"/>
                <w:color w:val="auto"/>
                <w:highlight w:val="none"/>
              </w:rPr>
              <w:t>2</w:t>
            </w:r>
            <w:r>
              <w:rPr>
                <w:rFonts w:hint="eastAsia" w:ascii="方正仿宋_GBK" w:hAnsi="Calibri" w:eastAsia="方正仿宋_GBK" w:cs="方正仿宋_GBK"/>
                <w:color w:val="auto"/>
                <w:highlight w:val="none"/>
              </w:rPr>
              <w:t>层（不大于</w:t>
            </w:r>
            <w:r>
              <w:rPr>
                <w:rFonts w:hint="default" w:ascii="方正仿宋_GBK" w:hAnsi="Calibri" w:eastAsia="方正仿宋_GBK" w:cs="方正仿宋_GBK"/>
                <w:color w:val="auto"/>
                <w:highlight w:val="none"/>
              </w:rPr>
              <w:t>10m</w:t>
            </w:r>
            <w:r>
              <w:rPr>
                <w:rFonts w:hint="eastAsia" w:ascii="方正仿宋_GBK" w:hAnsi="Calibri" w:eastAsia="方正仿宋_GBK" w:cs="方正仿宋_GBK"/>
                <w:color w:val="auto"/>
                <w:highlight w:val="none"/>
              </w:rPr>
              <w:t>）设置一道水平防护。</w:t>
            </w:r>
          </w:p>
        </w:tc>
      </w:tr>
      <w:tr w14:paraId="6692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664E2C1">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622E398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01B3EEE0">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楼梯边</w:t>
            </w:r>
          </w:p>
        </w:tc>
        <w:tc>
          <w:tcPr>
            <w:tcW w:w="6645" w:type="dxa"/>
            <w:noWrap w:val="0"/>
            <w:vAlign w:val="center"/>
          </w:tcPr>
          <w:p w14:paraId="632339CB">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高的定型化、工具化的防护栏，</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w:t>
            </w:r>
          </w:p>
        </w:tc>
      </w:tr>
      <w:tr w14:paraId="2C827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6AAA6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1611EC8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7497FB8">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垂直方向交叉作业</w:t>
            </w:r>
          </w:p>
        </w:tc>
        <w:tc>
          <w:tcPr>
            <w:tcW w:w="6645" w:type="dxa"/>
            <w:noWrap w:val="0"/>
            <w:vAlign w:val="center"/>
          </w:tcPr>
          <w:p w14:paraId="15C00BDE">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设置防护隔离棚或其它设施。</w:t>
            </w:r>
          </w:p>
        </w:tc>
      </w:tr>
      <w:tr w14:paraId="4F527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887EE5A">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3A2858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88B0E8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w:t>
            </w:r>
          </w:p>
        </w:tc>
        <w:tc>
          <w:tcPr>
            <w:tcW w:w="6645" w:type="dxa"/>
            <w:noWrap w:val="0"/>
            <w:vAlign w:val="center"/>
          </w:tcPr>
          <w:p w14:paraId="75FD9819">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有悬挂安全带的悬索或其它设施，有操作平台，有上下的梯子或其它形式的通道。</w:t>
            </w:r>
          </w:p>
        </w:tc>
      </w:tr>
      <w:tr w14:paraId="7E6B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EEC221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678362F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6EC409C1">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基坑、物料平台</w:t>
            </w:r>
          </w:p>
        </w:tc>
        <w:tc>
          <w:tcPr>
            <w:tcW w:w="6645" w:type="dxa"/>
            <w:noWrap w:val="0"/>
            <w:vAlign w:val="center"/>
          </w:tcPr>
          <w:p w14:paraId="7E80EA3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高标准化的防护栏，用密目式安全立网封闭，悬挂标识。</w:t>
            </w:r>
          </w:p>
        </w:tc>
      </w:tr>
      <w:tr w14:paraId="4348D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91B5D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723984DC">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安全防护用品</w:t>
            </w:r>
          </w:p>
        </w:tc>
        <w:tc>
          <w:tcPr>
            <w:tcW w:w="6645" w:type="dxa"/>
            <w:noWrap w:val="0"/>
            <w:vAlign w:val="center"/>
          </w:tcPr>
          <w:p w14:paraId="254A358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安全帽、安全带、特种作业人员（电工、焊工、架子工等）防护服装、用品等。</w:t>
            </w:r>
          </w:p>
        </w:tc>
      </w:tr>
      <w:tr w14:paraId="6DC03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0A0C09F7">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w:t>
            </w:r>
          </w:p>
        </w:tc>
        <w:tc>
          <w:tcPr>
            <w:tcW w:w="525" w:type="dxa"/>
            <w:vMerge w:val="restart"/>
            <w:noWrap w:val="0"/>
            <w:vAlign w:val="center"/>
          </w:tcPr>
          <w:p w14:paraId="33EC52F4">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机械设备防护</w:t>
            </w:r>
          </w:p>
        </w:tc>
        <w:tc>
          <w:tcPr>
            <w:tcW w:w="1545" w:type="dxa"/>
            <w:noWrap w:val="0"/>
            <w:vAlign w:val="center"/>
          </w:tcPr>
          <w:p w14:paraId="1FC217D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中小型机械</w:t>
            </w:r>
          </w:p>
        </w:tc>
        <w:tc>
          <w:tcPr>
            <w:tcW w:w="6645" w:type="dxa"/>
            <w:noWrap w:val="0"/>
            <w:vAlign w:val="center"/>
          </w:tcPr>
          <w:p w14:paraId="5B12967A">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设防护棚（同通道口防护并有防雨措施）。</w:t>
            </w:r>
          </w:p>
        </w:tc>
      </w:tr>
      <w:tr w14:paraId="0B066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B0E793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3A9E761F">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56C318C8">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垂直运输设备</w:t>
            </w:r>
          </w:p>
        </w:tc>
        <w:tc>
          <w:tcPr>
            <w:tcW w:w="6645" w:type="dxa"/>
            <w:noWrap w:val="0"/>
            <w:vAlign w:val="center"/>
          </w:tcPr>
          <w:p w14:paraId="44BD1B25">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垂直运输设备检测、检验、日常维护、保养等。</w:t>
            </w:r>
          </w:p>
          <w:p w14:paraId="45F70311">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物料提升机、施工电梯等物料平台搭设、外侧用密目式安全立网全封闭，有安全通道、安全防护门、防护棚等。</w:t>
            </w:r>
          </w:p>
        </w:tc>
      </w:tr>
      <w:tr w14:paraId="5E1F8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86114EB">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22603D2">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专家论证审查</w:t>
            </w:r>
          </w:p>
        </w:tc>
        <w:tc>
          <w:tcPr>
            <w:tcW w:w="6645" w:type="dxa"/>
            <w:noWrap w:val="0"/>
            <w:vAlign w:val="center"/>
          </w:tcPr>
          <w:p w14:paraId="0EFBB0F7">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超过一定规模的危险性较大分部分项工程专家论证审查。</w:t>
            </w:r>
          </w:p>
        </w:tc>
      </w:tr>
      <w:tr w14:paraId="74BE3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1D32116D">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7B35C3A5">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应急救援预案</w:t>
            </w:r>
          </w:p>
        </w:tc>
        <w:tc>
          <w:tcPr>
            <w:tcW w:w="6645" w:type="dxa"/>
            <w:noWrap w:val="0"/>
            <w:vAlign w:val="center"/>
          </w:tcPr>
          <w:p w14:paraId="4F9291F3">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救援器材准备及演练等。</w:t>
            </w:r>
          </w:p>
        </w:tc>
      </w:tr>
      <w:tr w14:paraId="3328E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5AE22D36">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tcBorders>
              <w:bottom w:val="single" w:color="auto" w:sz="12" w:space="0"/>
            </w:tcBorders>
            <w:noWrap w:val="0"/>
            <w:vAlign w:val="center"/>
          </w:tcPr>
          <w:p w14:paraId="095611CE">
            <w:pPr>
              <w:pStyle w:val="138"/>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非正常情况施工</w:t>
            </w:r>
          </w:p>
        </w:tc>
        <w:tc>
          <w:tcPr>
            <w:tcW w:w="6645" w:type="dxa"/>
            <w:tcBorders>
              <w:bottom w:val="single" w:color="auto" w:sz="12" w:space="0"/>
            </w:tcBorders>
            <w:noWrap w:val="0"/>
            <w:vAlign w:val="center"/>
          </w:tcPr>
          <w:p w14:paraId="7F50A4CF">
            <w:pPr>
              <w:pStyle w:val="138"/>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其它特殊情况下的防护费用，如：城市主干道、人流密集、河边等处施工及文物、古建筑、古树保护等。</w:t>
            </w:r>
          </w:p>
        </w:tc>
      </w:tr>
    </w:tbl>
    <w:p w14:paraId="31DE4109">
      <w:pPr>
        <w:pStyle w:val="138"/>
        <w:spacing w:line="240" w:lineRule="atLeast"/>
        <w:ind w:firstLine="546"/>
        <w:jc w:val="center"/>
        <w:rPr>
          <w:rFonts w:hint="eastAsia"/>
          <w:b/>
          <w:bCs/>
          <w:color w:val="auto"/>
          <w:w w:val="90"/>
          <w:sz w:val="24"/>
          <w:szCs w:val="24"/>
          <w:highlight w:val="none"/>
        </w:rPr>
      </w:pPr>
    </w:p>
    <w:p w14:paraId="4F9D2F4A">
      <w:pPr>
        <w:spacing w:before="120" w:beforeLines="50"/>
        <w:ind w:firstLine="420" w:firstLineChars="200"/>
        <w:rPr>
          <w:rFonts w:cs="宋体"/>
          <w:color w:val="auto"/>
          <w:highlight w:val="none"/>
        </w:rPr>
      </w:pPr>
      <w:r>
        <w:rPr>
          <w:rFonts w:hint="eastAsia" w:cs="宋体"/>
          <w:color w:val="auto"/>
          <w:highlight w:val="none"/>
        </w:rPr>
        <w:t>注：本表所列建筑工程安全文明施工费，是依据现行法律法规及标准规范确定的。如法律法规和标准规范修订，本表所列项目应按照修订后的法律法规和标准规范进行调整。</w:t>
      </w:r>
    </w:p>
    <w:p w14:paraId="55E9CA1F">
      <w:pPr>
        <w:spacing w:before="120" w:beforeLines="50"/>
        <w:ind w:firstLine="420" w:firstLineChars="200"/>
        <w:rPr>
          <w:rFonts w:cs="宋体"/>
          <w:color w:val="auto"/>
          <w:highlight w:val="none"/>
        </w:rPr>
      </w:pPr>
    </w:p>
    <w:p w14:paraId="3859F869">
      <w:pPr>
        <w:spacing w:before="120" w:beforeLines="50"/>
        <w:ind w:firstLine="420" w:firstLineChars="200"/>
        <w:rPr>
          <w:rFonts w:cs="宋体"/>
          <w:color w:val="auto"/>
          <w:highlight w:val="none"/>
        </w:rPr>
      </w:pPr>
    </w:p>
    <w:p w14:paraId="54D1461D">
      <w:pPr>
        <w:spacing w:before="120" w:beforeLines="50"/>
        <w:ind w:firstLine="420" w:firstLineChars="200"/>
        <w:rPr>
          <w:rFonts w:cs="宋体"/>
          <w:color w:val="auto"/>
          <w:highlight w:val="none"/>
        </w:rPr>
      </w:pPr>
    </w:p>
    <w:p w14:paraId="2162B3A9">
      <w:pPr>
        <w:spacing w:before="120" w:beforeLines="50"/>
        <w:ind w:firstLine="420" w:firstLineChars="200"/>
        <w:rPr>
          <w:rFonts w:cs="宋体"/>
          <w:color w:val="auto"/>
          <w:highlight w:val="none"/>
        </w:rPr>
      </w:pPr>
    </w:p>
    <w:p w14:paraId="5574AE42">
      <w:pPr>
        <w:spacing w:before="120" w:beforeLines="50"/>
        <w:ind w:firstLine="420" w:firstLineChars="200"/>
        <w:rPr>
          <w:rFonts w:hint="eastAsia" w:cs="宋体"/>
          <w:color w:val="auto"/>
          <w:highlight w:val="none"/>
        </w:rPr>
      </w:pPr>
    </w:p>
    <w:p w14:paraId="663F3B5C">
      <w:pPr>
        <w:spacing w:before="120" w:beforeLines="50"/>
        <w:ind w:firstLine="420" w:firstLineChars="200"/>
        <w:rPr>
          <w:rFonts w:cs="宋体"/>
          <w:color w:val="auto"/>
          <w:highlight w:val="none"/>
        </w:rPr>
      </w:pPr>
    </w:p>
    <w:p w14:paraId="41AB0744">
      <w:pPr>
        <w:spacing w:before="120" w:beforeLines="50"/>
        <w:ind w:firstLine="420" w:firstLineChars="200"/>
        <w:rPr>
          <w:rFonts w:hint="eastAsia"/>
          <w:color w:val="auto"/>
          <w:highlight w:val="none"/>
        </w:rPr>
      </w:pPr>
    </w:p>
    <w:p w14:paraId="6DAB7D00">
      <w:pPr>
        <w:ind w:firstLine="420" w:firstLineChars="200"/>
        <w:rPr>
          <w:color w:val="auto"/>
          <w:highlight w:val="none"/>
        </w:rPr>
      </w:pPr>
    </w:p>
    <w:p w14:paraId="5E43EE5B">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6.</w:t>
      </w:r>
      <w:r>
        <w:rPr>
          <w:rFonts w:hint="eastAsia" w:cs="宋体"/>
          <w:b/>
          <w:bCs/>
          <w:color w:val="auto"/>
          <w:sz w:val="28"/>
          <w:szCs w:val="28"/>
          <w:highlight w:val="none"/>
        </w:rPr>
        <w:t>项目经理简历表</w:t>
      </w:r>
    </w:p>
    <w:p w14:paraId="38700F44">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项目经理简历表</w:t>
      </w:r>
    </w:p>
    <w:p w14:paraId="5BC4A347">
      <w:pPr>
        <w:pStyle w:val="135"/>
        <w:rPr>
          <w:color w:val="auto"/>
          <w:highlight w:val="none"/>
          <w:u w:val="single"/>
        </w:rPr>
      </w:pPr>
    </w:p>
    <w:p w14:paraId="241624B2">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778E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4E797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5"/>
            <w:noWrap w:val="0"/>
            <w:vAlign w:val="center"/>
          </w:tcPr>
          <w:p w14:paraId="0A458C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619B03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0A5CB4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5BA6B1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0A38EF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CA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5F42E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5"/>
            <w:noWrap w:val="0"/>
            <w:vAlign w:val="center"/>
          </w:tcPr>
          <w:p w14:paraId="4BDAB3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项目经理</w:t>
            </w:r>
          </w:p>
        </w:tc>
        <w:tc>
          <w:tcPr>
            <w:tcW w:w="1893" w:type="dxa"/>
            <w:gridSpan w:val="4"/>
            <w:noWrap w:val="0"/>
            <w:vAlign w:val="center"/>
          </w:tcPr>
          <w:p w14:paraId="491DCC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2ED6C4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6E1823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4B997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3C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0C76B2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5"/>
            <w:noWrap w:val="0"/>
            <w:vAlign w:val="center"/>
          </w:tcPr>
          <w:p w14:paraId="5EF95E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08D57CE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086832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075DA92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68A5AB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4C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DCF42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担任项目经理年限</w:t>
            </w:r>
          </w:p>
        </w:tc>
        <w:tc>
          <w:tcPr>
            <w:tcW w:w="1161" w:type="dxa"/>
            <w:gridSpan w:val="2"/>
            <w:noWrap w:val="0"/>
            <w:vAlign w:val="center"/>
          </w:tcPr>
          <w:p w14:paraId="05535F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3"/>
            <w:noWrap w:val="0"/>
            <w:vAlign w:val="center"/>
          </w:tcPr>
          <w:p w14:paraId="3D1053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gridSpan w:val="2"/>
            <w:noWrap w:val="0"/>
            <w:vAlign w:val="center"/>
          </w:tcPr>
          <w:p w14:paraId="26640F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8"/>
            <w:noWrap w:val="0"/>
            <w:vAlign w:val="center"/>
          </w:tcPr>
          <w:p w14:paraId="4DB7AF6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6B84C3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6D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16A70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161" w:type="dxa"/>
            <w:gridSpan w:val="2"/>
            <w:noWrap w:val="0"/>
            <w:vAlign w:val="center"/>
          </w:tcPr>
          <w:p w14:paraId="1101B5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102" w:type="dxa"/>
            <w:gridSpan w:val="2"/>
            <w:noWrap w:val="0"/>
            <w:vAlign w:val="center"/>
          </w:tcPr>
          <w:p w14:paraId="02071C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289" w:type="dxa"/>
            <w:gridSpan w:val="2"/>
            <w:noWrap w:val="0"/>
            <w:vAlign w:val="center"/>
          </w:tcPr>
          <w:p w14:paraId="5BA9B3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71" w:type="dxa"/>
            <w:gridSpan w:val="3"/>
            <w:noWrap w:val="0"/>
            <w:vAlign w:val="center"/>
          </w:tcPr>
          <w:p w14:paraId="50D59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118" w:type="dxa"/>
            <w:gridSpan w:val="2"/>
            <w:noWrap w:val="0"/>
            <w:vAlign w:val="center"/>
          </w:tcPr>
          <w:p w14:paraId="39BFAA78">
            <w:pPr>
              <w:keepNext w:val="0"/>
              <w:keepLines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注册单位</w:t>
            </w:r>
          </w:p>
        </w:tc>
        <w:tc>
          <w:tcPr>
            <w:tcW w:w="1328" w:type="dxa"/>
            <w:gridSpan w:val="3"/>
            <w:noWrap w:val="0"/>
            <w:vAlign w:val="center"/>
          </w:tcPr>
          <w:p w14:paraId="5ED3682D">
            <w:pPr>
              <w:keepNext w:val="0"/>
              <w:keepLines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注册有效期</w:t>
            </w:r>
          </w:p>
        </w:tc>
        <w:tc>
          <w:tcPr>
            <w:tcW w:w="1311" w:type="dxa"/>
            <w:gridSpan w:val="3"/>
            <w:noWrap w:val="0"/>
            <w:vAlign w:val="center"/>
          </w:tcPr>
          <w:p w14:paraId="3E5241C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使用限期</w:t>
            </w:r>
          </w:p>
        </w:tc>
      </w:tr>
      <w:tr w14:paraId="525A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E7C801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61" w:type="dxa"/>
            <w:gridSpan w:val="2"/>
            <w:noWrap w:val="0"/>
            <w:vAlign w:val="center"/>
          </w:tcPr>
          <w:p w14:paraId="7E45221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2B76E36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289" w:type="dxa"/>
            <w:gridSpan w:val="2"/>
            <w:noWrap w:val="0"/>
            <w:vAlign w:val="center"/>
          </w:tcPr>
          <w:p w14:paraId="0BAA22D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581689C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066C882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40E30B02">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4A62711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6E7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DFE32F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161" w:type="dxa"/>
            <w:gridSpan w:val="2"/>
            <w:noWrap w:val="0"/>
            <w:vAlign w:val="center"/>
          </w:tcPr>
          <w:p w14:paraId="642CF3D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1D92F15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Times New Roman"/>
                <w:color w:val="auto"/>
                <w:highlight w:val="none"/>
              </w:rPr>
              <w:t>B类</w:t>
            </w:r>
          </w:p>
        </w:tc>
        <w:tc>
          <w:tcPr>
            <w:tcW w:w="1289" w:type="dxa"/>
            <w:gridSpan w:val="2"/>
            <w:noWrap w:val="0"/>
            <w:vAlign w:val="center"/>
          </w:tcPr>
          <w:p w14:paraId="6B874E5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6F87BAD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372EBEF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52D43C7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58C1F58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600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08E812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7563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008C4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2"/>
            <w:noWrap w:val="0"/>
            <w:vAlign w:val="center"/>
          </w:tcPr>
          <w:p w14:paraId="0E697D5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2994F1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5A70FA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3"/>
            <w:noWrap w:val="0"/>
            <w:vAlign w:val="center"/>
          </w:tcPr>
          <w:p w14:paraId="0A1311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14FF19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2302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92422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31DF5F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7852E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BDE61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04AB54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F9156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000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96A6C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55E047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C19B1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2FB19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C1B70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C2559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9A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F64AA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660186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4C7F7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C17BA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E248E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CB509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8B2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FF09CB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0DCEF1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5AC89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153A6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F9704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BCA54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6BD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A2453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60400C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861D6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CB9CD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34496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B2E38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CE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5302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5C0ABB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584A0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EADB7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A0695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A5F92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F8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6F8907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391CE0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8F7EA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FF25F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7592B3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8D60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2E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8FF32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2B3198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96AA4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0ACF9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79402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0D90B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690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864DF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056326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315B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C57FE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E2F8F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56789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D3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29F106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546984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33A72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AB515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48B63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D808C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CF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5C5CD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1F363D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889E8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2F475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EF89A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E1CBD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1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B38BE8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519AF6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E7D37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92F0B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30A19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5FE1E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94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449F3A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4DA947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36341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A416B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012FE9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672D0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D6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6AEDE8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59C881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BF9BD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B5236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AF244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EC3FF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975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BB61D5">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289828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CF5AD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2C34B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D4A84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EF9F8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070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58BF7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15CD09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9C23C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9314C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5B0B7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E0251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84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2AE217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5EA639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A5029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92374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D24F8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8B09D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EEF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082700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5B7616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90371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48431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96EAB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58B4D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72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350C17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44555A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C30F2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F662D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6EC181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F5F66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6D8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C66085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2BB8E5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1352B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C1EBD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B1AB6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5E1D4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D6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0031E8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50B3D9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5EBB5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5CC7A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2F75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741A0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06F6F468">
      <w:pPr>
        <w:spacing w:line="360" w:lineRule="auto"/>
        <w:rPr>
          <w:color w:val="auto"/>
          <w:highlight w:val="none"/>
        </w:rPr>
      </w:pPr>
    </w:p>
    <w:p w14:paraId="77A01775">
      <w:pPr>
        <w:spacing w:line="360" w:lineRule="auto"/>
        <w:rPr>
          <w:rFonts w:eastAsia="楷体_GB2312"/>
          <w:color w:val="auto"/>
          <w:highlight w:val="none"/>
        </w:rPr>
      </w:pPr>
      <w:r>
        <w:rPr>
          <w:rFonts w:hint="eastAsia" w:eastAsia="楷体_GB2312" w:cs="楷体_GB2312"/>
          <w:color w:val="auto"/>
          <w:highlight w:val="none"/>
        </w:rPr>
        <w:t>备注：</w:t>
      </w:r>
    </w:p>
    <w:p w14:paraId="1DDA911E">
      <w:pPr>
        <w:spacing w:line="360" w:lineRule="auto"/>
        <w:ind w:firstLine="420" w:firstLineChars="200"/>
        <w:rPr>
          <w:rFonts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人员注册证书信息、安全生产考核合格证书、个人业绩的信息均需从“桂建云”读取，投标人不可修改，业绩不需要提供扫描件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投标人以上信息未通过“桂建云”读取的，在评审时不予承认。</w:t>
      </w:r>
    </w:p>
    <w:p w14:paraId="03083D0E">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63371195">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33C9CD59">
      <w:pPr>
        <w:spacing w:line="360" w:lineRule="auto"/>
        <w:ind w:firstLine="525" w:firstLineChars="250"/>
        <w:rPr>
          <w:color w:val="auto"/>
          <w:highlight w:val="none"/>
        </w:rPr>
      </w:pPr>
    </w:p>
    <w:p w14:paraId="4DE90AC1">
      <w:pPr>
        <w:spacing w:line="360" w:lineRule="auto"/>
        <w:ind w:firstLine="525" w:firstLineChars="250"/>
        <w:rPr>
          <w:color w:val="auto"/>
          <w:highlight w:val="none"/>
        </w:rPr>
        <w:sectPr>
          <w:pgSz w:w="11907" w:h="16840"/>
          <w:pgMar w:top="1440" w:right="1440" w:bottom="1440" w:left="1797" w:header="851" w:footer="851" w:gutter="0"/>
          <w:cols w:space="720" w:num="1"/>
          <w:docGrid w:linePitch="312" w:charSpace="0"/>
        </w:sectPr>
      </w:pPr>
    </w:p>
    <w:p w14:paraId="34D71A65">
      <w:pPr>
        <w:spacing w:before="120" w:beforeLines="50"/>
        <w:ind w:firstLine="420" w:firstLineChars="200"/>
        <w:rPr>
          <w:rFonts w:cs="宋体"/>
          <w:color w:val="auto"/>
          <w:highlight w:val="none"/>
        </w:rPr>
      </w:pPr>
    </w:p>
    <w:p w14:paraId="6FFC825B">
      <w:pPr>
        <w:spacing w:before="120" w:beforeLines="50"/>
        <w:ind w:firstLine="420" w:firstLineChars="200"/>
        <w:rPr>
          <w:rFonts w:hint="eastAsia" w:cs="宋体"/>
          <w:color w:val="auto"/>
          <w:highlight w:val="none"/>
        </w:rPr>
      </w:pPr>
    </w:p>
    <w:p w14:paraId="407F9675">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7.</w:t>
      </w:r>
      <w:r>
        <w:rPr>
          <w:rFonts w:hint="eastAsia" w:cs="宋体"/>
          <w:b/>
          <w:bCs/>
          <w:color w:val="auto"/>
          <w:sz w:val="28"/>
          <w:szCs w:val="28"/>
          <w:highlight w:val="none"/>
        </w:rPr>
        <w:t>项目技术负责</w:t>
      </w:r>
      <w:r>
        <w:rPr>
          <w:rFonts w:cs="宋体"/>
          <w:b/>
          <w:bCs/>
          <w:color w:val="auto"/>
          <w:sz w:val="28"/>
          <w:szCs w:val="28"/>
          <w:highlight w:val="none"/>
        </w:rPr>
        <w:t>人</w:t>
      </w:r>
      <w:r>
        <w:rPr>
          <w:rFonts w:hint="eastAsia" w:cs="宋体"/>
          <w:b/>
          <w:bCs/>
          <w:color w:val="auto"/>
          <w:sz w:val="28"/>
          <w:szCs w:val="28"/>
          <w:highlight w:val="none"/>
        </w:rPr>
        <w:t>简历表</w:t>
      </w:r>
    </w:p>
    <w:p w14:paraId="57E35166">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项目技术负责人简历表</w:t>
      </w:r>
    </w:p>
    <w:p w14:paraId="46B0492A">
      <w:pPr>
        <w:pStyle w:val="135"/>
        <w:rPr>
          <w:color w:val="auto"/>
          <w:highlight w:val="none"/>
          <w:u w:val="single"/>
        </w:rPr>
      </w:pPr>
    </w:p>
    <w:p w14:paraId="3DFB024C">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774"/>
        <w:gridCol w:w="217"/>
        <w:gridCol w:w="111"/>
        <w:gridCol w:w="300"/>
        <w:gridCol w:w="739"/>
        <w:gridCol w:w="854"/>
        <w:gridCol w:w="230"/>
        <w:gridCol w:w="858"/>
        <w:gridCol w:w="142"/>
        <w:gridCol w:w="1463"/>
        <w:gridCol w:w="533"/>
        <w:gridCol w:w="987"/>
        <w:gridCol w:w="11"/>
      </w:tblGrid>
      <w:tr w14:paraId="575E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3505DD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7F0A90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3"/>
            <w:noWrap w:val="0"/>
            <w:vAlign w:val="center"/>
          </w:tcPr>
          <w:p w14:paraId="510243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230" w:type="dxa"/>
            <w:gridSpan w:val="3"/>
            <w:noWrap w:val="0"/>
            <w:vAlign w:val="center"/>
          </w:tcPr>
          <w:p w14:paraId="753219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63" w:type="dxa"/>
            <w:noWrap w:val="0"/>
            <w:vAlign w:val="center"/>
          </w:tcPr>
          <w:p w14:paraId="2BA2C1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3"/>
            <w:noWrap w:val="0"/>
            <w:vAlign w:val="center"/>
          </w:tcPr>
          <w:p w14:paraId="4F97EB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3AF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88D4C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0514D3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项目技术负责人</w:t>
            </w:r>
          </w:p>
        </w:tc>
        <w:tc>
          <w:tcPr>
            <w:tcW w:w="1893" w:type="dxa"/>
            <w:gridSpan w:val="3"/>
            <w:noWrap w:val="0"/>
            <w:vAlign w:val="center"/>
          </w:tcPr>
          <w:p w14:paraId="2BEA3F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230" w:type="dxa"/>
            <w:gridSpan w:val="3"/>
            <w:noWrap w:val="0"/>
            <w:vAlign w:val="center"/>
          </w:tcPr>
          <w:p w14:paraId="72CF2C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63" w:type="dxa"/>
            <w:noWrap w:val="0"/>
            <w:vAlign w:val="center"/>
          </w:tcPr>
          <w:p w14:paraId="16E220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3"/>
            <w:noWrap w:val="0"/>
            <w:vAlign w:val="center"/>
          </w:tcPr>
          <w:p w14:paraId="1F07DB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94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B63420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501062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3"/>
            <w:noWrap w:val="0"/>
            <w:vAlign w:val="center"/>
          </w:tcPr>
          <w:p w14:paraId="70B1A75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230" w:type="dxa"/>
            <w:gridSpan w:val="3"/>
            <w:noWrap w:val="0"/>
            <w:vAlign w:val="center"/>
          </w:tcPr>
          <w:p w14:paraId="271A0F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63" w:type="dxa"/>
            <w:noWrap w:val="0"/>
            <w:vAlign w:val="center"/>
          </w:tcPr>
          <w:p w14:paraId="1F71CCF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3"/>
            <w:noWrap w:val="0"/>
            <w:vAlign w:val="center"/>
          </w:tcPr>
          <w:p w14:paraId="7B39DA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BBF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5449B2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w:t>
            </w:r>
            <w:r>
              <w:rPr>
                <w:rFonts w:hint="eastAsia" w:ascii="Calibri" w:hAnsi="Calibri" w:eastAsia="宋体" w:cs="Times New Roman"/>
                <w:color w:val="auto"/>
                <w:highlight w:val="none"/>
              </w:rPr>
              <w:t>……</w:t>
            </w:r>
            <w:r>
              <w:rPr>
                <w:rFonts w:hint="eastAsia" w:ascii="Calibri" w:hAnsi="Calibri" w:eastAsia="宋体" w:cs="宋体"/>
                <w:color w:val="auto"/>
                <w:highlight w:val="none"/>
              </w:rPr>
              <w:t>年限</w:t>
            </w:r>
          </w:p>
        </w:tc>
        <w:tc>
          <w:tcPr>
            <w:tcW w:w="1074" w:type="dxa"/>
            <w:gridSpan w:val="2"/>
            <w:noWrap w:val="0"/>
            <w:vAlign w:val="center"/>
          </w:tcPr>
          <w:p w14:paraId="1686C8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4"/>
            <w:noWrap w:val="0"/>
            <w:vAlign w:val="center"/>
          </w:tcPr>
          <w:p w14:paraId="13604D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739" w:type="dxa"/>
            <w:noWrap w:val="0"/>
            <w:vAlign w:val="center"/>
          </w:tcPr>
          <w:p w14:paraId="07DDD5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080" w:type="dxa"/>
            <w:gridSpan w:val="6"/>
            <w:noWrap w:val="0"/>
            <w:vAlign w:val="center"/>
          </w:tcPr>
          <w:p w14:paraId="4710879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52D274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AD1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37F37F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074" w:type="dxa"/>
            <w:gridSpan w:val="2"/>
            <w:noWrap w:val="0"/>
            <w:vAlign w:val="center"/>
          </w:tcPr>
          <w:p w14:paraId="6FD690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991" w:type="dxa"/>
            <w:gridSpan w:val="2"/>
            <w:noWrap w:val="0"/>
            <w:vAlign w:val="center"/>
          </w:tcPr>
          <w:p w14:paraId="28BC64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150" w:type="dxa"/>
            <w:gridSpan w:val="3"/>
            <w:noWrap w:val="0"/>
            <w:vAlign w:val="center"/>
          </w:tcPr>
          <w:p w14:paraId="22004B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84" w:type="dxa"/>
            <w:gridSpan w:val="2"/>
            <w:noWrap w:val="0"/>
            <w:vAlign w:val="center"/>
          </w:tcPr>
          <w:p w14:paraId="6E9354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000" w:type="dxa"/>
            <w:gridSpan w:val="2"/>
            <w:noWrap w:val="0"/>
            <w:vAlign w:val="center"/>
          </w:tcPr>
          <w:p w14:paraId="550077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63" w:type="dxa"/>
            <w:noWrap w:val="0"/>
            <w:vAlign w:val="center"/>
          </w:tcPr>
          <w:p w14:paraId="4DB722E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注册有效期</w:t>
            </w:r>
          </w:p>
        </w:tc>
        <w:tc>
          <w:tcPr>
            <w:tcW w:w="1531" w:type="dxa"/>
            <w:gridSpan w:val="3"/>
            <w:noWrap w:val="0"/>
            <w:vAlign w:val="center"/>
          </w:tcPr>
          <w:p w14:paraId="47E55A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lang w:eastAsia="zh-CN"/>
              </w:rPr>
              <w:t>使用限期</w:t>
            </w:r>
          </w:p>
        </w:tc>
      </w:tr>
      <w:tr w14:paraId="3174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2ADD851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4" w:type="dxa"/>
            <w:gridSpan w:val="2"/>
            <w:noWrap w:val="0"/>
            <w:vAlign w:val="center"/>
          </w:tcPr>
          <w:p w14:paraId="4F3801F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991" w:type="dxa"/>
            <w:gridSpan w:val="2"/>
            <w:noWrap w:val="0"/>
            <w:vAlign w:val="center"/>
          </w:tcPr>
          <w:p w14:paraId="68E8901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150" w:type="dxa"/>
            <w:gridSpan w:val="3"/>
            <w:noWrap w:val="0"/>
            <w:vAlign w:val="center"/>
          </w:tcPr>
          <w:p w14:paraId="1E1E224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84" w:type="dxa"/>
            <w:gridSpan w:val="2"/>
            <w:noWrap w:val="0"/>
            <w:vAlign w:val="center"/>
          </w:tcPr>
          <w:p w14:paraId="6B47DB7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00" w:type="dxa"/>
            <w:gridSpan w:val="2"/>
            <w:noWrap w:val="0"/>
            <w:vAlign w:val="center"/>
          </w:tcPr>
          <w:p w14:paraId="6159541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63" w:type="dxa"/>
            <w:noWrap w:val="0"/>
            <w:vAlign w:val="center"/>
          </w:tcPr>
          <w:p w14:paraId="7033B93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531" w:type="dxa"/>
            <w:gridSpan w:val="3"/>
            <w:noWrap w:val="0"/>
            <w:vAlign w:val="center"/>
          </w:tcPr>
          <w:p w14:paraId="798AD7A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08CB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AB6706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4" w:type="dxa"/>
            <w:gridSpan w:val="2"/>
            <w:noWrap w:val="0"/>
            <w:vAlign w:val="center"/>
          </w:tcPr>
          <w:p w14:paraId="046C329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991" w:type="dxa"/>
            <w:gridSpan w:val="2"/>
            <w:noWrap w:val="0"/>
            <w:vAlign w:val="center"/>
          </w:tcPr>
          <w:p w14:paraId="129FDC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150" w:type="dxa"/>
            <w:gridSpan w:val="3"/>
            <w:noWrap w:val="0"/>
            <w:vAlign w:val="center"/>
          </w:tcPr>
          <w:p w14:paraId="07147B25">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84" w:type="dxa"/>
            <w:gridSpan w:val="2"/>
            <w:noWrap w:val="0"/>
            <w:vAlign w:val="center"/>
          </w:tcPr>
          <w:p w14:paraId="150DD85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00" w:type="dxa"/>
            <w:gridSpan w:val="2"/>
            <w:noWrap w:val="0"/>
            <w:vAlign w:val="center"/>
          </w:tcPr>
          <w:p w14:paraId="461E05A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63" w:type="dxa"/>
            <w:noWrap w:val="0"/>
            <w:vAlign w:val="center"/>
          </w:tcPr>
          <w:p w14:paraId="5D4D1DB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531" w:type="dxa"/>
            <w:gridSpan w:val="3"/>
            <w:noWrap w:val="0"/>
            <w:vAlign w:val="center"/>
          </w:tcPr>
          <w:p w14:paraId="54EA45A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1E9B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7"/>
            <w:noWrap w:val="0"/>
            <w:vAlign w:val="center"/>
          </w:tcPr>
          <w:p w14:paraId="5F8323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2708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E2FCD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2"/>
            <w:noWrap w:val="0"/>
            <w:vAlign w:val="center"/>
          </w:tcPr>
          <w:p w14:paraId="37251B8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367" w:type="dxa"/>
            <w:gridSpan w:val="4"/>
            <w:noWrap w:val="0"/>
            <w:vAlign w:val="center"/>
          </w:tcPr>
          <w:p w14:paraId="6580B8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942" w:type="dxa"/>
            <w:gridSpan w:val="3"/>
            <w:noWrap w:val="0"/>
            <w:vAlign w:val="center"/>
          </w:tcPr>
          <w:p w14:paraId="0A0EC9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05" w:type="dxa"/>
            <w:gridSpan w:val="2"/>
            <w:noWrap w:val="0"/>
            <w:vAlign w:val="center"/>
          </w:tcPr>
          <w:p w14:paraId="7C871A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520" w:type="dxa"/>
            <w:gridSpan w:val="2"/>
            <w:noWrap w:val="0"/>
            <w:vAlign w:val="center"/>
          </w:tcPr>
          <w:p w14:paraId="2BF11B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20CA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520B4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584EB6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063F3E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2237B2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5F6DB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7677C1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8B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C203379">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1520E5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7BA31B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277B38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63E8AB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655144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A78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15750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3B10F9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7DDC49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5622B9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6A5F13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1BA7A7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97E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0251D1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039F6B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6898B6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3229DF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427680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0BFB12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7A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E722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0289B1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6081A6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7013B8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470BE8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1B42CF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9D5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C10C5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65DE07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46AF72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1B530F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09CD7A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46F641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896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96A3D9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2AE7A3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260E9E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0A06A4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6D81CE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4740D5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63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0A9C4F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08CC77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29DA09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4322A7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6FB39B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7B6173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61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7BCD6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6915B0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9A1AD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719CCB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68B63D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1EBC76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3A7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EE71F0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0E7CE4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43385D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3800B6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29603D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0F533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B0F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242BC3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073D93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555C1D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5DAC26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02759F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3825A0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1F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9EF911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4393E2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21F4B2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1EFDA6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1562BD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2B2763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12B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CE3D7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5F495A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31920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24FD1F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53A294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44D64F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E9E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0C948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3E698C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62450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2DACF0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527B0B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2E9E55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317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4DC58D2">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025271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95E8B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2016C5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7D95D1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0D1062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FE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FC055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06A465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127073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4694D5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15FE9F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748603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B9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B5D06C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78EE0E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68F1B9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6A2C69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577159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0DAD14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BB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4C56E0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10377F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2DF733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08A13B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3D7691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72EB7A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88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6DF94A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1F5A15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A25F3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4D8C69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1DC1D1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2FF32F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01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EE68A7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5F3FA7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493925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4E6156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357CAA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1525DE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C2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0EB8A7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658F5B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367" w:type="dxa"/>
            <w:gridSpan w:val="4"/>
            <w:noWrap w:val="0"/>
            <w:vAlign w:val="center"/>
          </w:tcPr>
          <w:p w14:paraId="373F86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942" w:type="dxa"/>
            <w:gridSpan w:val="3"/>
            <w:noWrap w:val="0"/>
            <w:vAlign w:val="center"/>
          </w:tcPr>
          <w:p w14:paraId="3C9C8E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05" w:type="dxa"/>
            <w:gridSpan w:val="2"/>
            <w:noWrap w:val="0"/>
            <w:vAlign w:val="center"/>
          </w:tcPr>
          <w:p w14:paraId="718790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0" w:type="dxa"/>
            <w:gridSpan w:val="2"/>
            <w:noWrap w:val="0"/>
            <w:vAlign w:val="center"/>
          </w:tcPr>
          <w:p w14:paraId="51A09C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351776C1">
      <w:pPr>
        <w:spacing w:line="360" w:lineRule="auto"/>
        <w:rPr>
          <w:color w:val="auto"/>
          <w:highlight w:val="none"/>
        </w:rPr>
      </w:pPr>
    </w:p>
    <w:p w14:paraId="3D03423C">
      <w:pPr>
        <w:spacing w:line="360" w:lineRule="auto"/>
        <w:rPr>
          <w:rFonts w:eastAsia="楷体_GB2312"/>
          <w:color w:val="auto"/>
          <w:highlight w:val="none"/>
        </w:rPr>
      </w:pPr>
      <w:r>
        <w:rPr>
          <w:rFonts w:hint="eastAsia" w:eastAsia="楷体_GB2312" w:cs="楷体_GB2312"/>
          <w:color w:val="auto"/>
          <w:highlight w:val="none"/>
        </w:rPr>
        <w:t>备注：</w:t>
      </w:r>
    </w:p>
    <w:p w14:paraId="7C0CEF15">
      <w:pPr>
        <w:spacing w:line="360" w:lineRule="auto"/>
        <w:ind w:firstLine="420" w:firstLineChars="200"/>
        <w:rPr>
          <w:rFonts w:eastAsia="楷体_GB2312" w:cs="Times New Roman"/>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人员注册证书信息、个人业绩的信息均需从“桂建云”读取，投标人不可修改，业绩不需要提供扫描件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投标人以上信息未通过“桂建云”读取的，在评审时不予承认。</w:t>
      </w:r>
    </w:p>
    <w:p w14:paraId="0FADC879">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p>
    <w:p w14:paraId="4526400C">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E56E0A0">
      <w:pPr>
        <w:spacing w:line="360" w:lineRule="auto"/>
        <w:ind w:firstLine="420" w:firstLineChars="200"/>
        <w:rPr>
          <w:rFonts w:hint="eastAsia" w:eastAsia="楷体_GB2312"/>
          <w:color w:val="auto"/>
          <w:highlight w:val="none"/>
        </w:rPr>
      </w:pPr>
    </w:p>
    <w:p w14:paraId="0E8B6F91">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8.</w:t>
      </w:r>
      <w:r>
        <w:rPr>
          <w:rFonts w:hint="eastAsia" w:cs="宋体"/>
          <w:b/>
          <w:bCs/>
          <w:color w:val="auto"/>
          <w:sz w:val="28"/>
          <w:szCs w:val="28"/>
          <w:highlight w:val="none"/>
        </w:rPr>
        <w:t>专职安全生产管理人员</w:t>
      </w:r>
    </w:p>
    <w:p w14:paraId="2B5E642E">
      <w:pPr>
        <w:pStyle w:val="135"/>
        <w:jc w:val="center"/>
        <w:rPr>
          <w:color w:val="auto"/>
          <w:highlight w:val="none"/>
          <w:u w:val="single"/>
        </w:rPr>
      </w:pPr>
      <w:r>
        <w:rPr>
          <w:rFonts w:hint="eastAsia" w:cs="宋体"/>
          <w:b/>
          <w:color w:val="auto"/>
          <w:sz w:val="32"/>
          <w:szCs w:val="32"/>
          <w:highlight w:val="none"/>
        </w:rPr>
        <w:t>专职安全生产管理人员</w:t>
      </w:r>
    </w:p>
    <w:p w14:paraId="66097ECB">
      <w:pPr>
        <w:pStyle w:val="135"/>
        <w:rPr>
          <w:color w:val="auto"/>
          <w:highlight w:val="none"/>
        </w:rPr>
      </w:pPr>
      <w:r>
        <w:rPr>
          <w:color w:val="auto"/>
          <w:highlight w:val="none"/>
          <w:u w:val="single"/>
        </w:rPr>
        <w:t xml:space="preserve">            </w:t>
      </w:r>
      <w:r>
        <w:rPr>
          <w:rFonts w:hint="eastAsia" w:cs="宋体"/>
          <w:color w:val="auto"/>
          <w:highlight w:val="none"/>
          <w:u w:val="single"/>
        </w:rPr>
        <w:t>（招标项目名称）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078C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F4782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6BC031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149BBD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12AF72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7DA349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572D9D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557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79F90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0B2CDC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专职安全生产管理人员</w:t>
            </w:r>
          </w:p>
        </w:tc>
        <w:tc>
          <w:tcPr>
            <w:tcW w:w="1893" w:type="dxa"/>
            <w:gridSpan w:val="5"/>
            <w:noWrap w:val="0"/>
            <w:vAlign w:val="center"/>
          </w:tcPr>
          <w:p w14:paraId="68E03E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2AE121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A7571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71AAD3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2D3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FE938D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45A152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5229D05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474BFD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6525FD5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2EC91F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B0E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17C48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担任……年限</w:t>
            </w:r>
          </w:p>
        </w:tc>
        <w:tc>
          <w:tcPr>
            <w:tcW w:w="1161" w:type="dxa"/>
            <w:gridSpan w:val="2"/>
            <w:noWrap w:val="0"/>
            <w:vAlign w:val="center"/>
          </w:tcPr>
          <w:p w14:paraId="39886B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5"/>
            <w:noWrap w:val="0"/>
            <w:vAlign w:val="center"/>
          </w:tcPr>
          <w:p w14:paraId="0AF3BA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noWrap w:val="0"/>
            <w:vAlign w:val="center"/>
          </w:tcPr>
          <w:p w14:paraId="4AA2A0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9"/>
            <w:noWrap w:val="0"/>
            <w:vAlign w:val="center"/>
          </w:tcPr>
          <w:p w14:paraId="6C399FA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20CCD3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C4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33595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275" w:type="dxa"/>
            <w:gridSpan w:val="3"/>
            <w:noWrap w:val="0"/>
            <w:vAlign w:val="center"/>
          </w:tcPr>
          <w:p w14:paraId="5E8650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222" w:type="dxa"/>
            <w:gridSpan w:val="3"/>
            <w:noWrap w:val="0"/>
            <w:vAlign w:val="center"/>
          </w:tcPr>
          <w:p w14:paraId="42604C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417" w:type="dxa"/>
            <w:gridSpan w:val="3"/>
            <w:noWrap w:val="0"/>
            <w:vAlign w:val="center"/>
          </w:tcPr>
          <w:p w14:paraId="5382D2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418" w:type="dxa"/>
            <w:gridSpan w:val="3"/>
            <w:noWrap w:val="0"/>
            <w:vAlign w:val="center"/>
          </w:tcPr>
          <w:p w14:paraId="1F7927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632" w:type="dxa"/>
            <w:gridSpan w:val="4"/>
            <w:noWrap w:val="0"/>
            <w:vAlign w:val="center"/>
          </w:tcPr>
          <w:p w14:paraId="503D01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16" w:type="dxa"/>
            <w:gridSpan w:val="3"/>
            <w:noWrap w:val="0"/>
            <w:vAlign w:val="center"/>
          </w:tcPr>
          <w:p w14:paraId="581D51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注册有效期</w:t>
            </w:r>
          </w:p>
        </w:tc>
      </w:tr>
      <w:tr w14:paraId="4158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2DCFC3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275" w:type="dxa"/>
            <w:gridSpan w:val="3"/>
            <w:noWrap w:val="0"/>
            <w:vAlign w:val="center"/>
          </w:tcPr>
          <w:p w14:paraId="3ED513C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33FE2B5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C类</w:t>
            </w:r>
          </w:p>
        </w:tc>
        <w:tc>
          <w:tcPr>
            <w:tcW w:w="1417" w:type="dxa"/>
            <w:gridSpan w:val="3"/>
            <w:noWrap w:val="0"/>
            <w:vAlign w:val="center"/>
          </w:tcPr>
          <w:p w14:paraId="5CB1C8B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3E86FBE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1A7F1C3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44006EF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35B4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3081A8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5559EC4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67F2016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4DF823A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47AD562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015FC8E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2B6D09E2">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A72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59E038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4041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D895D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3"/>
            <w:noWrap w:val="0"/>
            <w:vAlign w:val="center"/>
          </w:tcPr>
          <w:p w14:paraId="48D22AD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517AE3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0AC1CD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4"/>
            <w:noWrap w:val="0"/>
            <w:vAlign w:val="center"/>
          </w:tcPr>
          <w:p w14:paraId="0AC245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345C63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77B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043B0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3"/>
            <w:noWrap w:val="0"/>
            <w:vAlign w:val="center"/>
          </w:tcPr>
          <w:p w14:paraId="7843BE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CF914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43DA0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F7579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00EF1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CC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7EAF62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3"/>
            <w:noWrap w:val="0"/>
            <w:vAlign w:val="center"/>
          </w:tcPr>
          <w:p w14:paraId="04BD09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86A94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C48CE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85BF9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240AF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B6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A8850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3"/>
            <w:noWrap w:val="0"/>
            <w:vAlign w:val="center"/>
          </w:tcPr>
          <w:p w14:paraId="75FAF3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DBD00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910AE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835EC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C7231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66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0CD3D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3"/>
            <w:noWrap w:val="0"/>
            <w:vAlign w:val="center"/>
          </w:tcPr>
          <w:p w14:paraId="5E4F4F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5FF46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54BAF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60988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603EE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4C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B764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3"/>
            <w:noWrap w:val="0"/>
            <w:vAlign w:val="center"/>
          </w:tcPr>
          <w:p w14:paraId="5F41E5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2E80C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7A2DC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B61C4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6DCAF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BB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D7CAB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3"/>
            <w:noWrap w:val="0"/>
            <w:vAlign w:val="center"/>
          </w:tcPr>
          <w:p w14:paraId="16A152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D0BB6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11EC3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B79FF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E477D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C8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BBA683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3"/>
            <w:noWrap w:val="0"/>
            <w:vAlign w:val="center"/>
          </w:tcPr>
          <w:p w14:paraId="2C4195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6F4AF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DA838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AF358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47571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15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7B994B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3"/>
            <w:noWrap w:val="0"/>
            <w:vAlign w:val="center"/>
          </w:tcPr>
          <w:p w14:paraId="164193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6C9AD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86BDC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442D0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2FAF7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30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1B3683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3"/>
            <w:noWrap w:val="0"/>
            <w:vAlign w:val="center"/>
          </w:tcPr>
          <w:p w14:paraId="085CA8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C36C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E4611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3BB41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5586E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E8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FD9C1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3"/>
            <w:noWrap w:val="0"/>
            <w:vAlign w:val="center"/>
          </w:tcPr>
          <w:p w14:paraId="61F8AA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9C753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26B3A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A04DF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3391D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4A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30B7CF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3"/>
            <w:noWrap w:val="0"/>
            <w:vAlign w:val="center"/>
          </w:tcPr>
          <w:p w14:paraId="76C71C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9FFF4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76692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13B27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40542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90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A2632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3"/>
            <w:noWrap w:val="0"/>
            <w:vAlign w:val="center"/>
          </w:tcPr>
          <w:p w14:paraId="4C4145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4A483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68E73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88A1E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D9749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8F4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75D806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3"/>
            <w:noWrap w:val="0"/>
            <w:vAlign w:val="center"/>
          </w:tcPr>
          <w:p w14:paraId="10D1FE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1C906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F5F10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16CA5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A5DCF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2B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94D2C5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3"/>
            <w:noWrap w:val="0"/>
            <w:vAlign w:val="center"/>
          </w:tcPr>
          <w:p w14:paraId="6DAC81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320D7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A829D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B7ECC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4260D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46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E2BA57">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3"/>
            <w:noWrap w:val="0"/>
            <w:vAlign w:val="center"/>
          </w:tcPr>
          <w:p w14:paraId="08D710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5BD46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627B0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66226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5A8B8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709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FD417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3"/>
            <w:noWrap w:val="0"/>
            <w:vAlign w:val="center"/>
          </w:tcPr>
          <w:p w14:paraId="302B2C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70F3C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F63AE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C1AF3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4B2B5F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6B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94C984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3"/>
            <w:noWrap w:val="0"/>
            <w:vAlign w:val="center"/>
          </w:tcPr>
          <w:p w14:paraId="2CD1E0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9C037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2DAAA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E0059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FFB58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51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16A07E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3"/>
            <w:noWrap w:val="0"/>
            <w:vAlign w:val="center"/>
          </w:tcPr>
          <w:p w14:paraId="1C272E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A7F37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33D7A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FEC37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F4724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AC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9E7A0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3"/>
            <w:noWrap w:val="0"/>
            <w:vAlign w:val="center"/>
          </w:tcPr>
          <w:p w14:paraId="515043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9DBF7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92BEF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920FC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30A9C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67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FCFED2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3"/>
            <w:noWrap w:val="0"/>
            <w:vAlign w:val="center"/>
          </w:tcPr>
          <w:p w14:paraId="55748A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8A8AF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3F644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121B0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7BF08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426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9783D6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3"/>
            <w:noWrap w:val="0"/>
            <w:vAlign w:val="center"/>
          </w:tcPr>
          <w:p w14:paraId="373481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9A188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F5CA5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55D71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0EBA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5D928837">
      <w:pPr>
        <w:spacing w:line="360" w:lineRule="auto"/>
        <w:rPr>
          <w:color w:val="auto"/>
          <w:highlight w:val="none"/>
        </w:rPr>
      </w:pPr>
    </w:p>
    <w:p w14:paraId="62D9080F">
      <w:pPr>
        <w:spacing w:line="360" w:lineRule="auto"/>
        <w:rPr>
          <w:rFonts w:eastAsia="楷体_GB2312"/>
          <w:color w:val="auto"/>
          <w:highlight w:val="none"/>
        </w:rPr>
      </w:pPr>
      <w:r>
        <w:rPr>
          <w:rFonts w:hint="eastAsia" w:eastAsia="楷体_GB2312" w:cs="楷体_GB2312"/>
          <w:color w:val="auto"/>
          <w:highlight w:val="none"/>
        </w:rPr>
        <w:t>备注：</w:t>
      </w:r>
    </w:p>
    <w:p w14:paraId="4D84A388">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olor w:val="auto"/>
          <w:highlight w:val="none"/>
        </w:rPr>
        <w:t>人员注册证书信息、安全生产考核合格证书、个人业绩的信息均需从“桂建云”读取，投标人不可修改，</w:t>
      </w:r>
      <w:r>
        <w:rPr>
          <w:rFonts w:hint="default" w:eastAsia="楷体_GB2312"/>
          <w:color w:val="auto"/>
          <w:highlight w:val="none"/>
        </w:rPr>
        <w:t>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olor w:val="auto"/>
          <w:highlight w:val="none"/>
        </w:rPr>
        <w:t>投标人以上信息未通过“桂建云”读取的，在评审时不予承认。</w:t>
      </w:r>
    </w:p>
    <w:p w14:paraId="1D10B328">
      <w:pPr>
        <w:spacing w:line="360" w:lineRule="auto"/>
        <w:ind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45F5132F">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2743FA6">
      <w:pPr>
        <w:spacing w:line="360" w:lineRule="auto"/>
        <w:ind w:firstLine="420" w:firstLineChars="200"/>
        <w:rPr>
          <w:rFonts w:hint="eastAsia" w:eastAsia="楷体_GB2312"/>
          <w:color w:val="auto"/>
          <w:highlight w:val="none"/>
        </w:rPr>
      </w:pPr>
    </w:p>
    <w:p w14:paraId="520647F0">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9.</w:t>
      </w:r>
      <w:r>
        <w:rPr>
          <w:rFonts w:hint="eastAsia" w:cs="宋体"/>
          <w:b/>
          <w:bCs/>
          <w:color w:val="auto"/>
          <w:sz w:val="28"/>
          <w:szCs w:val="28"/>
          <w:highlight w:val="none"/>
        </w:rPr>
        <w:t>项目管理机构配备情况表</w:t>
      </w:r>
    </w:p>
    <w:p w14:paraId="7CFEA6DF">
      <w:pPr>
        <w:jc w:val="center"/>
        <w:rPr>
          <w:rFonts w:ascii="宋体" w:hAnsi="宋体"/>
          <w:b/>
          <w:color w:val="auto"/>
          <w:sz w:val="28"/>
          <w:szCs w:val="28"/>
          <w:highlight w:val="none"/>
        </w:rPr>
      </w:pPr>
      <w:r>
        <w:rPr>
          <w:rFonts w:hint="eastAsia" w:ascii="宋体" w:hAnsi="宋体"/>
          <w:b/>
          <w:color w:val="auto"/>
          <w:sz w:val="28"/>
          <w:szCs w:val="28"/>
          <w:highlight w:val="none"/>
        </w:rPr>
        <w:t>项目</w:t>
      </w:r>
      <w:r>
        <w:rPr>
          <w:rFonts w:ascii="宋体" w:hAnsi="宋体"/>
          <w:b/>
          <w:color w:val="auto"/>
          <w:sz w:val="28"/>
          <w:szCs w:val="28"/>
          <w:highlight w:val="none"/>
        </w:rPr>
        <w:t>管理机构配备情况表</w:t>
      </w:r>
    </w:p>
    <w:p w14:paraId="793FC6AA">
      <w:pPr>
        <w:jc w:val="center"/>
        <w:rPr>
          <w:rFonts w:hint="eastAsia" w:ascii="宋体" w:hAnsi="宋体"/>
          <w:b/>
          <w:color w:val="auto"/>
          <w:highlight w:val="none"/>
        </w:rPr>
      </w:pPr>
      <w:r>
        <w:rPr>
          <w:rFonts w:hint="eastAsia" w:ascii="宋体" w:hAnsi="宋体"/>
          <w:b/>
          <w:color w:val="auto"/>
          <w:highlight w:val="none"/>
          <w:lang w:eastAsia="zh-CN"/>
        </w:rPr>
        <w:t>（</w:t>
      </w:r>
      <w:r>
        <w:rPr>
          <w:rFonts w:hint="eastAsia" w:ascii="宋体" w:hAnsi="宋体"/>
          <w:b/>
          <w:color w:val="auto"/>
          <w:highlight w:val="none"/>
        </w:rPr>
        <w:t>含项目经理、技术负责人、专职安全生产管理人员和主要管理人员情况</w:t>
      </w:r>
      <w:r>
        <w:rPr>
          <w:rFonts w:hint="eastAsia" w:ascii="宋体" w:hAnsi="宋体"/>
          <w:b/>
          <w:color w:val="auto"/>
          <w:highlight w:val="none"/>
          <w:lang w:eastAsia="zh-CN"/>
        </w:rPr>
        <w:t>）</w:t>
      </w:r>
    </w:p>
    <w:p w14:paraId="0ED94858">
      <w:pPr>
        <w:pStyle w:val="136"/>
        <w:rPr>
          <w:color w:val="auto"/>
          <w:highlight w:val="none"/>
        </w:rPr>
      </w:pPr>
      <w:r>
        <w:rPr>
          <w:color w:val="auto"/>
          <w:highlight w:val="none"/>
          <w:u w:val="single"/>
        </w:rPr>
        <w:t xml:space="preserve">       </w:t>
      </w:r>
      <w:r>
        <w:rPr>
          <w:rFonts w:hint="eastAsia"/>
          <w:color w:val="auto"/>
          <w:highlight w:val="none"/>
          <w:u w:val="single"/>
        </w:rPr>
        <w:t>（招标项目名称）</w:t>
      </w:r>
      <w:r>
        <w:rPr>
          <w:color w:val="auto"/>
          <w:highlight w:val="none"/>
          <w:u w:val="single"/>
        </w:rPr>
        <w:t xml:space="preserve">     </w:t>
      </w:r>
      <w:r>
        <w:rPr>
          <w:color w:val="auto"/>
          <w:highlight w:val="none"/>
        </w:rPr>
        <w:t xml:space="preserve"> 工程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95"/>
        <w:gridCol w:w="833"/>
        <w:gridCol w:w="767"/>
        <w:gridCol w:w="731"/>
        <w:gridCol w:w="788"/>
        <w:gridCol w:w="687"/>
        <w:gridCol w:w="800"/>
        <w:gridCol w:w="550"/>
        <w:gridCol w:w="1002"/>
        <w:gridCol w:w="1266"/>
        <w:gridCol w:w="850"/>
      </w:tblGrid>
      <w:tr w14:paraId="2673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12308B6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岗位</w:t>
            </w:r>
          </w:p>
        </w:tc>
        <w:tc>
          <w:tcPr>
            <w:tcW w:w="695" w:type="dxa"/>
            <w:vMerge w:val="restart"/>
            <w:noWrap w:val="0"/>
            <w:vAlign w:val="center"/>
          </w:tcPr>
          <w:p w14:paraId="18D2D13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833" w:type="dxa"/>
            <w:vMerge w:val="restart"/>
            <w:noWrap w:val="0"/>
            <w:vAlign w:val="center"/>
          </w:tcPr>
          <w:p w14:paraId="78105619">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身份证号</w:t>
            </w:r>
          </w:p>
        </w:tc>
        <w:tc>
          <w:tcPr>
            <w:tcW w:w="767" w:type="dxa"/>
            <w:vMerge w:val="restart"/>
            <w:noWrap w:val="0"/>
            <w:vAlign w:val="center"/>
          </w:tcPr>
          <w:p w14:paraId="7EB61C3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3556" w:type="dxa"/>
            <w:gridSpan w:val="5"/>
            <w:noWrap w:val="0"/>
            <w:vAlign w:val="center"/>
          </w:tcPr>
          <w:p w14:paraId="61E828A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执业或职业资格</w:t>
            </w:r>
          </w:p>
        </w:tc>
        <w:tc>
          <w:tcPr>
            <w:tcW w:w="2268" w:type="dxa"/>
            <w:gridSpan w:val="2"/>
            <w:noWrap w:val="0"/>
            <w:vAlign w:val="center"/>
          </w:tcPr>
          <w:p w14:paraId="7F1435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承担完工</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在建工程情况</w:t>
            </w:r>
          </w:p>
        </w:tc>
        <w:tc>
          <w:tcPr>
            <w:tcW w:w="850" w:type="dxa"/>
            <w:vMerge w:val="restart"/>
            <w:noWrap w:val="0"/>
            <w:vAlign w:val="top"/>
          </w:tcPr>
          <w:p w14:paraId="5AEE13E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r>
      <w:tr w14:paraId="5CA2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restart"/>
            <w:noWrap w:val="0"/>
            <w:vAlign w:val="center"/>
          </w:tcPr>
          <w:p w14:paraId="5359353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vMerge w:val="restart"/>
            <w:noWrap w:val="0"/>
            <w:vAlign w:val="center"/>
          </w:tcPr>
          <w:p w14:paraId="27E421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vMerge w:val="restart"/>
            <w:noWrap w:val="0"/>
            <w:vAlign w:val="center"/>
          </w:tcPr>
          <w:p w14:paraId="4AAB0FA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vMerge w:val="restart"/>
            <w:noWrap w:val="0"/>
            <w:vAlign w:val="center"/>
          </w:tcPr>
          <w:p w14:paraId="66F9DC4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607DBC1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证书名称</w:t>
            </w:r>
          </w:p>
        </w:tc>
        <w:tc>
          <w:tcPr>
            <w:tcW w:w="788" w:type="dxa"/>
            <w:noWrap w:val="0"/>
            <w:vAlign w:val="center"/>
          </w:tcPr>
          <w:p w14:paraId="69C78FB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687" w:type="dxa"/>
            <w:noWrap w:val="0"/>
            <w:vAlign w:val="center"/>
          </w:tcPr>
          <w:p w14:paraId="250A5BD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证号</w:t>
            </w:r>
          </w:p>
        </w:tc>
        <w:tc>
          <w:tcPr>
            <w:tcW w:w="800" w:type="dxa"/>
            <w:noWrap w:val="0"/>
            <w:vAlign w:val="center"/>
          </w:tcPr>
          <w:p w14:paraId="20596386">
            <w:pPr>
              <w:keepNext w:val="0"/>
              <w:keepLines w:val="0"/>
              <w:suppressLineNumbers w:val="0"/>
              <w:spacing w:before="0" w:beforeAutospacing="0" w:after="0" w:afterAutospacing="0"/>
              <w:ind w:left="223" w:right="0" w:hanging="222" w:hangingChars="106"/>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证书有效期</w:t>
            </w:r>
          </w:p>
        </w:tc>
        <w:tc>
          <w:tcPr>
            <w:tcW w:w="550" w:type="dxa"/>
            <w:noWrap w:val="0"/>
            <w:vAlign w:val="center"/>
          </w:tcPr>
          <w:p w14:paraId="474F5A4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专业</w:t>
            </w:r>
          </w:p>
        </w:tc>
        <w:tc>
          <w:tcPr>
            <w:tcW w:w="1002" w:type="dxa"/>
            <w:noWrap w:val="0"/>
            <w:vAlign w:val="center"/>
          </w:tcPr>
          <w:p w14:paraId="39F1C1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完工/在建</w:t>
            </w:r>
          </w:p>
        </w:tc>
        <w:tc>
          <w:tcPr>
            <w:tcW w:w="1266" w:type="dxa"/>
            <w:noWrap w:val="0"/>
            <w:vAlign w:val="center"/>
          </w:tcPr>
          <w:p w14:paraId="5201C4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主要项目</w:t>
            </w:r>
          </w:p>
          <w:p w14:paraId="1E2D47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名称</w:t>
            </w:r>
          </w:p>
        </w:tc>
        <w:tc>
          <w:tcPr>
            <w:tcW w:w="850" w:type="dxa"/>
            <w:vMerge w:val="restart"/>
            <w:noWrap w:val="0"/>
            <w:vAlign w:val="top"/>
          </w:tcPr>
          <w:p w14:paraId="5D9F0F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25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88A3EC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17D72F3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5864C2D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52C6591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69EF310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3508209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62EE3C6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5C9E8C4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1ED53B4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72656FF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77A2C43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3101FAD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6A46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FBD2FA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4185F06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7EA76BE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615927C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66A8286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59547A7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1619E2E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7900F87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1E6BD26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1BAB981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1A0792B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0ABF553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59DC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7763DD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47D7D19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587B95C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10EEFF8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1FF939C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14FA42D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2F0C511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005A204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085B3D7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2B8C940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13DA61D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12444B6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5EDA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5E339C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1D44ED4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3555B15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59C2FA2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74FA465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7F1B195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0CC7640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156683E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0C268C0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39D3709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56416CE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3F0161C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69F6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730" w:type="dxa"/>
            <w:gridSpan w:val="12"/>
            <w:noWrap w:val="0"/>
            <w:vAlign w:val="center"/>
          </w:tcPr>
          <w:p w14:paraId="668EF09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14:paraId="08073256">
      <w:pPr>
        <w:spacing w:line="360" w:lineRule="auto"/>
        <w:rPr>
          <w:rFonts w:eastAsia="楷体_GB2312"/>
          <w:color w:val="auto"/>
          <w:highlight w:val="none"/>
        </w:rPr>
      </w:pPr>
      <w:r>
        <w:rPr>
          <w:rFonts w:hint="eastAsia" w:eastAsia="楷体_GB2312" w:cs="楷体_GB2312"/>
          <w:color w:val="auto"/>
          <w:highlight w:val="none"/>
        </w:rPr>
        <w:t>备注：</w:t>
      </w:r>
    </w:p>
    <w:p w14:paraId="3BD91C2F">
      <w:pPr>
        <w:numPr>
          <w:ilvl w:val="0"/>
          <w:numId w:val="7"/>
        </w:numPr>
        <w:spacing w:line="360" w:lineRule="auto"/>
        <w:ind w:firstLine="420" w:firstLineChars="200"/>
        <w:rPr>
          <w:rFonts w:hint="eastAsia" w:eastAsia="楷体_GB2312" w:cs="楷体_GB2312"/>
          <w:color w:val="auto"/>
          <w:highlight w:val="none"/>
        </w:rPr>
      </w:pPr>
      <w:r>
        <w:rPr>
          <w:rFonts w:hint="eastAsia" w:eastAsia="楷体_GB2312" w:cs="楷体_GB2312"/>
          <w:color w:val="auto"/>
          <w:highlight w:val="none"/>
        </w:rPr>
        <w:t>近1个月（  年  月至投标截止时间止任意一个月社保）在现任职单位依法缴纳社会保险的证明材料的扫描件（社保证明材料应清晰显示单位名称）（已退休未满65岁的项目经理不用提供社保，但应附退休证明文件的扫描件，且建造师等注册证书注册单位与投标单位一致）并与“桂建云”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61518B71">
      <w:pPr>
        <w:numPr>
          <w:ilvl w:val="0"/>
          <w:numId w:val="7"/>
        </w:numPr>
        <w:spacing w:line="360" w:lineRule="auto"/>
        <w:ind w:firstLine="420" w:firstLineChars="200"/>
        <w:rPr>
          <w:rFonts w:hint="eastAsia" w:eastAsia="楷体_GB2312" w:cs="楷体_GB2312"/>
          <w:color w:val="auto"/>
          <w:highlight w:val="none"/>
        </w:rPr>
      </w:pPr>
      <w:r>
        <w:rPr>
          <w:rFonts w:hint="eastAsia" w:ascii="Times New Roman" w:hAnsi="Times New Roman" w:eastAsia="楷体_GB2312" w:cs="楷体_GB2312"/>
          <w:b w:val="0"/>
          <w:color w:val="auto"/>
          <w:highlight w:val="none"/>
        </w:rPr>
        <w:t>专职投标员</w:t>
      </w:r>
      <w:r>
        <w:rPr>
          <w:rFonts w:hint="eastAsia" w:ascii="Times New Roman" w:hAnsi="Times New Roman" w:eastAsia="楷体_GB2312" w:cs="楷体_GB2312"/>
          <w:b w:val="0"/>
          <w:color w:val="auto"/>
          <w:highlight w:val="none"/>
          <w:lang w:eastAsia="zh-CN"/>
        </w:rPr>
        <w:t>只需要填写岗位、姓名、身份证号。</w:t>
      </w:r>
    </w:p>
    <w:p w14:paraId="54BB8CB2">
      <w:pPr>
        <w:pStyle w:val="135"/>
        <w:spacing w:line="360" w:lineRule="auto"/>
        <w:jc w:val="left"/>
        <w:outlineLvl w:val="0"/>
        <w:rPr>
          <w:rFonts w:hint="eastAsia" w:cs="宋体"/>
          <w:b/>
          <w:bCs/>
          <w:color w:val="auto"/>
          <w:sz w:val="28"/>
          <w:szCs w:val="28"/>
          <w:highlight w:val="none"/>
          <w:lang w:val="en-US" w:eastAsia="zh-CN"/>
        </w:rPr>
      </w:pPr>
    </w:p>
    <w:p w14:paraId="6E4163B0">
      <w:pPr>
        <w:pStyle w:val="135"/>
        <w:spacing w:line="360" w:lineRule="auto"/>
        <w:jc w:val="left"/>
        <w:outlineLvl w:val="0"/>
        <w:rPr>
          <w:rFonts w:hint="eastAsia" w:cs="宋体"/>
          <w:b/>
          <w:bCs/>
          <w:color w:val="auto"/>
          <w:sz w:val="28"/>
          <w:szCs w:val="28"/>
          <w:highlight w:val="none"/>
          <w:lang w:val="en-US" w:eastAsia="zh-CN"/>
        </w:rPr>
      </w:pPr>
    </w:p>
    <w:p w14:paraId="418FBB24">
      <w:pPr>
        <w:pStyle w:val="135"/>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10.</w:t>
      </w:r>
      <w:r>
        <w:rPr>
          <w:rFonts w:hint="eastAsia" w:cs="宋体"/>
          <w:b/>
          <w:bCs/>
          <w:color w:val="auto"/>
          <w:sz w:val="28"/>
          <w:szCs w:val="28"/>
          <w:highlight w:val="none"/>
        </w:rPr>
        <w:t>资格审查需要的其他材料：拟投入施工机械设备情况表、企业</w:t>
      </w:r>
      <w:r>
        <w:rPr>
          <w:rFonts w:cs="宋体"/>
          <w:b/>
          <w:bCs/>
          <w:color w:val="auto"/>
          <w:sz w:val="28"/>
          <w:szCs w:val="28"/>
          <w:highlight w:val="none"/>
        </w:rPr>
        <w:t>___年___月至</w:t>
      </w:r>
      <w:r>
        <w:rPr>
          <w:rFonts w:hint="eastAsia" w:cs="宋体"/>
          <w:b/>
          <w:bCs/>
          <w:color w:val="auto"/>
          <w:sz w:val="28"/>
          <w:szCs w:val="28"/>
          <w:highlight w:val="none"/>
        </w:rPr>
        <w:t>投标截止日期止（一般为近三年）已完成类似项目一览表（如有）、采用建筑模型（BIM）技术项目业绩（如有）、采用装配式建筑项目业绩（如有）、企业</w:t>
      </w:r>
      <w:r>
        <w:rPr>
          <w:rFonts w:cs="宋体"/>
          <w:b/>
          <w:bCs/>
          <w:color w:val="auto"/>
          <w:sz w:val="28"/>
          <w:szCs w:val="28"/>
          <w:highlight w:val="none"/>
        </w:rPr>
        <w:t>___年至___年</w:t>
      </w:r>
      <w:r>
        <w:rPr>
          <w:rFonts w:hint="eastAsia" w:cs="宋体"/>
          <w:b/>
          <w:bCs/>
          <w:color w:val="auto"/>
          <w:sz w:val="28"/>
          <w:szCs w:val="28"/>
          <w:highlight w:val="none"/>
        </w:rPr>
        <w:t>（一般为近三年）财务状况表（</w:t>
      </w:r>
      <w:r>
        <w:rPr>
          <w:rFonts w:hint="eastAsia" w:cs="宋体"/>
          <w:b/>
          <w:bCs/>
          <w:color w:val="auto"/>
          <w:sz w:val="28"/>
          <w:szCs w:val="28"/>
          <w:highlight w:val="none"/>
          <w:lang w:eastAsia="zh-CN"/>
        </w:rPr>
        <w:t>联合体投标的联合体各方均须提供</w:t>
      </w:r>
      <w:r>
        <w:rPr>
          <w:rFonts w:hint="eastAsia" w:cs="宋体"/>
          <w:b/>
          <w:bCs/>
          <w:color w:val="auto"/>
          <w:sz w:val="28"/>
          <w:szCs w:val="28"/>
          <w:highlight w:val="none"/>
        </w:rPr>
        <w:t>）、《中小企业声明函》或者《残疾人福利性单位声明函》或者省级以上监狱管理局、戒毒管理局（含新疆生产建设兵团）出具的属于</w:t>
      </w:r>
      <w:r>
        <w:rPr>
          <w:rFonts w:hint="eastAsia" w:cs="宋体"/>
          <w:b/>
          <w:bCs/>
          <w:color w:val="auto"/>
          <w:sz w:val="28"/>
          <w:szCs w:val="28"/>
          <w:highlight w:val="none"/>
          <w:lang w:eastAsia="zh-CN"/>
        </w:rPr>
        <w:t>监狱企业的证明文件扫描件（全部或部分预留份额专门面向中小企业采购的项目须提供</w:t>
      </w:r>
      <w:r>
        <w:rPr>
          <w:rFonts w:hint="eastAsia" w:cs="宋体"/>
          <w:b/>
          <w:bCs/>
          <w:color w:val="auto"/>
          <w:sz w:val="28"/>
          <w:szCs w:val="28"/>
          <w:highlight w:val="none"/>
        </w:rPr>
        <w:t>）等。</w:t>
      </w:r>
    </w:p>
    <w:p w14:paraId="7535E84F">
      <w:pPr>
        <w:spacing w:before="120" w:beforeLines="50" w:after="240" w:afterLines="100" w:line="440" w:lineRule="exact"/>
        <w:rPr>
          <w:b/>
          <w:bCs/>
          <w:color w:val="auto"/>
          <w:sz w:val="28"/>
          <w:szCs w:val="28"/>
          <w:highlight w:val="none"/>
        </w:rPr>
      </w:pPr>
      <w:r>
        <w:rPr>
          <w:color w:val="auto"/>
          <w:highlight w:val="none"/>
        </w:rPr>
        <w:br w:type="page"/>
      </w:r>
      <w:r>
        <w:rPr>
          <w:rFonts w:hint="eastAsia" w:cs="宋体"/>
          <w:b/>
          <w:bCs/>
          <w:color w:val="auto"/>
          <w:sz w:val="28"/>
          <w:szCs w:val="28"/>
          <w:highlight w:val="none"/>
        </w:rPr>
        <w:t>附表：</w:t>
      </w:r>
    </w:p>
    <w:p w14:paraId="35C403FE">
      <w:pPr>
        <w:tabs>
          <w:tab w:val="left" w:pos="826"/>
        </w:tabs>
        <w:snapToGrid w:val="0"/>
        <w:ind w:firstLine="482" w:firstLineChars="200"/>
        <w:rPr>
          <w:b/>
          <w:bCs/>
          <w:color w:val="auto"/>
          <w:sz w:val="24"/>
          <w:szCs w:val="24"/>
          <w:highlight w:val="none"/>
        </w:rPr>
      </w:pPr>
      <w:r>
        <w:rPr>
          <w:rFonts w:hint="eastAsia" w:cs="宋体"/>
          <w:b/>
          <w:bCs/>
          <w:color w:val="auto"/>
          <w:sz w:val="24"/>
          <w:szCs w:val="24"/>
          <w:highlight w:val="none"/>
        </w:rPr>
        <w:t>（</w:t>
      </w:r>
      <w:r>
        <w:rPr>
          <w:rFonts w:hint="eastAsia"/>
          <w:b/>
          <w:bCs/>
          <w:color w:val="auto"/>
          <w:sz w:val="24"/>
          <w:szCs w:val="24"/>
          <w:highlight w:val="none"/>
        </w:rPr>
        <w:t>1</w:t>
      </w:r>
      <w:r>
        <w:rPr>
          <w:rFonts w:hint="eastAsia" w:cs="宋体"/>
          <w:b/>
          <w:bCs/>
          <w:color w:val="auto"/>
          <w:sz w:val="24"/>
          <w:szCs w:val="24"/>
          <w:highlight w:val="none"/>
        </w:rPr>
        <w:t>）拟投入施工机械设备情况表</w:t>
      </w:r>
    </w:p>
    <w:p w14:paraId="7575C488">
      <w:pPr>
        <w:rPr>
          <w:color w:val="auto"/>
          <w:highlight w:val="none"/>
        </w:rPr>
      </w:pPr>
      <w:r>
        <w:rPr>
          <w:rFonts w:hint="eastAsia" w:cs="宋体"/>
          <w:color w:val="auto"/>
          <w:highlight w:val="none"/>
        </w:rPr>
        <w:t>附表一：拟投入本工程的主要施工设备表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0D7B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277FE0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1BD0DB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设备名称</w:t>
            </w:r>
          </w:p>
        </w:tc>
        <w:tc>
          <w:tcPr>
            <w:tcW w:w="851" w:type="dxa"/>
            <w:noWrap w:val="0"/>
            <w:vAlign w:val="center"/>
          </w:tcPr>
          <w:p w14:paraId="5DD97E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16A3E3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281AA3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2CCD9B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5A8629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851" w:type="dxa"/>
            <w:noWrap w:val="0"/>
            <w:vAlign w:val="center"/>
          </w:tcPr>
          <w:p w14:paraId="0EFB2B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w:t>
            </w:r>
          </w:p>
          <w:p w14:paraId="4746BF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年份</w:t>
            </w:r>
          </w:p>
        </w:tc>
        <w:tc>
          <w:tcPr>
            <w:tcW w:w="1134" w:type="dxa"/>
            <w:noWrap w:val="0"/>
            <w:vAlign w:val="center"/>
          </w:tcPr>
          <w:p w14:paraId="3243FD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额定功率</w:t>
            </w:r>
          </w:p>
          <w:p w14:paraId="7BCF2B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default" w:ascii="Calibri" w:hAnsi="Calibri" w:eastAsia="宋体" w:cs="Times New Roman"/>
                <w:color w:val="auto"/>
                <w:highlight w:val="none"/>
              </w:rPr>
              <w:t>KW</w:t>
            </w:r>
            <w:r>
              <w:rPr>
                <w:rFonts w:hint="eastAsia" w:ascii="Calibri" w:hAnsi="Calibri" w:cs="Times New Roman"/>
                <w:color w:val="auto"/>
                <w:highlight w:val="none"/>
                <w:lang w:eastAsia="zh-CN"/>
              </w:rPr>
              <w:t>)</w:t>
            </w:r>
          </w:p>
        </w:tc>
        <w:tc>
          <w:tcPr>
            <w:tcW w:w="992" w:type="dxa"/>
            <w:noWrap w:val="0"/>
            <w:vAlign w:val="center"/>
          </w:tcPr>
          <w:p w14:paraId="3B77F2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生产</w:t>
            </w:r>
          </w:p>
          <w:p w14:paraId="2953D0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能力</w:t>
            </w:r>
          </w:p>
        </w:tc>
        <w:tc>
          <w:tcPr>
            <w:tcW w:w="1134" w:type="dxa"/>
            <w:noWrap w:val="0"/>
            <w:vAlign w:val="center"/>
          </w:tcPr>
          <w:p w14:paraId="7F0954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用于施</w:t>
            </w:r>
          </w:p>
          <w:p w14:paraId="7786B8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工部位</w:t>
            </w:r>
          </w:p>
        </w:tc>
        <w:tc>
          <w:tcPr>
            <w:tcW w:w="992" w:type="dxa"/>
            <w:noWrap w:val="0"/>
            <w:vAlign w:val="center"/>
          </w:tcPr>
          <w:p w14:paraId="45FAF3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61ED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0283F8A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595B87F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top"/>
          </w:tcPr>
          <w:p w14:paraId="15AE879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25876D7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7EDB2B7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3799BDB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2E8680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002FE90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4774F4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01647A7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428D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2A7E18A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17CEC4A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4CB769A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073879E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1FB8B02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28F2C41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617E52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2973E42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7A885F0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092AFD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32C2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71CFE9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381A33D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4ED34A3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2A7DAD2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4D70B90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4CEBB03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3571BD8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1595E67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7C7CC69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72B1A2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5E1C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05CEE5D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1056829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21F0BB3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5254A3F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4BA2E8C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3A23BD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6A5DF11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7F18F38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7D1E4D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1F3E513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08F1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7439CA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5EC56E2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446F915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32E063A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779967E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0EF3459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495154A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5E0CB63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30FBACA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4DFD85F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bl>
    <w:p w14:paraId="1CEC1FB2">
      <w:pPr>
        <w:rPr>
          <w:rFonts w:hint="eastAsia" w:eastAsia="楷体_GB2312"/>
          <w:color w:val="auto"/>
          <w:highlight w:val="none"/>
        </w:rPr>
      </w:pPr>
      <w:r>
        <w:rPr>
          <w:rFonts w:hint="eastAsia" w:eastAsia="楷体_GB2312"/>
          <w:color w:val="auto"/>
          <w:highlight w:val="none"/>
        </w:rPr>
        <w:t>备注：</w:t>
      </w:r>
    </w:p>
    <w:p w14:paraId="695C6597">
      <w:pPr>
        <w:spacing w:line="240" w:lineRule="auto"/>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3E73E52B">
      <w:pPr>
        <w:rPr>
          <w:color w:val="auto"/>
          <w:highlight w:val="none"/>
        </w:rPr>
      </w:pPr>
    </w:p>
    <w:p w14:paraId="6D9CEFF2">
      <w:pPr>
        <w:rPr>
          <w:color w:val="auto"/>
          <w:highlight w:val="none"/>
        </w:rPr>
      </w:pPr>
    </w:p>
    <w:p w14:paraId="79D77DD0">
      <w:pPr>
        <w:rPr>
          <w:color w:val="auto"/>
          <w:highlight w:val="none"/>
        </w:rPr>
      </w:pPr>
      <w:r>
        <w:rPr>
          <w:rFonts w:hint="eastAsia" w:cs="宋体"/>
          <w:color w:val="auto"/>
          <w:highlight w:val="none"/>
        </w:rPr>
        <w:t>附表二：拟配备本工程的试验和检测仪器设备表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4E04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C5BBD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3EFCA7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仪器设备名称</w:t>
            </w:r>
          </w:p>
        </w:tc>
        <w:tc>
          <w:tcPr>
            <w:tcW w:w="851" w:type="dxa"/>
            <w:noWrap w:val="0"/>
            <w:vAlign w:val="center"/>
          </w:tcPr>
          <w:p w14:paraId="55A26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0BB8A8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09E9E3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7AF5FB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37029E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1134" w:type="dxa"/>
            <w:noWrap w:val="0"/>
            <w:vAlign w:val="center"/>
          </w:tcPr>
          <w:p w14:paraId="216962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制造年份</w:t>
            </w:r>
          </w:p>
        </w:tc>
        <w:tc>
          <w:tcPr>
            <w:tcW w:w="1276" w:type="dxa"/>
            <w:noWrap w:val="0"/>
            <w:vAlign w:val="center"/>
          </w:tcPr>
          <w:p w14:paraId="28B8B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已使用</w:t>
            </w:r>
          </w:p>
          <w:p w14:paraId="4DDB90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台时数</w:t>
            </w:r>
          </w:p>
        </w:tc>
        <w:tc>
          <w:tcPr>
            <w:tcW w:w="1134" w:type="dxa"/>
            <w:noWrap w:val="0"/>
            <w:vAlign w:val="center"/>
          </w:tcPr>
          <w:p w14:paraId="546864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1559" w:type="dxa"/>
            <w:noWrap w:val="0"/>
            <w:vAlign w:val="center"/>
          </w:tcPr>
          <w:p w14:paraId="2FB12E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46A9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9D85FE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44A89DD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1260D11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3411E6C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3056EDA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78F0903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037A410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77C4DD7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772380F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2F5E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91B462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25C6799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7EEB214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2694CF3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64BC8D7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5B879F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1934969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EFAA56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4E9601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4A9D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BFBC830">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1F78ED8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238FF99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3DCB5E2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3434077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12ABE8A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5E4DA51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5385EE1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6320659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527C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8FEA77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24FC590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39BE651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534B79B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65F8E4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3F3F0D8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3B89A88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5C14A89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9B1035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7D78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759EAD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32C3B73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4DF0244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6044C0B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87204B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762D1157">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76547B9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6DCDE27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BFB1C8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bl>
    <w:p w14:paraId="3B419DA8">
      <w:pPr>
        <w:rPr>
          <w:color w:val="auto"/>
          <w:highlight w:val="none"/>
        </w:rPr>
      </w:pPr>
    </w:p>
    <w:p w14:paraId="30F02834">
      <w:pPr>
        <w:rPr>
          <w:rFonts w:hint="eastAsia" w:eastAsia="楷体_GB2312"/>
          <w:color w:val="auto"/>
          <w:highlight w:val="none"/>
        </w:rPr>
      </w:pPr>
      <w:r>
        <w:rPr>
          <w:rFonts w:hint="eastAsia" w:eastAsia="楷体_GB2312"/>
          <w:color w:val="auto"/>
          <w:highlight w:val="none"/>
        </w:rPr>
        <w:t>备注：</w:t>
      </w:r>
    </w:p>
    <w:p w14:paraId="1C4C91A9">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29B49DEA">
      <w:pPr>
        <w:spacing w:before="120" w:beforeLines="50" w:after="120" w:afterLines="50" w:line="440" w:lineRule="exact"/>
        <w:ind w:left="772" w:leftChars="100" w:hanging="562" w:hangingChars="200"/>
        <w:jc w:val="center"/>
        <w:rPr>
          <w:b/>
          <w:bCs/>
          <w:color w:val="auto"/>
          <w:sz w:val="28"/>
          <w:szCs w:val="28"/>
          <w:highlight w:val="none"/>
        </w:rPr>
      </w:pPr>
    </w:p>
    <w:p w14:paraId="0E634C09">
      <w:pPr>
        <w:spacing w:before="120" w:beforeLines="50" w:after="120" w:afterLines="50" w:line="440" w:lineRule="exact"/>
        <w:ind w:left="772" w:leftChars="100" w:hanging="562" w:hangingChars="200"/>
        <w:jc w:val="center"/>
        <w:rPr>
          <w:b/>
          <w:bCs/>
          <w:color w:val="auto"/>
          <w:sz w:val="28"/>
          <w:szCs w:val="28"/>
          <w:highlight w:val="none"/>
        </w:rPr>
        <w:sectPr>
          <w:pgSz w:w="11907" w:h="16840"/>
          <w:pgMar w:top="1440" w:right="1440" w:bottom="1440" w:left="1797" w:header="851" w:footer="851" w:gutter="0"/>
          <w:cols w:space="720" w:num="1"/>
          <w:docGrid w:linePitch="312" w:charSpace="0"/>
        </w:sectPr>
      </w:pPr>
    </w:p>
    <w:p w14:paraId="08C89BBB">
      <w:pPr>
        <w:tabs>
          <w:tab w:val="left" w:pos="826"/>
        </w:tabs>
        <w:snapToGrid w:val="0"/>
        <w:rPr>
          <w:rFonts w:cs="宋体"/>
          <w:b/>
          <w:bCs/>
          <w:color w:val="auto"/>
          <w:sz w:val="24"/>
          <w:szCs w:val="24"/>
          <w:highlight w:val="none"/>
        </w:rPr>
      </w:pPr>
      <w:r>
        <w:rPr>
          <w:rFonts w:hint="eastAsia" w:cs="宋体"/>
          <w:b/>
          <w:bCs/>
          <w:color w:val="auto"/>
          <w:sz w:val="24"/>
          <w:szCs w:val="24"/>
          <w:highlight w:val="none"/>
        </w:rPr>
        <w:t>（2）企业</w:t>
      </w:r>
      <w:r>
        <w:rPr>
          <w:rFonts w:cs="宋体"/>
          <w:b/>
          <w:bCs/>
          <w:color w:val="auto"/>
          <w:sz w:val="24"/>
          <w:szCs w:val="24"/>
          <w:highlight w:val="none"/>
        </w:rPr>
        <w:t>___年___月至</w:t>
      </w:r>
      <w:r>
        <w:rPr>
          <w:rFonts w:hint="eastAsia" w:cs="宋体"/>
          <w:b/>
          <w:bCs/>
          <w:color w:val="auto"/>
          <w:sz w:val="24"/>
          <w:szCs w:val="24"/>
          <w:highlight w:val="none"/>
        </w:rPr>
        <w:t>投标截止日期止（一般为近三年）已完成类似工程一览表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41F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150E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2C43BC9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311131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77D1C8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4FE01F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07B1A8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3A5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91D4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1CC0B8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34BB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32EC0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8906D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07F66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30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7EB7B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1EACB4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32EF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17999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5924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9827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97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D2FD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3FF5FF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62676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FA47F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75FA7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9BBF5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97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6C0A7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50F3AF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671ED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8330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95BE2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FC7D3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AF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B323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023B42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BD8C9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D3EB2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36BAC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45AA9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E1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C929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38E015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9488E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F98BA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922E1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0B5BB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D5A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E8FFA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750567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B6CE8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F6EE0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BD039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A9B4D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C4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DE68E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3D9E3E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F9A33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9FB1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554C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EC969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3E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41BBB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10A976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06168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D0957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ABB09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5EA3A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01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DD52C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28B3DA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15E41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F311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203BC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13E9B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59B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BB112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1AFCED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371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993E2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92FD4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42819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8B9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31C46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2FD9AE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5A42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3B252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69782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7C58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E6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7F3CC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28E0C0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3760B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95C03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41D38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40150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A6B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27C91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529E51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51EC3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D374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10ED1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B4D55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35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2F60E6">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400943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D2C74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85758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61BD5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C83DA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C3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4C52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3E5453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895E0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B9D52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0ECDE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D415B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3A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206C0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3FB828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5AD0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F5FA9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E10D1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E77AA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0B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0DB936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28646A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0B3C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0B8B4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38D88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0D6C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90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D2665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722AB3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192E8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81FEB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0F4AA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FBBD7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A50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1445D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417AC6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94AF4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DE4A8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C0C5D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DBA1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5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17295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0CB535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EEE4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08C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B6225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9780E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45F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A16CF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4E103C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EEBDD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0F715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E7B22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F2BF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422640BE">
      <w:pPr>
        <w:rPr>
          <w:rFonts w:hint="eastAsia" w:ascii="方正楷体_GBK" w:hAnsi="方正楷体_GBK" w:eastAsia="方正楷体_GBK" w:cs="方正楷体_GBK"/>
          <w:color w:val="auto"/>
          <w:highlight w:val="none"/>
        </w:rPr>
      </w:pPr>
      <w:r>
        <w:rPr>
          <w:rFonts w:hint="eastAsia" w:eastAsia="楷体_GB2312"/>
          <w:color w:val="auto"/>
          <w:highlight w:val="none"/>
        </w:rPr>
        <w:t>备</w:t>
      </w:r>
      <w:r>
        <w:rPr>
          <w:rFonts w:hint="eastAsia" w:ascii="方正楷体_GBK" w:hAnsi="方正楷体_GBK" w:eastAsia="方正楷体_GBK" w:cs="方正楷体_GBK"/>
          <w:color w:val="auto"/>
          <w:highlight w:val="none"/>
        </w:rPr>
        <w:t>注：</w:t>
      </w:r>
    </w:p>
    <w:p w14:paraId="161A1DE1">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vanish/>
          <w:color w:val="auto"/>
          <w:highlight w:val="none"/>
        </w:rPr>
        <w:t>姓名</w:t>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sz w:val="21"/>
          <w:szCs w:val="21"/>
          <w:highlight w:val="none"/>
        </w:rPr>
        <w:t>姓名</w:t>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color w:val="auto"/>
          <w:sz w:val="21"/>
          <w:szCs w:val="21"/>
          <w:highlight w:val="none"/>
          <w:lang w:eastAsia="zh-CN"/>
        </w:rPr>
        <w:t>1.企业业绩</w:t>
      </w:r>
      <w:r>
        <w:rPr>
          <w:rFonts w:hint="eastAsia" w:ascii="方正楷体_GBK" w:hAnsi="方正楷体_GBK" w:eastAsia="方正楷体_GBK" w:cs="方正楷体_GBK"/>
          <w:color w:val="auto"/>
          <w:sz w:val="21"/>
          <w:szCs w:val="21"/>
          <w:highlight w:val="none"/>
        </w:rPr>
        <w:t>信息</w:t>
      </w:r>
      <w:r>
        <w:rPr>
          <w:rFonts w:hint="eastAsia" w:ascii="方正楷体_GBK" w:hAnsi="方正楷体_GBK" w:eastAsia="方正楷体_GBK" w:cs="方正楷体_GBK"/>
          <w:color w:val="auto"/>
          <w:sz w:val="21"/>
          <w:szCs w:val="21"/>
          <w:highlight w:val="none"/>
          <w:lang w:eastAsia="zh-CN"/>
        </w:rPr>
        <w:t>需从</w:t>
      </w:r>
      <w:r>
        <w:rPr>
          <w:rFonts w:hint="eastAsia" w:ascii="方正楷体_GBK" w:hAnsi="方正楷体_GBK" w:eastAsia="方正楷体_GBK" w:cs="方正楷体_GBK"/>
          <w:color w:val="auto"/>
          <w:sz w:val="21"/>
          <w:szCs w:val="21"/>
          <w:highlight w:val="none"/>
        </w:rPr>
        <w:t>“桂建云”读取</w:t>
      </w:r>
      <w:r>
        <w:rPr>
          <w:rFonts w:hint="eastAsia" w:ascii="方正楷体_GBK" w:hAnsi="方正楷体_GBK" w:eastAsia="方正楷体_GBK" w:cs="方正楷体_GBK"/>
          <w:color w:val="auto"/>
          <w:sz w:val="21"/>
          <w:szCs w:val="21"/>
          <w:highlight w:val="none"/>
          <w:lang w:eastAsia="zh-CN"/>
        </w:rPr>
        <w:t>，投标人不可修改，</w:t>
      </w:r>
      <w:r>
        <w:rPr>
          <w:rFonts w:hint="eastAsia" w:ascii="方正楷体_GBK" w:hAnsi="方正楷体_GBK" w:eastAsia="方正楷体_GBK" w:cs="方正楷体_GBK"/>
          <w:color w:val="auto"/>
          <w:sz w:val="21"/>
          <w:szCs w:val="21"/>
          <w:highlight w:val="none"/>
        </w:rPr>
        <w:t>业绩</w:t>
      </w:r>
      <w:r>
        <w:rPr>
          <w:rFonts w:hint="eastAsia" w:ascii="方正楷体_GBK" w:hAnsi="方正楷体_GBK" w:eastAsia="方正楷体_GBK" w:cs="方正楷体_GBK"/>
          <w:color w:val="auto"/>
          <w:sz w:val="21"/>
          <w:szCs w:val="21"/>
          <w:highlight w:val="none"/>
          <w:lang w:eastAsia="zh-CN"/>
        </w:rPr>
        <w:t>不要求提供扫描件</w:t>
      </w:r>
      <w:r>
        <w:rPr>
          <w:rFonts w:hint="eastAsia" w:ascii="方正楷体_GBK" w:hAnsi="方正楷体_GBK" w:eastAsia="方正楷体_GBK" w:cs="方正楷体_GBK"/>
          <w:color w:val="auto"/>
          <w:sz w:val="21"/>
          <w:szCs w:val="21"/>
          <w:highlight w:val="none"/>
        </w:rPr>
        <w:t>，投标人以上信息未通过“桂建云”读取的，在评审时不予承认。</w:t>
      </w:r>
    </w:p>
    <w:p w14:paraId="50099F14">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0D06C820">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E48D888">
      <w:pPr>
        <w:pBdr>
          <w:top w:val="none" w:color="auto" w:sz="0" w:space="0"/>
          <w:left w:val="none" w:color="auto" w:sz="0" w:space="0"/>
          <w:bottom w:val="none" w:color="auto" w:sz="0" w:space="0"/>
          <w:right w:val="none" w:color="auto" w:sz="0" w:space="0"/>
          <w:between w:val="none" w:color="auto" w:sz="0" w:space="0"/>
        </w:pBdr>
        <w:ind w:firstLine="420" w:firstLineChars="200"/>
        <w:rPr>
          <w:rFonts w:hint="eastAsia" w:eastAsia="楷体_GB2312"/>
          <w:color w:val="auto"/>
          <w:highlight w:val="none"/>
        </w:rPr>
      </w:pPr>
    </w:p>
    <w:p w14:paraId="449121DB">
      <w:pPr>
        <w:pStyle w:val="27"/>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3566C0AF">
      <w:pPr>
        <w:pStyle w:val="27"/>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4EB2B97D">
      <w:pPr>
        <w:ind w:left="772" w:leftChars="100" w:hanging="562" w:hangingChars="200"/>
        <w:rPr>
          <w:b/>
          <w:bCs/>
          <w:color w:val="auto"/>
          <w:sz w:val="28"/>
          <w:szCs w:val="28"/>
          <w:highlight w:val="none"/>
        </w:rPr>
      </w:pPr>
    </w:p>
    <w:p w14:paraId="5ED89F5D">
      <w:pPr>
        <w:tabs>
          <w:tab w:val="left" w:pos="826"/>
        </w:tabs>
        <w:snapToGrid w:val="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3</w:t>
      </w:r>
      <w:r>
        <w:rPr>
          <w:rFonts w:hint="eastAsia" w:cs="宋体"/>
          <w:b/>
          <w:bCs/>
          <w:color w:val="auto"/>
          <w:sz w:val="24"/>
          <w:szCs w:val="24"/>
          <w:highlight w:val="none"/>
        </w:rPr>
        <w:t>）企业</w:t>
      </w:r>
      <w:r>
        <w:rPr>
          <w:rFonts w:cs="宋体"/>
          <w:b/>
          <w:bCs/>
          <w:color w:val="auto"/>
          <w:sz w:val="24"/>
          <w:szCs w:val="24"/>
          <w:highlight w:val="none"/>
        </w:rPr>
        <w:t>___年___月至</w:t>
      </w:r>
      <w:r>
        <w:rPr>
          <w:rFonts w:hint="eastAsia" w:cs="宋体"/>
          <w:b/>
          <w:bCs/>
          <w:color w:val="auto"/>
          <w:sz w:val="24"/>
          <w:szCs w:val="24"/>
          <w:highlight w:val="none"/>
        </w:rPr>
        <w:t>投标截止日期止（一般为近三年）以来在建类似工程一览表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343D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C4DD5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0FAF902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424C24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C240E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10FFF2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325BE7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365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0B3A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3B95D6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2A39A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5C3B4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A9EE3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BE90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11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FF202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5F6FDF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E8FB1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1E63A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1703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238D4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74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8592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7C109F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B9E54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47B18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7F5BF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2D0F6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90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236B7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51D9B8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5F277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0AD8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38C0B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C3D9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9A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CD0B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7D1328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B7DA0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706FC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397FF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CC7F0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C4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8C24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2F62BC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E3B09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FE60E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2BFBA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B150B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C0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35397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068777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83E9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79E5E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A4AB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DD515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1A6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C5CF8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3661B1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A73C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C83D6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46E1D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684BF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DA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7FE5C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5E3B95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C4C3A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66B82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B8F2B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5DF4A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4D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ECF40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56CC5F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AD399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20E3A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90DF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90223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375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159CCB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0CB473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2CFC3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2B0CC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5F817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6D882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D78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BA662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020934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730A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7909B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1F2D6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C16C7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680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BAC83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44B0FF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2FFA3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3BBF8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976B0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505F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F6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FB1E9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75B3A6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87AA0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9B956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6F2F3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5A7D2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21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B072AE">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4F2B80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A111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49AEF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2AB94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C59EB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78D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6D26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17BA78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F38B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F9BD6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FF403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5C562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3C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1CBF0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205A13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3F7D0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8CECA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1E63D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BAC3A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D0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07161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67D337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C376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931D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B3D0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F5E02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1B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FB25A0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1158ED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7C4A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5B53F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8B6DE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6A5D1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2C5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B46FFC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30D18D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18345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D8D4E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5424B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51E19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E5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9328F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w:t>
            </w:r>
          </w:p>
        </w:tc>
        <w:tc>
          <w:tcPr>
            <w:tcW w:w="1548" w:type="dxa"/>
            <w:noWrap w:val="0"/>
            <w:vAlign w:val="center"/>
          </w:tcPr>
          <w:p w14:paraId="4820F5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837" w:type="dxa"/>
            <w:noWrap w:val="0"/>
            <w:vAlign w:val="center"/>
          </w:tcPr>
          <w:p w14:paraId="24EAB7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72" w:type="dxa"/>
            <w:noWrap w:val="0"/>
            <w:vAlign w:val="center"/>
          </w:tcPr>
          <w:p w14:paraId="1BDCB3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641" w:type="dxa"/>
            <w:noWrap w:val="0"/>
            <w:vAlign w:val="center"/>
          </w:tcPr>
          <w:p w14:paraId="17D510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84" w:type="dxa"/>
            <w:noWrap w:val="0"/>
            <w:vAlign w:val="center"/>
          </w:tcPr>
          <w:p w14:paraId="080FA6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r>
      <w:tr w14:paraId="3FB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D9327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184A5F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21CD7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48082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FA7A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94BCB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757D8FCD">
      <w:pPr>
        <w:tabs>
          <w:tab w:val="left" w:pos="826"/>
        </w:tabs>
        <w:snapToGrid w:val="0"/>
        <w:rPr>
          <w:rFonts w:cs="宋体"/>
          <w:b/>
          <w:bCs/>
          <w:color w:val="auto"/>
          <w:sz w:val="24"/>
          <w:szCs w:val="24"/>
          <w:highlight w:val="none"/>
        </w:rPr>
      </w:pPr>
    </w:p>
    <w:p w14:paraId="214D8792">
      <w:pPr>
        <w:ind w:firstLine="420" w:firstLineChars="200"/>
        <w:rPr>
          <w:rFonts w:eastAsia="楷体_GB2312" w:cs="楷体_GB2312"/>
          <w:color w:val="auto"/>
          <w:highlight w:val="none"/>
        </w:rPr>
      </w:pPr>
      <w:r>
        <w:rPr>
          <w:rFonts w:hint="eastAsia" w:eastAsia="楷体_GB2312" w:cs="楷体_GB2312"/>
          <w:color w:val="auto"/>
          <w:highlight w:val="none"/>
        </w:rPr>
        <w:t>备注：</w:t>
      </w:r>
    </w:p>
    <w:p w14:paraId="60B00247">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1.</w:t>
      </w:r>
      <w:r>
        <w:rPr>
          <w:rFonts w:hint="eastAsia" w:ascii="方正楷体_GBK" w:hAnsi="方正楷体_GBK" w:eastAsia="方正楷体_GBK" w:cs="方正楷体_GBK"/>
          <w:color w:val="auto"/>
          <w:highlight w:val="none"/>
        </w:rPr>
        <w:t>如招标人选择接受在建工程作为业绩的，业绩的信息均需从“桂建云”读取，投标人不可修改，业绩不需要提供扫描件，投标人以上信息未通过“桂建云”读取的，在评审时不予承认。</w:t>
      </w:r>
    </w:p>
    <w:p w14:paraId="50698D90">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2.</w:t>
      </w:r>
      <w:r>
        <w:rPr>
          <w:rFonts w:hint="eastAsia" w:ascii="方正楷体_GBK" w:hAnsi="方正楷体_GBK" w:eastAsia="方正楷体_GBK" w:cs="方正楷体_GBK"/>
          <w:color w:val="auto"/>
          <w:highlight w:val="none"/>
        </w:rPr>
        <w:t>招标人可以根据项目情况增减表格内容，项目数投标人可以根据需要增加。</w:t>
      </w:r>
    </w:p>
    <w:p w14:paraId="0E3C7EDE">
      <w:pPr>
        <w:spacing w:before="120" w:beforeLines="50" w:after="120" w:afterLines="50"/>
        <w:ind w:left="630" w:leftChars="200" w:hanging="210" w:hangingChars="100"/>
        <w:rPr>
          <w:rFonts w:hint="eastAsia"/>
          <w:b/>
          <w:bCs/>
          <w:color w:val="auto"/>
          <w:sz w:val="28"/>
          <w:szCs w:val="28"/>
          <w:highlight w:val="none"/>
        </w:rPr>
        <w:sectPr>
          <w:pgSz w:w="11907" w:h="16840"/>
          <w:pgMar w:top="1440" w:right="1440" w:bottom="1440" w:left="1797" w:header="851" w:footer="851" w:gutter="0"/>
          <w:cols w:space="720" w:num="1"/>
          <w:docGrid w:linePitch="312" w:charSpace="0"/>
        </w:sectPr>
      </w:pPr>
      <w:r>
        <w:rPr>
          <w:rFonts w:hint="eastAsia" w:ascii="方正楷体_GBK" w:hAnsi="方正楷体_GBK" w:eastAsia="方正楷体_GBK" w:cs="方正楷体_GBK"/>
          <w:color w:val="auto"/>
          <w:highlight w:val="none"/>
          <w:lang w:eastAsia="zh-CN"/>
        </w:rPr>
        <w:t>3.</w:t>
      </w:r>
      <w:r>
        <w:rPr>
          <w:rFonts w:hint="eastAsia" w:ascii="方正楷体_GBK" w:hAnsi="方正楷体_GBK" w:eastAsia="方正楷体_GBK" w:cs="方正楷体_GBK"/>
          <w:color w:val="auto"/>
          <w:highlight w:val="none"/>
        </w:rPr>
        <w:t>表格不需要填写满，投标人只需根据招标文件评审要求导入对应证明信息供评委评审。</w:t>
      </w:r>
    </w:p>
    <w:p w14:paraId="4BB9DA19">
      <w:pPr>
        <w:tabs>
          <w:tab w:val="left" w:pos="826"/>
        </w:tabs>
        <w:snapToGrid w:val="0"/>
        <w:ind w:firstLine="482" w:firstLineChars="200"/>
        <w:rPr>
          <w:rFonts w:cs="宋体"/>
          <w:b/>
          <w:bCs/>
          <w:color w:val="auto"/>
          <w:sz w:val="24"/>
          <w:szCs w:val="24"/>
          <w:highlight w:val="none"/>
        </w:rPr>
      </w:pPr>
      <w:r>
        <w:rPr>
          <w:rFonts w:hint="eastAsia" w:ascii="Times New Roman" w:hAnsi="Times New Roman" w:cs="宋体"/>
          <w:b/>
          <w:bCs/>
          <w:color w:val="auto"/>
          <w:sz w:val="24"/>
          <w:szCs w:val="24"/>
          <w:highlight w:val="none"/>
        </w:rPr>
        <w:t>（4）采用建筑模型（BIM）技术项目业绩（如有）</w:t>
      </w:r>
    </w:p>
    <w:p w14:paraId="511ED86D">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月至今（近年）采用建筑信息模型（BIM）技术的项目业绩表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76E2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8A01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4B94550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7EA830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244CB1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09462A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115D75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6DC6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5DA6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3E5289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885EC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F0B5A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7E2A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A3A5A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96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BB7CC1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1FB9F9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A0BB9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A9D77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47542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EF093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5A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D8FE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5493AA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3A040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98994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0F854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B179E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FB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30F34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373CD8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D1A34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E45F6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410B8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5969D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35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E3FC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7D93E8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479DA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26EF6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6C69A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96030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16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214B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1732C1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3C215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87F98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D71BD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DA608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FF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DAA0E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4B524A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B0F42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D5E2D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662FA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63F34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471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8828C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4DE963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45524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64C41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3D152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A960D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29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DAB44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2A010A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D17D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C63D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8648C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9E5A8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32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500C8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357204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C10CE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B066E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E2A0B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866C4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98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2A109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49909F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CDE8E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C3E93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5A306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88E29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93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7CF68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20E545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06CD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09CD5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F5606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27D2B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D55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67C2B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A2164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0FD98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F952B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45DDD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E12A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41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F38BF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24547E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0AA3F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E786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5ACD5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E24D9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A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B2DED3">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63B31E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18C6B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227A9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2FCC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8ACFB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41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7742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60E5F2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92AC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F2BED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D199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F4CEC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03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A1AA1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0F8EE2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48514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A7703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21330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CD7E8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C3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98FA3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0EC1A7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CDF97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375DD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A3EB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4D76B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60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C54F1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0C8DC5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F821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6637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001FC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F2865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B9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0141A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71BA3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CCAD0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3E848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1285C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F8F4A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56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FD623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4BD28E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55BA7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69675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1B14A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F403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19A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D9CB0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4B12C6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82FCD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57C9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6223A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AFF0F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7899716E">
      <w:pPr>
        <w:tabs>
          <w:tab w:val="left" w:pos="826"/>
        </w:tabs>
        <w:snapToGrid w:val="0"/>
        <w:spacing w:line="360" w:lineRule="auto"/>
        <w:ind w:firstLine="315" w:firstLineChars="150"/>
        <w:rPr>
          <w:rFonts w:hint="eastAsia"/>
          <w:color w:val="auto"/>
          <w:highlight w:val="none"/>
        </w:rPr>
      </w:pPr>
    </w:p>
    <w:p w14:paraId="2FD28A63">
      <w:pPr>
        <w:rPr>
          <w:rFonts w:hint="eastAsia" w:eastAsia="楷体_GB2312"/>
          <w:color w:val="auto"/>
          <w:highlight w:val="none"/>
        </w:rPr>
      </w:pPr>
      <w:r>
        <w:rPr>
          <w:rFonts w:hint="eastAsia" w:eastAsia="楷体_GB2312"/>
          <w:color w:val="auto"/>
          <w:highlight w:val="none"/>
        </w:rPr>
        <w:t>备注：</w:t>
      </w:r>
    </w:p>
    <w:p w14:paraId="24E6DC55">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vanish/>
          <w:color w:val="auto"/>
          <w:highlight w:val="none"/>
        </w:rPr>
        <w:t>姓名</w:t>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企业业绩的信息均需从“桂建云”读取，投标人不可修改，</w:t>
      </w:r>
      <w:r>
        <w:rPr>
          <w:rFonts w:hint="eastAsia" w:ascii="方正楷体_GB2312" w:hAnsi="方正楷体_GB2312" w:eastAsia="方正楷体_GB2312" w:cs="方正楷体_GB2312"/>
          <w:color w:val="auto"/>
          <w:highlight w:val="none"/>
        </w:rPr>
        <w:t>业绩不需要提供扫描件，</w:t>
      </w:r>
      <w:r>
        <w:rPr>
          <w:rFonts w:hint="eastAsia" w:ascii="方正楷体_GB2312" w:hAnsi="方正楷体_GB2312" w:eastAsia="方正楷体_GB2312" w:cs="方正楷体_GB2312"/>
          <w:color w:val="auto"/>
          <w:highlight w:val="none"/>
        </w:rPr>
        <w:t>投标人以上信息未通过“桂建云”读取的，在评审时不予承认。</w:t>
      </w:r>
    </w:p>
    <w:p w14:paraId="723F2DAB">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7C062CCD">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0CDC7B6C">
      <w:pPr>
        <w:spacing w:line="360" w:lineRule="auto"/>
        <w:ind w:firstLine="420" w:firstLineChars="200"/>
        <w:rPr>
          <w:rFonts w:hint="eastAsia" w:eastAsia="楷体_GB2312"/>
          <w:color w:val="auto"/>
          <w:highlight w:val="none"/>
        </w:rPr>
      </w:pPr>
    </w:p>
    <w:p w14:paraId="46C711A3">
      <w:pPr>
        <w:tabs>
          <w:tab w:val="left" w:pos="826"/>
        </w:tabs>
        <w:snapToGrid w:val="0"/>
        <w:ind w:firstLine="0" w:firstLineChars="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5</w:t>
      </w:r>
      <w:r>
        <w:rPr>
          <w:rFonts w:hint="eastAsia" w:cs="宋体"/>
          <w:b/>
          <w:bCs/>
          <w:color w:val="auto"/>
          <w:sz w:val="24"/>
          <w:szCs w:val="24"/>
          <w:highlight w:val="none"/>
        </w:rPr>
        <w:t>）采用装配式建筑项目业绩（如有）</w:t>
      </w:r>
    </w:p>
    <w:p w14:paraId="2F016C3D">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月至今（近年）采用装配式建筑项目业绩表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1C45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5E04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050728F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6D0080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1B5FF6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435D6E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6E8125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52D8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4200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673263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25E03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2D751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1E4A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AFEAC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14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7B58E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2952E6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82981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AA4F3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7C091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7C1CC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B9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A4EA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210C99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B4805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FBA93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EB79E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1DCFC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FE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FC67C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4A9CC1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6B9A0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5AED7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F9BA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72D69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533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FF57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48DEB3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F1E68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AAC85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DB772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DEA7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E9E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EFFC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6D3113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235D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2F630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B7F34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DCC32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EA4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EA7281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599626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5A915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450E0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57D14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9555E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1F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6F98F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19404D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6A45A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E1DE5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AE1AB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E3327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201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0A763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0C9AF2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B81C4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B4A9B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F8D1E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75038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39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985BC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56B9E9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09B5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B180F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094FF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7ABDB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77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53AFB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740635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A4CAD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0DE12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1B060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053C4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B5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590DB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733203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9C6AD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AD3DC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B5315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5913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010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A5384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07885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2FA16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A8809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5FEBF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54B7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AE6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A7601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126D0B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AAEA0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EFD47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26052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7556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9C0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F3D6EB">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29F642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B2687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5F078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E53D1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C4EF1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B2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761C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2C6978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8A2FF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9953B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2704D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4FC23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943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B8B52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1CF11E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23722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86A8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74653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36FCA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EA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B919B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79B038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71BC0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42557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64408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55ABC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70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48D23B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09C93B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776D3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1C2A9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060C2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02C4F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BB5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6FC05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05F7E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02970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2754F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4669A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D1C8E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F6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1B3380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0B28FB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02F08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27C75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F927B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5BA13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AE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E74F8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5ED3FE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11604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B1652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0A241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9013E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3D132200">
      <w:pPr>
        <w:tabs>
          <w:tab w:val="left" w:pos="826"/>
        </w:tabs>
        <w:snapToGrid w:val="0"/>
        <w:spacing w:line="360" w:lineRule="auto"/>
        <w:ind w:firstLine="315" w:firstLineChars="150"/>
        <w:rPr>
          <w:rFonts w:hint="eastAsia"/>
          <w:color w:val="auto"/>
          <w:highlight w:val="none"/>
        </w:rPr>
      </w:pPr>
    </w:p>
    <w:p w14:paraId="3FD57925">
      <w:pPr>
        <w:rPr>
          <w:rFonts w:hint="eastAsia" w:eastAsia="楷体_GB2312"/>
          <w:color w:val="auto"/>
          <w:highlight w:val="none"/>
        </w:rPr>
      </w:pPr>
      <w:r>
        <w:rPr>
          <w:rFonts w:hint="eastAsia" w:eastAsia="楷体_GB2312"/>
          <w:color w:val="auto"/>
          <w:highlight w:val="none"/>
        </w:rPr>
        <w:t>备注：</w:t>
      </w:r>
    </w:p>
    <w:p w14:paraId="398F3E7D">
      <w:pPr>
        <w:ind w:firstLine="420" w:firstLineChars="200"/>
        <w:rPr>
          <w:rFonts w:hint="default"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企业业绩的信息均需从“桂建云”读取，投标人不可修改，业绩不需要提供扫描件，投标人以上信息未通过“桂建云”读取的，在评审时不予承认。</w:t>
      </w:r>
    </w:p>
    <w:p w14:paraId="579DF0D5">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3BE4BE7D">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5CB5ED92">
      <w:pPr>
        <w:tabs>
          <w:tab w:val="left" w:pos="826"/>
        </w:tabs>
        <w:snapToGrid w:val="0"/>
        <w:ind w:firstLine="482" w:firstLineChars="200"/>
        <w:rPr>
          <w:rFonts w:hint="eastAsia" w:cs="宋体"/>
          <w:b/>
          <w:bCs/>
          <w:color w:val="auto"/>
          <w:sz w:val="24"/>
          <w:szCs w:val="24"/>
          <w:highlight w:val="none"/>
        </w:rPr>
      </w:pPr>
    </w:p>
    <w:p w14:paraId="4EE8851D">
      <w:pPr>
        <w:tabs>
          <w:tab w:val="left" w:pos="826"/>
        </w:tabs>
        <w:snapToGrid w:val="0"/>
        <w:ind w:firstLine="482" w:firstLineChars="200"/>
        <w:rPr>
          <w:b/>
          <w:bCs/>
          <w:color w:val="auto"/>
          <w:sz w:val="28"/>
          <w:szCs w:val="28"/>
          <w:highlight w:val="none"/>
        </w:rPr>
      </w:pPr>
      <w:r>
        <w:rPr>
          <w:rFonts w:hint="eastAsia" w:cs="宋体"/>
          <w:b/>
          <w:bCs/>
          <w:color w:val="auto"/>
          <w:sz w:val="24"/>
          <w:szCs w:val="24"/>
          <w:highlight w:val="none"/>
        </w:rPr>
        <w:t>（</w:t>
      </w:r>
      <w:r>
        <w:rPr>
          <w:b/>
          <w:bCs/>
          <w:color w:val="auto"/>
          <w:sz w:val="24"/>
          <w:szCs w:val="24"/>
          <w:highlight w:val="none"/>
        </w:rPr>
        <w:t>6</w:t>
      </w:r>
      <w:r>
        <w:rPr>
          <w:rFonts w:hint="eastAsia" w:cs="宋体"/>
          <w:b/>
          <w:bCs/>
          <w:color w:val="auto"/>
          <w:sz w:val="24"/>
          <w:szCs w:val="24"/>
          <w:highlight w:val="none"/>
        </w:rPr>
        <w:t>）企业</w:t>
      </w:r>
      <w:r>
        <w:rPr>
          <w:rFonts w:cs="宋体"/>
          <w:b/>
          <w:bCs/>
          <w:color w:val="auto"/>
          <w:sz w:val="24"/>
          <w:szCs w:val="24"/>
          <w:highlight w:val="none"/>
        </w:rPr>
        <w:t>___年至___年</w:t>
      </w:r>
      <w:r>
        <w:rPr>
          <w:rFonts w:hint="eastAsia" w:cs="宋体"/>
          <w:b/>
          <w:bCs/>
          <w:color w:val="auto"/>
          <w:sz w:val="24"/>
          <w:szCs w:val="24"/>
          <w:highlight w:val="none"/>
        </w:rPr>
        <w:t>（一般为近三年）财务状况</w:t>
      </w:r>
    </w:p>
    <w:p w14:paraId="43D2274F">
      <w:pPr>
        <w:spacing w:line="460" w:lineRule="exact"/>
        <w:ind w:firstLine="630" w:firstLineChars="300"/>
        <w:rPr>
          <w:color w:val="auto"/>
          <w:highlight w:val="none"/>
        </w:rPr>
      </w:pPr>
    </w:p>
    <w:p w14:paraId="6350D563">
      <w:pPr>
        <w:spacing w:line="360" w:lineRule="auto"/>
        <w:rPr>
          <w:rFonts w:eastAsia="楷体_GB2312" w:cs="楷体_GB2312"/>
          <w:color w:val="auto"/>
          <w:highlight w:val="none"/>
        </w:rPr>
      </w:pPr>
      <w:r>
        <w:rPr>
          <w:rFonts w:hint="eastAsia" w:eastAsia="楷体_GB2312" w:cs="楷体_GB2312"/>
          <w:color w:val="auto"/>
          <w:highlight w:val="none"/>
        </w:rPr>
        <w:t>【备注：指已</w:t>
      </w:r>
      <w:r>
        <w:rPr>
          <w:rFonts w:hint="eastAsia" w:eastAsia="楷体_GB2312" w:cs="楷体_GB2312"/>
          <w:b w:val="0"/>
          <w:bCs w:val="0"/>
          <w:color w:val="auto"/>
          <w:highlight w:val="none"/>
          <w:lang w:eastAsia="zh-CN"/>
        </w:rPr>
        <w:t>录入</w:t>
      </w:r>
      <w:r>
        <w:rPr>
          <w:rFonts w:hint="eastAsia" w:eastAsia="楷体_GB2312" w:cs="楷体_GB2312"/>
          <w:color w:val="auto"/>
          <w:highlight w:val="none"/>
        </w:rPr>
        <w:t>“桂建云”的经会计师事务所或审计机构审计的财务会计报表，包括资产负债表、现金流量表、利润表的扫描件。具体年份要求见第二章</w:t>
      </w:r>
      <w:r>
        <w:rPr>
          <w:rFonts w:eastAsia="楷体_GB2312"/>
          <w:color w:val="auto"/>
          <w:highlight w:val="none"/>
        </w:rPr>
        <w:t>“</w:t>
      </w:r>
      <w:r>
        <w:rPr>
          <w:rFonts w:hint="eastAsia" w:eastAsia="楷体_GB2312" w:cs="楷体_GB2312"/>
          <w:color w:val="auto"/>
          <w:highlight w:val="none"/>
        </w:rPr>
        <w:t>投标人须知</w:t>
      </w:r>
      <w:r>
        <w:rPr>
          <w:rFonts w:eastAsia="楷体_GB2312"/>
          <w:color w:val="auto"/>
          <w:highlight w:val="none"/>
        </w:rPr>
        <w:t>”</w:t>
      </w:r>
      <w:r>
        <w:rPr>
          <w:rFonts w:hint="eastAsia" w:eastAsia="楷体_GB2312" w:cs="楷体_GB2312"/>
          <w:color w:val="auto"/>
          <w:highlight w:val="none"/>
        </w:rPr>
        <w:t>的规定。以上扫描件均为原件的扫描件】</w:t>
      </w:r>
    </w:p>
    <w:p w14:paraId="09754D87">
      <w:pPr>
        <w:spacing w:line="360" w:lineRule="auto"/>
        <w:rPr>
          <w:rFonts w:eastAsia="楷体_GB2312" w:cs="楷体_GB2312"/>
          <w:color w:val="auto"/>
          <w:highlight w:val="none"/>
        </w:rPr>
      </w:pPr>
    </w:p>
    <w:p w14:paraId="63FB880C">
      <w:pPr>
        <w:spacing w:line="360" w:lineRule="auto"/>
        <w:rPr>
          <w:rFonts w:eastAsia="楷体_GB2312" w:cs="楷体_GB2312"/>
          <w:color w:val="auto"/>
          <w:highlight w:val="none"/>
        </w:rPr>
      </w:pPr>
    </w:p>
    <w:p w14:paraId="477A5D17">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7</w:t>
      </w:r>
      <w:r>
        <w:rPr>
          <w:rFonts w:hint="eastAsia" w:cs="宋体"/>
          <w:b/>
          <w:bCs/>
          <w:color w:val="auto"/>
          <w:sz w:val="28"/>
          <w:szCs w:val="28"/>
          <w:highlight w:val="none"/>
        </w:rPr>
        <w:t>）中小企业声明函</w:t>
      </w:r>
    </w:p>
    <w:p w14:paraId="7A001275">
      <w:pPr>
        <w:pStyle w:val="36"/>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451880E0">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val="en-US" w:eastAsia="zh-CN"/>
        </w:rPr>
        <w:t>招标</w:t>
      </w:r>
      <w:r>
        <w:rPr>
          <w:rFonts w:hint="eastAsia"/>
          <w:bCs/>
          <w:color w:val="auto"/>
          <w:highlight w:val="none"/>
          <w:u w:val="single"/>
        </w:rPr>
        <w:t>项目名称）</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490C20E6">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AD435A0">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04041C3F">
      <w:pPr>
        <w:spacing w:line="360" w:lineRule="auto"/>
        <w:ind w:firstLine="420"/>
        <w:rPr>
          <w:bCs/>
          <w:color w:val="auto"/>
          <w:highlight w:val="none"/>
        </w:rPr>
      </w:pPr>
      <w:r>
        <w:rPr>
          <w:rFonts w:hint="eastAsia"/>
          <w:bCs/>
          <w:color w:val="auto"/>
          <w:highlight w:val="none"/>
        </w:rPr>
        <w:t>……</w:t>
      </w:r>
    </w:p>
    <w:p w14:paraId="0374E041">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7F3124D3">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2BF3DBE6">
      <w:pPr>
        <w:spacing w:line="360" w:lineRule="auto"/>
        <w:ind w:firstLine="3150" w:firstLineChars="1500"/>
        <w:rPr>
          <w:bCs/>
          <w:color w:val="auto"/>
          <w:highlight w:val="none"/>
        </w:rPr>
      </w:pPr>
      <w:r>
        <w:rPr>
          <w:rFonts w:hint="eastAsia"/>
          <w:bCs/>
          <w:color w:val="auto"/>
          <w:highlight w:val="none"/>
        </w:rPr>
        <w:t>企业名称（盖法人单位电子印章）：</w:t>
      </w:r>
    </w:p>
    <w:p w14:paraId="315738CC">
      <w:pPr>
        <w:spacing w:line="360" w:lineRule="auto"/>
        <w:ind w:firstLine="3150" w:firstLineChars="1500"/>
        <w:rPr>
          <w:bCs/>
          <w:color w:val="auto"/>
          <w:highlight w:val="none"/>
        </w:rPr>
      </w:pPr>
      <w:r>
        <w:rPr>
          <w:rFonts w:hint="eastAsia"/>
          <w:bCs/>
          <w:color w:val="auto"/>
          <w:highlight w:val="none"/>
        </w:rPr>
        <w:t>日期：</w:t>
      </w:r>
    </w:p>
    <w:p w14:paraId="591305BE">
      <w:pPr>
        <w:spacing w:line="360" w:lineRule="auto"/>
        <w:jc w:val="left"/>
        <w:rPr>
          <w:bCs/>
          <w:color w:val="auto"/>
          <w:highlight w:val="none"/>
        </w:rPr>
      </w:pPr>
    </w:p>
    <w:p w14:paraId="0DB3CC30">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val="en-US" w:eastAsia="zh-CN"/>
        </w:rPr>
        <w:t>标的</w:t>
      </w:r>
      <w:r>
        <w:rPr>
          <w:rFonts w:hint="eastAsia"/>
          <w:bCs/>
          <w:color w:val="auto"/>
          <w:highlight w:val="none"/>
        </w:rPr>
        <w:t>名称”应填写联合体中中小企业承担的具体内容或者中小企业具体分包内容。</w:t>
      </w:r>
    </w:p>
    <w:p w14:paraId="11422F32">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2B757966">
      <w:pPr>
        <w:spacing w:line="360" w:lineRule="auto"/>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6428E6A7">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8</w:t>
      </w:r>
      <w:r>
        <w:rPr>
          <w:rFonts w:hint="eastAsia" w:cs="宋体"/>
          <w:b/>
          <w:bCs/>
          <w:color w:val="auto"/>
          <w:sz w:val="28"/>
          <w:szCs w:val="28"/>
          <w:highlight w:val="none"/>
        </w:rPr>
        <w:t>）残疾人福利性单位声明函</w:t>
      </w:r>
    </w:p>
    <w:p w14:paraId="388E4504">
      <w:pPr>
        <w:spacing w:line="360" w:lineRule="auto"/>
        <w:rPr>
          <w:color w:val="auto"/>
          <w:highlight w:val="none"/>
        </w:rPr>
      </w:pPr>
    </w:p>
    <w:p w14:paraId="5A687B0B">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678AD132">
      <w:pPr>
        <w:spacing w:line="360" w:lineRule="auto"/>
        <w:rPr>
          <w:rFonts w:hint="eastAsia" w:ascii="仿宋_GB2312" w:eastAsia="仿宋_GB2312"/>
          <w:bCs/>
          <w:color w:val="auto"/>
          <w:spacing w:val="6"/>
          <w:sz w:val="30"/>
          <w:szCs w:val="30"/>
          <w:highlight w:val="none"/>
        </w:rPr>
      </w:pPr>
    </w:p>
    <w:p w14:paraId="0671D769">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7406D07A">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60ED9A13">
      <w:pPr>
        <w:spacing w:line="360" w:lineRule="auto"/>
        <w:ind w:firstLine="444" w:firstLineChars="200"/>
        <w:rPr>
          <w:rFonts w:hint="eastAsia" w:ascii="宋体" w:hAnsi="宋体"/>
          <w:color w:val="auto"/>
          <w:spacing w:val="6"/>
          <w:highlight w:val="none"/>
        </w:rPr>
      </w:pPr>
    </w:p>
    <w:p w14:paraId="12E0A4D5">
      <w:pPr>
        <w:spacing w:line="360" w:lineRule="auto"/>
        <w:ind w:firstLine="444" w:firstLineChars="200"/>
        <w:rPr>
          <w:rFonts w:hint="eastAsia" w:ascii="宋体" w:hAnsi="宋体"/>
          <w:color w:val="auto"/>
          <w:spacing w:val="6"/>
          <w:highlight w:val="none"/>
        </w:rPr>
      </w:pPr>
    </w:p>
    <w:p w14:paraId="3856E0F0">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单位名称（盖法人单位电子印章）：</w:t>
      </w:r>
    </w:p>
    <w:p w14:paraId="0E7FB052">
      <w:pPr>
        <w:tabs>
          <w:tab w:val="left" w:pos="4860"/>
        </w:tabs>
        <w:spacing w:line="360" w:lineRule="auto"/>
        <w:ind w:right="1560" w:firstLine="5328" w:firstLineChars="2400"/>
        <w:contextualSpacing/>
        <w:jc w:val="center"/>
        <w:rPr>
          <w:color w:val="auto"/>
          <w:highlight w:val="none"/>
        </w:rPr>
      </w:pPr>
      <w:r>
        <w:rPr>
          <w:rFonts w:hint="eastAsia" w:ascii="宋体" w:hAnsi="宋体"/>
          <w:color w:val="auto"/>
          <w:spacing w:val="6"/>
          <w:highlight w:val="none"/>
        </w:rPr>
        <w:t>日  期：</w:t>
      </w:r>
    </w:p>
    <w:p w14:paraId="2E0971E1">
      <w:pPr>
        <w:tabs>
          <w:tab w:val="left" w:pos="4860"/>
        </w:tabs>
        <w:spacing w:line="360" w:lineRule="auto"/>
        <w:ind w:right="1560" w:firstLine="5040" w:firstLineChars="2400"/>
        <w:contextualSpacing/>
        <w:jc w:val="center"/>
        <w:rPr>
          <w:color w:val="auto"/>
          <w:highlight w:val="none"/>
        </w:rPr>
      </w:pPr>
    </w:p>
    <w:p w14:paraId="230AF6AE">
      <w:pPr>
        <w:pBdr>
          <w:top w:val="none" w:color="auto" w:sz="0" w:space="0"/>
          <w:left w:val="none" w:color="auto" w:sz="0" w:space="0"/>
          <w:bottom w:val="none" w:color="auto" w:sz="0" w:space="0"/>
          <w:right w:val="none" w:color="auto" w:sz="0" w:space="0"/>
          <w:between w:val="none" w:color="auto" w:sz="0" w:space="0"/>
        </w:pBdr>
        <w:spacing w:line="460" w:lineRule="exact"/>
        <w:ind w:firstLine="5040" w:firstLineChars="2400"/>
        <w:rPr>
          <w:color w:val="auto"/>
          <w:highlight w:val="none"/>
        </w:rPr>
      </w:pPr>
    </w:p>
    <w:p w14:paraId="05661DB7">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47DC723F">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74C87A42">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5DC22359">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18868B02">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2206BBE2">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05136D7">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D6E06F5">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96F71C7">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D8F8BD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B33B8C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3B8368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8E8E57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1514AF3">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D6F927B">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D0C1725">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C51D4BD">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71E22B7">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4B86603">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BF20B38">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8EADCD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70540E3">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DFEFF99">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80D8451">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32D11C9">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AD8F89E">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88F7218">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7C63744">
      <w:pPr>
        <w:pStyle w:val="27"/>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51BC2CF">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02E3877D">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110AC2EF">
      <w:pPr>
        <w:jc w:val="center"/>
        <w:rPr>
          <w:color w:val="auto"/>
          <w:sz w:val="28"/>
          <w:szCs w:val="28"/>
          <w:highlight w:val="none"/>
        </w:rPr>
      </w:pPr>
    </w:p>
    <w:p w14:paraId="6534B916">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42F10783">
      <w:pPr>
        <w:jc w:val="center"/>
        <w:rPr>
          <w:color w:val="auto"/>
          <w:sz w:val="32"/>
          <w:szCs w:val="32"/>
          <w:highlight w:val="none"/>
        </w:rPr>
      </w:pPr>
    </w:p>
    <w:p w14:paraId="343824BA">
      <w:pPr>
        <w:jc w:val="center"/>
        <w:rPr>
          <w:color w:val="auto"/>
          <w:sz w:val="32"/>
          <w:szCs w:val="32"/>
          <w:highlight w:val="none"/>
        </w:rPr>
      </w:pPr>
    </w:p>
    <w:p w14:paraId="256B7FC1">
      <w:pPr>
        <w:jc w:val="center"/>
        <w:rPr>
          <w:color w:val="auto"/>
          <w:sz w:val="32"/>
          <w:szCs w:val="32"/>
          <w:highlight w:val="none"/>
        </w:rPr>
      </w:pPr>
    </w:p>
    <w:p w14:paraId="0A9A219E">
      <w:pPr>
        <w:jc w:val="center"/>
        <w:rPr>
          <w:color w:val="auto"/>
          <w:sz w:val="32"/>
          <w:szCs w:val="32"/>
          <w:highlight w:val="none"/>
        </w:rPr>
      </w:pPr>
    </w:p>
    <w:p w14:paraId="32F7CD42">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261D3351">
      <w:pPr>
        <w:jc w:val="center"/>
        <w:rPr>
          <w:color w:val="auto"/>
          <w:sz w:val="32"/>
          <w:szCs w:val="32"/>
          <w:highlight w:val="none"/>
        </w:rPr>
      </w:pPr>
    </w:p>
    <w:p w14:paraId="628D50F0">
      <w:pPr>
        <w:jc w:val="center"/>
        <w:rPr>
          <w:color w:val="auto"/>
          <w:sz w:val="32"/>
          <w:szCs w:val="32"/>
          <w:highlight w:val="none"/>
        </w:rPr>
      </w:pPr>
    </w:p>
    <w:p w14:paraId="4A73B6DC">
      <w:pPr>
        <w:jc w:val="center"/>
        <w:rPr>
          <w:color w:val="auto"/>
          <w:sz w:val="32"/>
          <w:szCs w:val="32"/>
          <w:highlight w:val="none"/>
        </w:rPr>
      </w:pPr>
    </w:p>
    <w:p w14:paraId="0BFBD710">
      <w:pPr>
        <w:jc w:val="center"/>
        <w:rPr>
          <w:color w:val="auto"/>
          <w:sz w:val="32"/>
          <w:szCs w:val="32"/>
          <w:highlight w:val="none"/>
        </w:rPr>
      </w:pPr>
    </w:p>
    <w:p w14:paraId="0FFFA627">
      <w:pPr>
        <w:jc w:val="center"/>
        <w:rPr>
          <w:color w:val="auto"/>
          <w:sz w:val="32"/>
          <w:szCs w:val="32"/>
          <w:highlight w:val="none"/>
        </w:rPr>
      </w:pPr>
    </w:p>
    <w:p w14:paraId="13C9444C">
      <w:pPr>
        <w:jc w:val="center"/>
        <w:rPr>
          <w:color w:val="auto"/>
          <w:sz w:val="32"/>
          <w:szCs w:val="32"/>
          <w:highlight w:val="none"/>
        </w:rPr>
      </w:pPr>
    </w:p>
    <w:p w14:paraId="097A12DB">
      <w:pPr>
        <w:jc w:val="center"/>
        <w:rPr>
          <w:color w:val="auto"/>
          <w:sz w:val="32"/>
          <w:szCs w:val="32"/>
          <w:highlight w:val="none"/>
        </w:rPr>
      </w:pPr>
    </w:p>
    <w:p w14:paraId="541C86CA">
      <w:pPr>
        <w:jc w:val="center"/>
        <w:rPr>
          <w:color w:val="auto"/>
          <w:sz w:val="32"/>
          <w:szCs w:val="32"/>
          <w:highlight w:val="none"/>
        </w:rPr>
      </w:pPr>
    </w:p>
    <w:p w14:paraId="175B570F">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商务标部分</w:t>
      </w:r>
      <w:r>
        <w:rPr>
          <w:color w:val="auto"/>
          <w:sz w:val="28"/>
          <w:szCs w:val="28"/>
          <w:highlight w:val="none"/>
          <w:u w:val="single"/>
        </w:rPr>
        <w:t xml:space="preserve">           </w:t>
      </w:r>
    </w:p>
    <w:p w14:paraId="255A399F">
      <w:pPr>
        <w:spacing w:line="360" w:lineRule="auto"/>
        <w:ind w:firstLine="1400" w:firstLineChars="50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u w:val="single"/>
        </w:rPr>
        <w:t>（</w:t>
      </w:r>
      <w:r>
        <w:rPr>
          <w:rFonts w:hint="eastAsia" w:cs="宋体"/>
          <w:color w:val="auto"/>
          <w:sz w:val="28"/>
          <w:szCs w:val="28"/>
          <w:highlight w:val="none"/>
          <w:u w:val="single"/>
          <w:lang w:eastAsia="zh-CN"/>
        </w:rPr>
        <w:t>盖法人单位电子印章</w:t>
      </w:r>
      <w:r>
        <w:rPr>
          <w:rFonts w:hint="eastAsia" w:cs="宋体"/>
          <w:color w:val="auto"/>
          <w:sz w:val="28"/>
          <w:szCs w:val="28"/>
          <w:highlight w:val="none"/>
          <w:u w:val="single"/>
        </w:rPr>
        <w:t>）</w:t>
      </w:r>
      <w:r>
        <w:rPr>
          <w:rFonts w:hint="eastAsia" w:cs="宋体"/>
          <w:color w:val="auto"/>
          <w:sz w:val="28"/>
          <w:szCs w:val="28"/>
          <w:highlight w:val="none"/>
          <w:u w:val="single"/>
          <w:lang w:val="en-US" w:eastAsia="zh-CN"/>
        </w:rPr>
        <w:t xml:space="preserve"> </w:t>
      </w:r>
    </w:p>
    <w:p w14:paraId="6A3F1D2C">
      <w:pPr>
        <w:jc w:val="center"/>
        <w:rPr>
          <w:color w:val="auto"/>
          <w:sz w:val="28"/>
          <w:szCs w:val="28"/>
          <w:highlight w:val="none"/>
        </w:rPr>
      </w:pPr>
    </w:p>
    <w:p w14:paraId="2523B89C">
      <w:pPr>
        <w:jc w:val="center"/>
        <w:rPr>
          <w:color w:val="auto"/>
          <w:sz w:val="28"/>
          <w:szCs w:val="28"/>
          <w:highlight w:val="none"/>
        </w:rPr>
      </w:pPr>
    </w:p>
    <w:p w14:paraId="78219558">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2392879E">
      <w:pPr>
        <w:pStyle w:val="135"/>
        <w:jc w:val="center"/>
        <w:outlineLvl w:val="0"/>
        <w:rPr>
          <w:b/>
          <w:bCs/>
          <w:color w:val="auto"/>
          <w:highlight w:val="none"/>
        </w:rPr>
      </w:pPr>
      <w:r>
        <w:rPr>
          <w:color w:val="auto"/>
          <w:highlight w:val="none"/>
        </w:rPr>
        <w:br w:type="page"/>
      </w:r>
      <w:bookmarkStart w:id="2280" w:name="_Toc389065355"/>
      <w:r>
        <w:rPr>
          <w:rFonts w:hint="eastAsia" w:cs="宋体"/>
          <w:b/>
          <w:bCs/>
          <w:color w:val="auto"/>
          <w:sz w:val="24"/>
          <w:szCs w:val="24"/>
          <w:highlight w:val="none"/>
        </w:rPr>
        <w:t>一、投标函</w:t>
      </w:r>
      <w:bookmarkEnd w:id="2280"/>
    </w:p>
    <w:p w14:paraId="7FD688C7">
      <w:pPr>
        <w:tabs>
          <w:tab w:val="left" w:pos="7560"/>
        </w:tabs>
        <w:spacing w:line="460" w:lineRule="exact"/>
        <w:ind w:firstLine="420" w:firstLineChars="200"/>
        <w:rPr>
          <w:color w:val="auto"/>
          <w:highlight w:val="none"/>
        </w:rPr>
      </w:pPr>
      <w:r>
        <w:rPr>
          <w:rFonts w:hint="eastAsia"/>
          <w:color w:val="auto"/>
          <w:highlight w:val="none"/>
          <w:lang w:eastAsia="zh-CN"/>
        </w:rPr>
        <w:t>1.</w:t>
      </w:r>
      <w:r>
        <w:rPr>
          <w:rFonts w:hint="eastAsia" w:cs="宋体"/>
          <w:color w:val="auto"/>
          <w:highlight w:val="none"/>
        </w:rPr>
        <w:t>根据你方</w:t>
      </w:r>
      <w:r>
        <w:rPr>
          <w:rFonts w:hint="eastAsia" w:cs="宋体"/>
          <w:color w:val="auto"/>
          <w:highlight w:val="none"/>
          <w:lang w:eastAsia="zh-CN"/>
        </w:rPr>
        <w:t>招标项目编号</w:t>
      </w:r>
      <w:r>
        <w:rPr>
          <w:rFonts w:hint="eastAsia" w:cs="宋体"/>
          <w:color w:val="auto"/>
          <w:highlight w:val="none"/>
        </w:rPr>
        <w:t>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招标项目编号</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的</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val="en-US" w:eastAsia="zh-CN"/>
        </w:rPr>
        <w:t>招标</w:t>
      </w:r>
      <w:r>
        <w:rPr>
          <w:rFonts w:hint="eastAsia" w:cs="宋体"/>
          <w:color w:val="auto"/>
          <w:highlight w:val="none"/>
          <w:u w:val="single"/>
        </w:rPr>
        <w:t>项目名称）</w:t>
      </w:r>
      <w:r>
        <w:rPr>
          <w:color w:val="auto"/>
          <w:highlight w:val="none"/>
          <w:u w:val="single"/>
        </w:rPr>
        <w:t xml:space="preserve">  </w:t>
      </w:r>
      <w:r>
        <w:rPr>
          <w:rFonts w:hint="eastAsia" w:cs="宋体"/>
          <w:color w:val="auto"/>
          <w:highlight w:val="none"/>
        </w:rPr>
        <w:t>工程招标文件，遵照《中华人民共和国招标投标法》等有关规定，经踏勘项目现场和研究上述招标文件的投标须知、合同条款、图纸、工程建设标准和工程量清单及其他有关文件后，我方愿以人民币（大写）</w:t>
      </w:r>
      <w:r>
        <w:rPr>
          <w:color w:val="auto"/>
          <w:highlight w:val="none"/>
          <w:u w:val="single"/>
        </w:rPr>
        <w:t xml:space="preserve">      </w:t>
      </w:r>
      <w:r>
        <w:rPr>
          <w:rFonts w:hint="eastAsia" w:cs="宋体"/>
          <w:color w:val="auto"/>
          <w:highlight w:val="none"/>
        </w:rPr>
        <w:t>（</w:t>
      </w:r>
      <w:r>
        <w:rPr>
          <w:color w:val="auto"/>
          <w:highlight w:val="none"/>
        </w:rPr>
        <w:t>RMB</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元）的投标总价并按上述图纸、合同条款、工程建设标准和工程量清单（如有时）的条件要求承包上述工程的施工、竣工，并承担任何质量缺陷保修责任。我方保证工程质量达到</w:t>
      </w:r>
      <w:r>
        <w:rPr>
          <w:color w:val="auto"/>
          <w:highlight w:val="none"/>
          <w:u w:val="single"/>
        </w:rPr>
        <w:t xml:space="preserve">       </w:t>
      </w:r>
      <w:r>
        <w:rPr>
          <w:rFonts w:hint="eastAsia" w:cs="宋体"/>
          <w:color w:val="auto"/>
          <w:highlight w:val="none"/>
        </w:rPr>
        <w:t>等级。</w:t>
      </w:r>
    </w:p>
    <w:p w14:paraId="0277FC0A">
      <w:pPr>
        <w:tabs>
          <w:tab w:val="left" w:pos="7560"/>
        </w:tabs>
        <w:spacing w:line="460" w:lineRule="exact"/>
        <w:ind w:firstLine="420" w:firstLineChars="200"/>
        <w:rPr>
          <w:color w:val="auto"/>
          <w:highlight w:val="none"/>
        </w:rPr>
      </w:pPr>
      <w:r>
        <w:rPr>
          <w:rFonts w:hint="eastAsia"/>
          <w:color w:val="auto"/>
          <w:highlight w:val="none"/>
          <w:lang w:eastAsia="zh-CN"/>
        </w:rPr>
        <w:t>2.</w:t>
      </w:r>
      <w:r>
        <w:rPr>
          <w:rFonts w:hint="eastAsia" w:cs="宋体"/>
          <w:color w:val="auto"/>
          <w:highlight w:val="none"/>
        </w:rPr>
        <w:t>我方已详细审核全部招标文件，包括修改文件（如有时）及有关附件。</w:t>
      </w:r>
    </w:p>
    <w:p w14:paraId="080B0F20">
      <w:pPr>
        <w:tabs>
          <w:tab w:val="left" w:pos="7560"/>
        </w:tabs>
        <w:spacing w:line="460" w:lineRule="exact"/>
        <w:ind w:firstLine="420" w:firstLineChars="200"/>
        <w:rPr>
          <w:color w:val="auto"/>
          <w:highlight w:val="none"/>
        </w:rPr>
      </w:pPr>
      <w:r>
        <w:rPr>
          <w:rFonts w:hint="eastAsia"/>
          <w:color w:val="auto"/>
          <w:highlight w:val="none"/>
          <w:lang w:eastAsia="zh-CN"/>
        </w:rPr>
        <w:t>3.</w:t>
      </w:r>
      <w:r>
        <w:rPr>
          <w:rFonts w:hint="eastAsia" w:cs="宋体"/>
          <w:color w:val="auto"/>
          <w:highlight w:val="none"/>
        </w:rPr>
        <w:t>我方承认投标函附录是我方投标函的组成部分。</w:t>
      </w:r>
    </w:p>
    <w:p w14:paraId="6350C67B">
      <w:pPr>
        <w:tabs>
          <w:tab w:val="left" w:pos="7560"/>
        </w:tabs>
        <w:spacing w:line="460" w:lineRule="exact"/>
        <w:ind w:firstLine="420" w:firstLineChars="200"/>
        <w:rPr>
          <w:color w:val="auto"/>
          <w:highlight w:val="none"/>
        </w:rPr>
      </w:pPr>
      <w:r>
        <w:rPr>
          <w:rFonts w:hint="eastAsia"/>
          <w:color w:val="auto"/>
          <w:highlight w:val="none"/>
          <w:lang w:eastAsia="zh-CN"/>
        </w:rPr>
        <w:t>4.</w:t>
      </w:r>
      <w:r>
        <w:rPr>
          <w:rFonts w:hint="eastAsia" w:cs="宋体"/>
          <w:color w:val="auto"/>
          <w:highlight w:val="none"/>
        </w:rPr>
        <w:t>一旦我方中标，我方保证按合同书中规定的工期</w:t>
      </w:r>
      <w:r>
        <w:rPr>
          <w:color w:val="auto"/>
          <w:highlight w:val="none"/>
          <w:u w:val="single"/>
        </w:rPr>
        <w:t xml:space="preserve">        </w:t>
      </w:r>
      <w:r>
        <w:rPr>
          <w:rFonts w:hint="eastAsia" w:cs="宋体"/>
          <w:color w:val="auto"/>
          <w:highlight w:val="none"/>
        </w:rPr>
        <w:t>日历天内完成并移交全部工程。</w:t>
      </w:r>
    </w:p>
    <w:p w14:paraId="421AB082">
      <w:pPr>
        <w:tabs>
          <w:tab w:val="left" w:pos="7560"/>
        </w:tabs>
        <w:spacing w:line="460" w:lineRule="exact"/>
        <w:ind w:firstLine="420" w:firstLineChars="200"/>
        <w:rPr>
          <w:color w:val="auto"/>
          <w:highlight w:val="none"/>
        </w:rPr>
      </w:pPr>
      <w:r>
        <w:rPr>
          <w:rFonts w:hint="eastAsia"/>
          <w:color w:val="auto"/>
          <w:highlight w:val="none"/>
          <w:lang w:eastAsia="zh-CN"/>
        </w:rPr>
        <w:t>5.</w:t>
      </w:r>
      <w:r>
        <w:rPr>
          <w:rFonts w:hint="eastAsia" w:cs="宋体"/>
          <w:color w:val="auto"/>
          <w:highlight w:val="none"/>
        </w:rPr>
        <w:t>如果我方中标，我方将按照文件规定提交履约保证金作为履约担保。</w:t>
      </w:r>
    </w:p>
    <w:p w14:paraId="0123E2F8">
      <w:pPr>
        <w:tabs>
          <w:tab w:val="left" w:pos="7560"/>
        </w:tabs>
        <w:spacing w:line="460" w:lineRule="exact"/>
        <w:ind w:firstLine="420" w:firstLineChars="200"/>
        <w:rPr>
          <w:color w:val="auto"/>
          <w:highlight w:val="none"/>
        </w:rPr>
      </w:pPr>
      <w:r>
        <w:rPr>
          <w:rFonts w:hint="eastAsia"/>
          <w:color w:val="auto"/>
          <w:highlight w:val="none"/>
          <w:lang w:eastAsia="zh-CN"/>
        </w:rPr>
        <w:t>6.</w:t>
      </w:r>
      <w:r>
        <w:rPr>
          <w:rFonts w:hint="eastAsia" w:cs="宋体"/>
          <w:color w:val="auto"/>
          <w:highlight w:val="none"/>
        </w:rPr>
        <w:t>我方同意所提交的投标文件在招标文件的“投标人须知”中第</w:t>
      </w:r>
      <w:r>
        <w:rPr>
          <w:color w:val="auto"/>
          <w:highlight w:val="none"/>
        </w:rPr>
        <w:t>3.3.1</w:t>
      </w:r>
      <w:r>
        <w:rPr>
          <w:rFonts w:hint="eastAsia" w:cs="宋体"/>
          <w:color w:val="auto"/>
          <w:highlight w:val="none"/>
        </w:rPr>
        <w:t>条规定的投标有效期内有效，在此期间内如果中标，我方将受此约束。</w:t>
      </w:r>
    </w:p>
    <w:p w14:paraId="662E9496">
      <w:pPr>
        <w:tabs>
          <w:tab w:val="left" w:pos="7560"/>
        </w:tabs>
        <w:spacing w:line="460" w:lineRule="exact"/>
        <w:ind w:firstLine="420" w:firstLineChars="200"/>
        <w:rPr>
          <w:color w:val="auto"/>
          <w:highlight w:val="none"/>
        </w:rPr>
      </w:pPr>
      <w:r>
        <w:rPr>
          <w:rFonts w:hint="eastAsia"/>
          <w:color w:val="auto"/>
          <w:highlight w:val="none"/>
          <w:lang w:eastAsia="zh-CN"/>
        </w:rPr>
        <w:t>7.</w:t>
      </w:r>
      <w:r>
        <w:rPr>
          <w:rFonts w:hint="eastAsia" w:cs="宋体"/>
          <w:color w:val="auto"/>
          <w:highlight w:val="none"/>
        </w:rPr>
        <w:t>除非另外达成协议并生效，你方的中标通知书和本投标文件将成为约束双方的合同文件的组成部分。</w:t>
      </w:r>
    </w:p>
    <w:p w14:paraId="72EE8D96">
      <w:pPr>
        <w:tabs>
          <w:tab w:val="left" w:pos="7560"/>
        </w:tabs>
        <w:spacing w:line="460" w:lineRule="exact"/>
        <w:ind w:firstLine="420" w:firstLineChars="200"/>
        <w:rPr>
          <w:color w:val="auto"/>
          <w:highlight w:val="none"/>
        </w:rPr>
      </w:pPr>
      <w:r>
        <w:rPr>
          <w:rFonts w:hint="eastAsia"/>
          <w:color w:val="auto"/>
          <w:highlight w:val="none"/>
          <w:lang w:eastAsia="zh-CN"/>
        </w:rPr>
        <w:t>8.</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p>
    <w:p w14:paraId="6D9EB93B">
      <w:pPr>
        <w:spacing w:line="360" w:lineRule="auto"/>
        <w:rPr>
          <w:color w:val="auto"/>
          <w:highlight w:val="none"/>
        </w:rPr>
      </w:pPr>
    </w:p>
    <w:p w14:paraId="6308AD04">
      <w:pPr>
        <w:spacing w:line="360" w:lineRule="auto"/>
        <w:rPr>
          <w:color w:val="auto"/>
          <w:highlight w:val="none"/>
        </w:rPr>
      </w:pPr>
    </w:p>
    <w:p w14:paraId="688E6CD9">
      <w:pPr>
        <w:spacing w:line="360" w:lineRule="auto"/>
        <w:rPr>
          <w:color w:val="auto"/>
          <w:highlight w:val="none"/>
        </w:rPr>
      </w:pPr>
    </w:p>
    <w:p w14:paraId="09FC9247">
      <w:pPr>
        <w:spacing w:line="360" w:lineRule="auto"/>
        <w:ind w:left="1000"/>
        <w:rPr>
          <w:rFonts w:hint="eastAsia" w:eastAsia="宋体"/>
          <w:color w:val="auto"/>
          <w:highlight w:val="none"/>
          <w:u w:val="single"/>
          <w:lang w:val="en-US" w:eastAsia="zh-CN"/>
        </w:rPr>
      </w:pPr>
      <w:r>
        <w:rPr>
          <w:color w:val="auto"/>
          <w:highlight w:val="none"/>
        </w:rPr>
        <w:t xml:space="preserve">         </w:t>
      </w:r>
      <w:r>
        <w:rPr>
          <w:rFonts w:hint="eastAsia" w:cs="宋体"/>
          <w:color w:val="auto"/>
          <w:highlight w:val="none"/>
        </w:rPr>
        <w:t>投</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r>
        <w:rPr>
          <w:rFonts w:hint="eastAsia" w:cs="宋体"/>
          <w:color w:val="auto"/>
          <w:highlight w:val="none"/>
          <w:u w:val="single"/>
          <w:lang w:val="en-US" w:eastAsia="zh-CN"/>
        </w:rPr>
        <w:t xml:space="preserve"> </w:t>
      </w:r>
    </w:p>
    <w:p w14:paraId="2A51B6B3">
      <w:pPr>
        <w:spacing w:line="360" w:lineRule="auto"/>
        <w:ind w:left="1000"/>
        <w:rPr>
          <w:color w:val="auto"/>
          <w:highlight w:val="none"/>
          <w:u w:val="single"/>
        </w:rPr>
      </w:pPr>
      <w:r>
        <w:rPr>
          <w:color w:val="auto"/>
          <w:highlight w:val="none"/>
        </w:rPr>
        <w:t xml:space="preserve">         </w:t>
      </w:r>
      <w:r>
        <w:rPr>
          <w:rFonts w:hint="eastAsia" w:cs="宋体"/>
          <w:color w:val="auto"/>
          <w:highlight w:val="none"/>
        </w:rPr>
        <w:t>单位地址：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49173C15">
      <w:pPr>
        <w:spacing w:line="360" w:lineRule="auto"/>
        <w:ind w:left="1000" w:leftChars="476" w:firstLine="945" w:firstLineChars="450"/>
        <w:rPr>
          <w:color w:val="auto"/>
          <w:highlight w:val="none"/>
        </w:rPr>
      </w:pPr>
      <w:r>
        <w:rPr>
          <w:rFonts w:hint="eastAsia" w:cs="宋体"/>
          <w:color w:val="auto"/>
          <w:highlight w:val="none"/>
        </w:rPr>
        <w:t>邮政编码：</w:t>
      </w:r>
      <w:r>
        <w:rPr>
          <w:color w:val="auto"/>
          <w:highlight w:val="none"/>
          <w:u w:val="single"/>
        </w:rPr>
        <w:t xml:space="preserve">          </w:t>
      </w:r>
      <w:r>
        <w:rPr>
          <w:rFonts w:hint="eastAsia" w:cs="宋体"/>
          <w:color w:val="auto"/>
          <w:highlight w:val="none"/>
        </w:rPr>
        <w:t>电话：</w:t>
      </w:r>
      <w:r>
        <w:rPr>
          <w:color w:val="auto"/>
          <w:highlight w:val="none"/>
          <w:u w:val="single"/>
        </w:rPr>
        <w:t xml:space="preserve">         </w:t>
      </w:r>
      <w:r>
        <w:rPr>
          <w:color w:val="auto"/>
          <w:highlight w:val="none"/>
        </w:rPr>
        <w:t xml:space="preserve"> </w:t>
      </w:r>
      <w:r>
        <w:rPr>
          <w:rFonts w:hint="eastAsia" w:cs="宋体"/>
          <w:color w:val="auto"/>
          <w:highlight w:val="none"/>
        </w:rPr>
        <w:t>传真：</w:t>
      </w:r>
      <w:r>
        <w:rPr>
          <w:color w:val="auto"/>
          <w:highlight w:val="none"/>
          <w:u w:val="single"/>
        </w:rPr>
        <w:t xml:space="preserve">          </w:t>
      </w:r>
    </w:p>
    <w:p w14:paraId="3CF5A6DF">
      <w:pPr>
        <w:spacing w:line="360" w:lineRule="auto"/>
        <w:ind w:left="1000"/>
        <w:rPr>
          <w:color w:val="auto"/>
          <w:highlight w:val="none"/>
        </w:rPr>
      </w:pPr>
      <w:r>
        <w:rPr>
          <w:color w:val="auto"/>
          <w:highlight w:val="none"/>
        </w:rPr>
        <w:t xml:space="preserve">         </w:t>
      </w:r>
      <w:r>
        <w:rPr>
          <w:rFonts w:hint="eastAsia" w:cs="宋体"/>
          <w:color w:val="auto"/>
          <w:highlight w:val="none"/>
        </w:rPr>
        <w:t>开户银行名称：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4B92B33A">
      <w:pPr>
        <w:spacing w:line="360" w:lineRule="auto"/>
        <w:ind w:left="1000"/>
        <w:rPr>
          <w:color w:val="auto"/>
          <w:highlight w:val="none"/>
        </w:rPr>
      </w:pPr>
      <w:r>
        <w:rPr>
          <w:color w:val="auto"/>
          <w:highlight w:val="none"/>
        </w:rPr>
        <w:t xml:space="preserve">         </w:t>
      </w:r>
      <w:r>
        <w:rPr>
          <w:rFonts w:hint="eastAsia" w:cs="宋体"/>
          <w:color w:val="auto"/>
          <w:highlight w:val="none"/>
        </w:rPr>
        <w:t>开户银行账号：</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7D2D783C">
      <w:pPr>
        <w:spacing w:line="360" w:lineRule="auto"/>
        <w:ind w:left="1000"/>
        <w:rPr>
          <w:color w:val="auto"/>
          <w:highlight w:val="none"/>
        </w:rPr>
      </w:pPr>
      <w:r>
        <w:rPr>
          <w:color w:val="auto"/>
          <w:highlight w:val="none"/>
        </w:rPr>
        <w:t xml:space="preserve">         </w:t>
      </w:r>
      <w:r>
        <w:rPr>
          <w:rFonts w:hint="eastAsia" w:cs="宋体"/>
          <w:color w:val="auto"/>
          <w:highlight w:val="none"/>
        </w:rPr>
        <w:t>开户银行地址：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440DA22F">
      <w:pPr>
        <w:spacing w:line="360" w:lineRule="auto"/>
        <w:ind w:left="1000"/>
        <w:rPr>
          <w:color w:val="auto"/>
          <w:highlight w:val="none"/>
        </w:rPr>
      </w:pPr>
      <w:r>
        <w:rPr>
          <w:color w:val="auto"/>
          <w:highlight w:val="none"/>
        </w:rPr>
        <w:t xml:space="preserve">         </w:t>
      </w:r>
      <w:r>
        <w:rPr>
          <w:rFonts w:hint="eastAsia" w:cs="宋体"/>
          <w:color w:val="auto"/>
          <w:highlight w:val="none"/>
        </w:rPr>
        <w:t>开户银行电话：</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78F06F83">
      <w:pPr>
        <w:spacing w:line="360" w:lineRule="auto"/>
        <w:ind w:right="420" w:firstLine="1974" w:firstLineChars="94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51DE4E4">
      <w:pPr>
        <w:spacing w:before="240" w:beforeLines="100" w:after="120" w:afterLines="50" w:line="510" w:lineRule="exact"/>
        <w:rPr>
          <w:color w:val="auto"/>
          <w:highlight w:val="none"/>
        </w:rPr>
      </w:pPr>
    </w:p>
    <w:p w14:paraId="58DAA864">
      <w:pPr>
        <w:spacing w:before="240" w:beforeLines="100" w:after="120" w:afterLines="50" w:line="510" w:lineRule="exact"/>
        <w:rPr>
          <w:color w:val="auto"/>
          <w:highlight w:val="none"/>
        </w:rPr>
        <w:sectPr>
          <w:pgSz w:w="11907" w:h="16840"/>
          <w:pgMar w:top="1440" w:right="1440" w:bottom="1440" w:left="1797" w:header="851" w:footer="851" w:gutter="0"/>
          <w:cols w:space="720" w:num="1"/>
          <w:docGrid w:linePitch="312" w:charSpace="0"/>
        </w:sectPr>
      </w:pPr>
    </w:p>
    <w:p w14:paraId="56DCDCB2">
      <w:pPr>
        <w:pStyle w:val="135"/>
        <w:jc w:val="center"/>
        <w:outlineLvl w:val="0"/>
        <w:rPr>
          <w:b/>
          <w:bCs/>
          <w:color w:val="auto"/>
          <w:highlight w:val="none"/>
        </w:rPr>
      </w:pPr>
      <w:bookmarkStart w:id="2281" w:name="_Toc389065357"/>
      <w:r>
        <w:rPr>
          <w:rFonts w:hint="eastAsia" w:cs="宋体"/>
          <w:b/>
          <w:bCs/>
          <w:color w:val="auto"/>
          <w:highlight w:val="none"/>
        </w:rPr>
        <w:t>二、投标函附录</w:t>
      </w:r>
      <w:bookmarkEnd w:id="2281"/>
    </w:p>
    <w:p w14:paraId="0C4898BA">
      <w:pPr>
        <w:pStyle w:val="135"/>
        <w:jc w:val="center"/>
        <w:rPr>
          <w:color w:val="auto"/>
          <w:sz w:val="28"/>
          <w:szCs w:val="28"/>
          <w:highlight w:val="none"/>
        </w:rPr>
      </w:pPr>
    </w:p>
    <w:p w14:paraId="67968523">
      <w:pPr>
        <w:ind w:firstLine="514" w:firstLineChars="245"/>
        <w:rPr>
          <w:rFonts w:hint="default" w:eastAsia="宋体" w:cs="宋体"/>
          <w:color w:val="auto"/>
          <w:highlight w:val="none"/>
          <w:u w:val="single"/>
          <w:lang w:val="en-US" w:eastAsia="zh-CN"/>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lang w:eastAsia="zh-CN"/>
        </w:rPr>
        <w:t>招标项目编号</w:t>
      </w:r>
      <w:r>
        <w:rPr>
          <w:rFonts w:hint="eastAsia" w:cs="宋体"/>
          <w:color w:val="auto"/>
          <w:highlight w:val="none"/>
          <w:u w:val="single"/>
        </w:rPr>
        <w:t>：</w:t>
      </w:r>
      <w:r>
        <w:rPr>
          <w:rFonts w:hint="eastAsia" w:cs="宋体"/>
          <w:color w:val="auto"/>
          <w:highlight w:val="none"/>
          <w:u w:val="single"/>
          <w:lang w:val="en-US" w:eastAsia="zh-CN"/>
        </w:rPr>
        <w:t xml:space="preserve">                 </w:t>
      </w:r>
    </w:p>
    <w:p w14:paraId="1EB3D9BB">
      <w:pPr>
        <w:ind w:firstLine="514" w:firstLineChars="245"/>
        <w:rPr>
          <w:rFonts w:hint="default" w:eastAsia="宋体"/>
          <w:color w:val="auto"/>
          <w:highlight w:val="none"/>
          <w:lang w:val="en-US" w:eastAsia="zh-CN"/>
        </w:rPr>
      </w:pPr>
      <w:r>
        <w:rPr>
          <w:rFonts w:hint="eastAsia" w:cs="宋体"/>
          <w:color w:val="auto"/>
          <w:highlight w:val="none"/>
          <w:u w:val="single"/>
          <w:lang w:val="en-US" w:eastAsia="zh-CN"/>
        </w:rPr>
        <w:t xml:space="preserve">标段编号：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075E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2A4B8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号</w:t>
            </w:r>
          </w:p>
        </w:tc>
        <w:tc>
          <w:tcPr>
            <w:tcW w:w="1985" w:type="dxa"/>
            <w:noWrap w:val="0"/>
            <w:vAlign w:val="center"/>
          </w:tcPr>
          <w:p w14:paraId="09C397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条款内容</w:t>
            </w:r>
          </w:p>
        </w:tc>
        <w:tc>
          <w:tcPr>
            <w:tcW w:w="2126" w:type="dxa"/>
            <w:noWrap w:val="0"/>
            <w:vAlign w:val="center"/>
          </w:tcPr>
          <w:p w14:paraId="63EF3E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合同条款号</w:t>
            </w:r>
          </w:p>
        </w:tc>
        <w:tc>
          <w:tcPr>
            <w:tcW w:w="1984" w:type="dxa"/>
            <w:noWrap w:val="0"/>
            <w:vAlign w:val="center"/>
          </w:tcPr>
          <w:p w14:paraId="348439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约定内容</w:t>
            </w:r>
          </w:p>
        </w:tc>
        <w:tc>
          <w:tcPr>
            <w:tcW w:w="1843" w:type="dxa"/>
            <w:noWrap w:val="0"/>
            <w:vAlign w:val="center"/>
          </w:tcPr>
          <w:p w14:paraId="7EFB2A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投标人响应情况</w:t>
            </w:r>
          </w:p>
        </w:tc>
      </w:tr>
      <w:tr w14:paraId="4232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F4863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1985" w:type="dxa"/>
            <w:noWrap w:val="0"/>
            <w:vAlign w:val="center"/>
          </w:tcPr>
          <w:p w14:paraId="4D2F396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2126" w:type="dxa"/>
            <w:noWrap w:val="0"/>
            <w:tcMar>
              <w:left w:w="170" w:type="dxa"/>
            </w:tcMar>
            <w:vAlign w:val="center"/>
          </w:tcPr>
          <w:p w14:paraId="2F58BB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3CAA218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姓名：</w:t>
            </w:r>
            <w:r>
              <w:rPr>
                <w:rFonts w:hint="default" w:ascii="Calibri" w:hAnsi="Calibri" w:eastAsia="宋体" w:cs="Times New Roman"/>
                <w:color w:val="auto"/>
                <w:highlight w:val="none"/>
                <w:u w:val="single"/>
              </w:rPr>
              <w:t xml:space="preserve">          </w:t>
            </w:r>
          </w:p>
        </w:tc>
        <w:tc>
          <w:tcPr>
            <w:tcW w:w="1843" w:type="dxa"/>
            <w:noWrap w:val="0"/>
            <w:vAlign w:val="center"/>
          </w:tcPr>
          <w:p w14:paraId="370BE1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5F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6B7A6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1985" w:type="dxa"/>
            <w:noWrap w:val="0"/>
            <w:vAlign w:val="center"/>
          </w:tcPr>
          <w:p w14:paraId="6223725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2126" w:type="dxa"/>
            <w:noWrap w:val="0"/>
            <w:tcMar>
              <w:left w:w="170" w:type="dxa"/>
            </w:tcMar>
            <w:vAlign w:val="center"/>
          </w:tcPr>
          <w:p w14:paraId="705F405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653423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75D18F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3AE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0A806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1985" w:type="dxa"/>
            <w:noWrap w:val="0"/>
            <w:vAlign w:val="center"/>
          </w:tcPr>
          <w:p w14:paraId="495C8FD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2126" w:type="dxa"/>
            <w:noWrap w:val="0"/>
            <w:tcMar>
              <w:left w:w="170" w:type="dxa"/>
            </w:tcMar>
            <w:vAlign w:val="center"/>
          </w:tcPr>
          <w:p w14:paraId="651996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44101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6C01A1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68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28393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1985" w:type="dxa"/>
            <w:noWrap w:val="0"/>
            <w:vAlign w:val="center"/>
          </w:tcPr>
          <w:p w14:paraId="12743C9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缺陷责任期</w:t>
            </w:r>
          </w:p>
        </w:tc>
        <w:tc>
          <w:tcPr>
            <w:tcW w:w="2126" w:type="dxa"/>
            <w:noWrap w:val="0"/>
            <w:tcMar>
              <w:left w:w="170" w:type="dxa"/>
            </w:tcMar>
            <w:vAlign w:val="center"/>
          </w:tcPr>
          <w:p w14:paraId="5D61DC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243F10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38ED11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B0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5FEA2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1985" w:type="dxa"/>
            <w:noWrap w:val="0"/>
            <w:vAlign w:val="center"/>
          </w:tcPr>
          <w:p w14:paraId="4F24213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发包人支付担保</w:t>
            </w:r>
          </w:p>
        </w:tc>
        <w:tc>
          <w:tcPr>
            <w:tcW w:w="2126" w:type="dxa"/>
            <w:noWrap w:val="0"/>
            <w:tcMar>
              <w:left w:w="170" w:type="dxa"/>
            </w:tcMar>
            <w:vAlign w:val="center"/>
          </w:tcPr>
          <w:p w14:paraId="69197B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326C7A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4CA779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51B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D0B6A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1985" w:type="dxa"/>
            <w:noWrap w:val="0"/>
            <w:vAlign w:val="center"/>
          </w:tcPr>
          <w:p w14:paraId="15D9F3F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承包人履约担保金额</w:t>
            </w:r>
          </w:p>
        </w:tc>
        <w:tc>
          <w:tcPr>
            <w:tcW w:w="2126" w:type="dxa"/>
            <w:noWrap w:val="0"/>
            <w:tcMar>
              <w:left w:w="170" w:type="dxa"/>
            </w:tcMar>
            <w:vAlign w:val="center"/>
          </w:tcPr>
          <w:p w14:paraId="6495B9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146A40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4C0CFD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4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6D9C5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1985" w:type="dxa"/>
            <w:noWrap w:val="0"/>
            <w:vAlign w:val="center"/>
          </w:tcPr>
          <w:p w14:paraId="09F32D9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分包</w:t>
            </w:r>
          </w:p>
        </w:tc>
        <w:tc>
          <w:tcPr>
            <w:tcW w:w="2126" w:type="dxa"/>
            <w:noWrap w:val="0"/>
            <w:tcMar>
              <w:left w:w="170" w:type="dxa"/>
            </w:tcMar>
            <w:vAlign w:val="center"/>
          </w:tcPr>
          <w:p w14:paraId="6AA1F7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14E0E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见分包项目情况表</w:t>
            </w:r>
          </w:p>
        </w:tc>
        <w:tc>
          <w:tcPr>
            <w:tcW w:w="1843" w:type="dxa"/>
            <w:noWrap w:val="0"/>
            <w:vAlign w:val="center"/>
          </w:tcPr>
          <w:p w14:paraId="514E00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E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D4AD1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1985" w:type="dxa"/>
            <w:noWrap w:val="0"/>
            <w:vAlign w:val="center"/>
          </w:tcPr>
          <w:p w14:paraId="2C406CD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w:t>
            </w:r>
          </w:p>
        </w:tc>
        <w:tc>
          <w:tcPr>
            <w:tcW w:w="2126" w:type="dxa"/>
            <w:noWrap w:val="0"/>
            <w:tcMar>
              <w:left w:w="170" w:type="dxa"/>
            </w:tcMar>
            <w:vAlign w:val="center"/>
          </w:tcPr>
          <w:p w14:paraId="345716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52CEF3C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029A65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89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40566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1985" w:type="dxa"/>
            <w:noWrap w:val="0"/>
            <w:vAlign w:val="center"/>
          </w:tcPr>
          <w:p w14:paraId="7FA93CC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逾期竣工违约金最高限额</w:t>
            </w:r>
          </w:p>
        </w:tc>
        <w:tc>
          <w:tcPr>
            <w:tcW w:w="2126" w:type="dxa"/>
            <w:noWrap w:val="0"/>
            <w:tcMar>
              <w:left w:w="170" w:type="dxa"/>
            </w:tcMar>
            <w:vAlign w:val="center"/>
          </w:tcPr>
          <w:p w14:paraId="0E78C5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0D500B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5F40FE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7CA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983CF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1985" w:type="dxa"/>
            <w:noWrap w:val="0"/>
            <w:vAlign w:val="center"/>
          </w:tcPr>
          <w:p w14:paraId="2C46756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质量标准</w:t>
            </w:r>
          </w:p>
        </w:tc>
        <w:tc>
          <w:tcPr>
            <w:tcW w:w="2126" w:type="dxa"/>
            <w:noWrap w:val="0"/>
            <w:tcMar>
              <w:left w:w="170" w:type="dxa"/>
            </w:tcMar>
            <w:vAlign w:val="center"/>
          </w:tcPr>
          <w:p w14:paraId="2BF11E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40303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66E499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60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12A0F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1985" w:type="dxa"/>
            <w:noWrap w:val="0"/>
            <w:vAlign w:val="center"/>
          </w:tcPr>
          <w:p w14:paraId="429D08CC">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预付款额度</w:t>
            </w:r>
          </w:p>
        </w:tc>
        <w:tc>
          <w:tcPr>
            <w:tcW w:w="2126" w:type="dxa"/>
            <w:noWrap w:val="0"/>
            <w:tcMar>
              <w:left w:w="170" w:type="dxa"/>
            </w:tcMar>
            <w:vAlign w:val="center"/>
          </w:tcPr>
          <w:p w14:paraId="660013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41B75F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6820EC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CA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7F165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1985" w:type="dxa"/>
            <w:noWrap w:val="0"/>
            <w:vAlign w:val="center"/>
          </w:tcPr>
          <w:p w14:paraId="485CCEE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预付款保函金额</w:t>
            </w:r>
          </w:p>
        </w:tc>
        <w:tc>
          <w:tcPr>
            <w:tcW w:w="2126" w:type="dxa"/>
            <w:noWrap w:val="0"/>
            <w:tcMar>
              <w:left w:w="170" w:type="dxa"/>
            </w:tcMar>
            <w:vAlign w:val="center"/>
          </w:tcPr>
          <w:p w14:paraId="307D98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7A713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327969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603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66F1B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1985" w:type="dxa"/>
            <w:noWrap w:val="0"/>
            <w:vAlign w:val="center"/>
          </w:tcPr>
          <w:p w14:paraId="0B34FBC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质量保证金额度</w:t>
            </w:r>
          </w:p>
        </w:tc>
        <w:tc>
          <w:tcPr>
            <w:tcW w:w="2126" w:type="dxa"/>
            <w:noWrap w:val="0"/>
            <w:tcMar>
              <w:left w:w="170" w:type="dxa"/>
            </w:tcMar>
            <w:vAlign w:val="center"/>
          </w:tcPr>
          <w:p w14:paraId="373695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6AE734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结算价的</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default" w:ascii="Calibri" w:hAnsi="Calibri" w:eastAsia="宋体" w:cs="Times New Roman"/>
                <w:color w:val="auto"/>
                <w:highlight w:val="none"/>
                <w:u w:val="single"/>
              </w:rPr>
              <w:t xml:space="preserve"> </w:t>
            </w:r>
          </w:p>
        </w:tc>
        <w:tc>
          <w:tcPr>
            <w:tcW w:w="1843" w:type="dxa"/>
            <w:noWrap w:val="0"/>
            <w:vAlign w:val="center"/>
          </w:tcPr>
          <w:p w14:paraId="421D8B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0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B9D4D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985" w:type="dxa"/>
            <w:noWrap w:val="0"/>
            <w:vAlign w:val="center"/>
          </w:tcPr>
          <w:p w14:paraId="5DEEF0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126" w:type="dxa"/>
            <w:noWrap w:val="0"/>
            <w:tcMar>
              <w:left w:w="170" w:type="dxa"/>
            </w:tcMar>
            <w:vAlign w:val="center"/>
          </w:tcPr>
          <w:p w14:paraId="19A32C1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6A8C4C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4B94ED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43A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573E25C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说明：投标人在响应招标文件中规定的实质性要求和条件的基础上，可做出其他有利于招标人的承诺。此类承诺可在本表中予以补充填写。</w:t>
            </w:r>
          </w:p>
        </w:tc>
      </w:tr>
    </w:tbl>
    <w:p w14:paraId="4CAE777E">
      <w:pPr>
        <w:spacing w:line="480" w:lineRule="exact"/>
        <w:ind w:firstLine="420" w:firstLineChars="200"/>
        <w:rPr>
          <w:color w:val="auto"/>
          <w:highlight w:val="none"/>
        </w:rPr>
      </w:pPr>
      <w:r>
        <w:rPr>
          <w:rFonts w:hint="eastAsia" w:cs="宋体"/>
          <w:color w:val="auto"/>
          <w:highlight w:val="none"/>
        </w:rPr>
        <w:t>投标人（</w:t>
      </w:r>
      <w:r>
        <w:rPr>
          <w:rFonts w:hint="eastAsia" w:cs="宋体"/>
          <w:color w:val="auto"/>
          <w:highlight w:val="none"/>
          <w:lang w:eastAsia="zh-CN"/>
        </w:rPr>
        <w:t>盖法人单位电子印章</w:t>
      </w:r>
      <w:r>
        <w:rPr>
          <w:rFonts w:hint="eastAsia" w:cs="宋体"/>
          <w:color w:val="auto"/>
          <w:highlight w:val="none"/>
        </w:rPr>
        <w:t>）：</w:t>
      </w:r>
    </w:p>
    <w:p w14:paraId="5757C9C9">
      <w:pPr>
        <w:spacing w:line="480" w:lineRule="exact"/>
        <w:ind w:firstLine="420" w:firstLineChars="20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39F01A3">
      <w:pPr>
        <w:spacing w:line="480" w:lineRule="auto"/>
        <w:ind w:firstLine="525" w:firstLineChars="250"/>
        <w:rPr>
          <w:color w:val="auto"/>
          <w:highlight w:val="none"/>
        </w:rPr>
      </w:pPr>
    </w:p>
    <w:p w14:paraId="4BDE45AA">
      <w:pPr>
        <w:spacing w:line="480" w:lineRule="auto"/>
        <w:ind w:firstLine="525" w:firstLineChars="250"/>
        <w:rPr>
          <w:color w:val="auto"/>
          <w:highlight w:val="none"/>
        </w:rPr>
      </w:pPr>
    </w:p>
    <w:p w14:paraId="5856E9B1">
      <w:pPr>
        <w:pStyle w:val="135"/>
        <w:jc w:val="center"/>
        <w:outlineLvl w:val="0"/>
        <w:rPr>
          <w:rFonts w:hint="eastAsia" w:eastAsia="宋体" w:cs="宋体"/>
          <w:b/>
          <w:bCs/>
          <w:color w:val="auto"/>
          <w:sz w:val="24"/>
          <w:szCs w:val="24"/>
          <w:highlight w:val="none"/>
          <w:lang w:val="en-US" w:eastAsia="zh-CN"/>
        </w:rPr>
      </w:pPr>
      <w:r>
        <w:rPr>
          <w:color w:val="auto"/>
          <w:highlight w:val="none"/>
        </w:rPr>
        <w:br w:type="page"/>
      </w:r>
      <w:bookmarkStart w:id="2282" w:name="_Toc389065358"/>
      <w:bookmarkStart w:id="2283" w:name="_Toc349555832"/>
      <w:bookmarkStart w:id="2284" w:name="_Toc349639687"/>
      <w:bookmarkStart w:id="2285" w:name="_Toc349215560"/>
      <w:bookmarkStart w:id="2286" w:name="_Toc349558044"/>
      <w:bookmarkStart w:id="2287" w:name="_Toc349640339"/>
      <w:bookmarkStart w:id="2288" w:name="_Toc349557654"/>
      <w:r>
        <w:rPr>
          <w:rFonts w:hint="eastAsia" w:cs="宋体"/>
          <w:b/>
          <w:bCs/>
          <w:color w:val="auto"/>
          <w:sz w:val="24"/>
          <w:szCs w:val="24"/>
          <w:highlight w:val="none"/>
          <w:lang w:val="en-US" w:eastAsia="zh-CN"/>
        </w:rPr>
        <w:t xml:space="preserve"> </w:t>
      </w:r>
      <w:bookmarkEnd w:id="2282"/>
      <w:bookmarkEnd w:id="2283"/>
      <w:bookmarkEnd w:id="2284"/>
      <w:bookmarkEnd w:id="2285"/>
      <w:bookmarkEnd w:id="2286"/>
      <w:bookmarkEnd w:id="2287"/>
      <w:bookmarkEnd w:id="2288"/>
      <w:r>
        <w:rPr>
          <w:rFonts w:hint="eastAsia"/>
          <w:color w:val="auto"/>
          <w:sz w:val="24"/>
          <w:szCs w:val="24"/>
          <w:highlight w:val="none"/>
          <w:lang w:val="en-US" w:eastAsia="zh-CN"/>
        </w:rPr>
        <w:t>三</w:t>
      </w:r>
      <w:bookmarkStart w:id="2289" w:name="_Toc389065359"/>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已标价工程量清单</w:t>
      </w:r>
    </w:p>
    <w:p w14:paraId="4E14584B">
      <w:pPr>
        <w:pStyle w:val="135"/>
        <w:jc w:val="center"/>
        <w:outlineLvl w:val="0"/>
        <w:rPr>
          <w:rFonts w:hint="eastAsia" w:cs="宋体"/>
          <w:b/>
          <w:bCs/>
          <w:color w:val="auto"/>
          <w:sz w:val="24"/>
          <w:szCs w:val="24"/>
          <w:highlight w:val="none"/>
          <w:lang w:eastAsia="zh-CN"/>
        </w:rPr>
      </w:pPr>
    </w:p>
    <w:p w14:paraId="76F1568D">
      <w:pPr>
        <w:pStyle w:val="4"/>
        <w:spacing w:line="360" w:lineRule="auto"/>
        <w:ind w:firstLine="422" w:firstLineChars="200"/>
        <w:rPr>
          <w:rFonts w:hint="default"/>
          <w:color w:val="auto"/>
          <w:sz w:val="21"/>
          <w:szCs w:val="21"/>
          <w:highlight w:val="none"/>
          <w:lang w:val="en-US" w:eastAsia="zh-CN"/>
        </w:rPr>
      </w:pPr>
      <w:r>
        <w:rPr>
          <w:rFonts w:hint="eastAsia" w:cs="宋体"/>
          <w:b/>
          <w:bCs/>
          <w:color w:val="auto"/>
          <w:sz w:val="21"/>
          <w:szCs w:val="21"/>
          <w:highlight w:val="none"/>
          <w:lang w:val="en-US" w:eastAsia="zh-CN"/>
        </w:rPr>
        <w:t xml:space="preserve"> </w:t>
      </w:r>
      <w:bookmarkStart w:id="2290" w:name="_Toc18100"/>
      <w:r>
        <w:rPr>
          <w:rFonts w:hint="eastAsia"/>
          <w:color w:val="auto"/>
          <w:sz w:val="21"/>
          <w:szCs w:val="21"/>
          <w:highlight w:val="none"/>
          <w:lang w:val="en-US" w:eastAsia="zh-CN"/>
        </w:rPr>
        <w:t>1投标报价要求</w:t>
      </w:r>
      <w:bookmarkEnd w:id="2290"/>
    </w:p>
    <w:p w14:paraId="077A762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w:t>
      </w:r>
      <w:r>
        <w:rPr>
          <w:rFonts w:hint="eastAsia" w:ascii="Times New Roman" w:hAnsi="Times New Roman" w:eastAsia="宋体" w:cs="宋体"/>
          <w:color w:val="auto"/>
          <w:highlight w:val="none"/>
        </w:rPr>
        <w:t xml:space="preserve"> 投标</w:t>
      </w:r>
      <w:r>
        <w:rPr>
          <w:rFonts w:hint="eastAsia" w:ascii="Times New Roman" w:hAnsi="Times New Roman" w:eastAsia="宋体" w:cs="宋体"/>
          <w:color w:val="auto"/>
          <w:highlight w:val="none"/>
          <w:lang w:val="zh-TW"/>
        </w:rPr>
        <w:t>人</w:t>
      </w:r>
      <w:r>
        <w:rPr>
          <w:rFonts w:hint="eastAsia" w:ascii="Times New Roman" w:hAnsi="Times New Roman" w:eastAsia="宋体" w:cs="宋体"/>
          <w:color w:val="auto"/>
          <w:highlight w:val="none"/>
        </w:rPr>
        <w:t>依据招标文件、招标工程量清单以及《计价规范》《计算规范》自主确定投标报价</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lang w:val="zh-TW"/>
        </w:rPr>
        <w:t>并应对已标价工程量清单填报价格的一致性及合理性负责，承担不合理报价及总价合同工程量清单缺陷等风险</w:t>
      </w:r>
      <w:r>
        <w:rPr>
          <w:rFonts w:hint="eastAsia" w:ascii="Times New Roman" w:hAnsi="Times New Roman" w:eastAsia="宋体" w:cs="宋体"/>
          <w:color w:val="auto"/>
          <w:highlight w:val="none"/>
        </w:rPr>
        <w:t>。</w:t>
      </w:r>
    </w:p>
    <w:p w14:paraId="1DA244E5">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1.2  </w:t>
      </w:r>
      <w:r>
        <w:rPr>
          <w:rFonts w:hint="eastAsia" w:ascii="Times New Roman" w:hAnsi="Times New Roman" w:eastAsia="宋体" w:cs="宋体"/>
          <w:color w:val="auto"/>
          <w:highlight w:val="none"/>
        </w:rPr>
        <w:t>投标人的投标报价不得低于成本价，且不得高于招标人公布的最高投标限价。</w:t>
      </w:r>
    </w:p>
    <w:p w14:paraId="4F6109B2">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1.3</w:t>
      </w:r>
      <w:r>
        <w:rPr>
          <w:rFonts w:hint="eastAsia" w:ascii="Times New Roman" w:hAnsi="Times New Roman" w:eastAsia="宋体" w:cs="宋体"/>
          <w:color w:val="auto"/>
          <w:highlight w:val="none"/>
          <w:lang w:val="zh-TW"/>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。投标人对计划工期或招标人澄清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后的计划工期无疑问或无异议的，投标人应根据自身的实施方案、施工技术、管理水平、合同履约风险及</w:t>
      </w:r>
      <w:r>
        <w:rPr>
          <w:rFonts w:hint="default" w:ascii="Times New Roman" w:hAnsi="Times New Roman" w:eastAsia="宋体" w:cs="宋体"/>
          <w:color w:val="auto"/>
          <w:highlight w:val="none"/>
          <w:lang w:val="en-US"/>
        </w:rPr>
        <w:t>暂估</w:t>
      </w:r>
      <w:r>
        <w:rPr>
          <w:rFonts w:hint="eastAsia" w:ascii="Times New Roman" w:hAnsi="Times New Roman" w:eastAsia="宋体" w:cs="宋体"/>
          <w:color w:val="auto"/>
          <w:highlight w:val="none"/>
        </w:rPr>
        <w:t>专业工程工期等合理确定投标工期并投标报价。投标工期不</w:t>
      </w:r>
      <w:r>
        <w:rPr>
          <w:rFonts w:hint="eastAsia" w:ascii="Times New Roman" w:hAnsi="Times New Roman" w:eastAsia="宋体" w:cs="宋体"/>
          <w:color w:val="auto"/>
          <w:highlight w:val="none"/>
          <w:lang w:val="en-US" w:eastAsia="zh-CN"/>
        </w:rPr>
        <w:t>得</w:t>
      </w:r>
      <w:r>
        <w:rPr>
          <w:rFonts w:hint="eastAsia" w:ascii="Times New Roman" w:hAnsi="Times New Roman" w:eastAsia="宋体" w:cs="宋体"/>
          <w:color w:val="auto"/>
          <w:highlight w:val="none"/>
        </w:rPr>
        <w:t>超过招标人的计划工期或澄清修</w:t>
      </w:r>
      <w:r>
        <w:rPr>
          <w:rFonts w:hint="eastAsia" w:ascii="Times New Roman" w:hAnsi="Times New Roman" w:eastAsia="宋体" w:cs="宋体"/>
          <w:color w:val="auto"/>
          <w:highlight w:val="none"/>
          <w:lang w:val="en-US" w:eastAsia="zh-CN"/>
        </w:rPr>
        <w:t>正</w:t>
      </w:r>
      <w:r>
        <w:rPr>
          <w:rFonts w:hint="eastAsia" w:ascii="Times New Roman" w:hAnsi="Times New Roman" w:eastAsia="宋体" w:cs="宋体"/>
          <w:color w:val="auto"/>
          <w:highlight w:val="none"/>
        </w:rPr>
        <w:t>的计划工期。</w:t>
      </w:r>
    </w:p>
    <w:p w14:paraId="099247E7">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1.4</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工程特点、合同要求及现场踏勘情况，复查措施项目清单列项的完整性和适用性。如投标人对措施项目清单有疑问或异议的，可按招标文件的规定以书面形式提请招标人澄清</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招标人核实后作出修正的，投标人应按修正后的</w:t>
      </w:r>
      <w:r>
        <w:rPr>
          <w:rFonts w:hint="eastAsia" w:ascii="Times New Roman" w:hAnsi="Times New Roman" w:eastAsia="宋体" w:cs="宋体"/>
          <w:color w:val="auto"/>
          <w:highlight w:val="none"/>
          <w:lang w:eastAsia="zh-CN"/>
        </w:rPr>
        <w:t>措施</w:t>
      </w:r>
      <w:r>
        <w:rPr>
          <w:rFonts w:hint="eastAsia" w:ascii="Times New Roman" w:hAnsi="Times New Roman" w:eastAsia="宋体" w:cs="宋体"/>
          <w:color w:val="auto"/>
          <w:highlight w:val="none"/>
        </w:rPr>
        <w:t>项目清单进行投标报价。若投标人认为需要增加措施项目的，可在措施项目中补充列项及报价，并对措施项目清单的准确性和完整性负责。</w:t>
      </w:r>
    </w:p>
    <w:p w14:paraId="349A6BF4">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1.5</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采用单价合同的招标工程，投标人应在接收招标文件后，在规定时间内对招标工程量清单的分部分项工程项目清单进行复核。如投标人对分部分项</w:t>
      </w:r>
      <w:r>
        <w:rPr>
          <w:rFonts w:hint="eastAsia" w:ascii="Times New Roman" w:hAnsi="Times New Roman" w:eastAsia="宋体" w:cs="宋体"/>
          <w:color w:val="auto"/>
          <w:highlight w:val="none"/>
          <w:lang w:eastAsia="zh-CN"/>
        </w:rPr>
        <w:t>工</w:t>
      </w:r>
      <w:r>
        <w:rPr>
          <w:rFonts w:hint="eastAsia" w:ascii="Times New Roman" w:hAnsi="Times New Roman" w:eastAsia="宋体" w:cs="宋体"/>
          <w:color w:val="auto"/>
          <w:highlight w:val="none"/>
        </w:rPr>
        <w:t>程项目清单有疑问或异议的，应按招标文件的规定以书面形式提请招标</w:t>
      </w:r>
      <w:r>
        <w:rPr>
          <w:rFonts w:hint="default" w:ascii="Times New Roman" w:hAnsi="Times New Roman" w:eastAsia="宋体" w:cs="宋体"/>
          <w:color w:val="auto"/>
          <w:highlight w:val="none"/>
          <w:lang w:val="en-US"/>
        </w:rPr>
        <w:t>人</w:t>
      </w:r>
      <w:r>
        <w:rPr>
          <w:rFonts w:hint="eastAsia" w:ascii="Times New Roman" w:hAnsi="Times New Roman" w:eastAsia="宋体" w:cs="宋体"/>
          <w:color w:val="auto"/>
          <w:highlight w:val="none"/>
        </w:rPr>
        <w:t>澄清，招标人核实后作出修正的，投标人应按修正后的分部分项工程项目清单进行投标报价。无论投标人是否已提出疑问或异议，分部分项工程项目清单的完整性和准</w:t>
      </w:r>
      <w:r>
        <w:rPr>
          <w:rFonts w:hint="default" w:ascii="Times New Roman" w:hAnsi="Times New Roman" w:eastAsia="宋体" w:cs="宋体"/>
          <w:color w:val="auto"/>
          <w:highlight w:val="none"/>
          <w:lang w:val="en-US"/>
        </w:rPr>
        <w:t>确性由招标人负责</w:t>
      </w:r>
      <w:r>
        <w:rPr>
          <w:rFonts w:hint="eastAsia" w:ascii="Times New Roman" w:hAnsi="Times New Roman" w:eastAsia="宋体" w:cs="宋体"/>
          <w:color w:val="auto"/>
          <w:highlight w:val="none"/>
        </w:rPr>
        <w:t>。</w:t>
      </w:r>
    </w:p>
    <w:p w14:paraId="0581C29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1.6</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总价合同的招标工程，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w:t>
      </w:r>
      <w:r>
        <w:rPr>
          <w:rFonts w:hint="eastAsia" w:cs="宋体"/>
          <w:color w:val="auto"/>
          <w:highlight w:val="none"/>
          <w:lang w:eastAsia="zh-CN"/>
        </w:rPr>
        <w:t>（</w:t>
      </w:r>
      <w:r>
        <w:rPr>
          <w:rFonts w:hint="eastAsia" w:ascii="Times New Roman" w:hAnsi="Times New Roman" w:eastAsia="宋体" w:cs="宋体"/>
          <w:color w:val="auto"/>
          <w:highlight w:val="none"/>
        </w:rPr>
        <w:t>如有</w:t>
      </w:r>
      <w:r>
        <w:rPr>
          <w:rFonts w:hint="eastAsia" w:cs="宋体"/>
          <w:color w:val="auto"/>
          <w:highlight w:val="none"/>
          <w:lang w:eastAsia="zh-CN"/>
        </w:rPr>
        <w:t>）</w:t>
      </w:r>
      <w:r>
        <w:rPr>
          <w:rFonts w:hint="eastAsia" w:ascii="Times New Roman" w:hAnsi="Times New Roman" w:eastAsia="宋体" w:cs="宋体"/>
          <w:color w:val="auto"/>
          <w:highlight w:val="none"/>
        </w:rPr>
        <w:t>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w:t>
      </w:r>
      <w:r>
        <w:rPr>
          <w:rFonts w:hint="eastAsia" w:cs="宋体"/>
          <w:color w:val="auto"/>
          <w:highlight w:val="none"/>
          <w:lang w:eastAsia="zh-CN"/>
        </w:rPr>
        <w:t>或</w:t>
      </w:r>
      <w:r>
        <w:rPr>
          <w:rFonts w:hint="eastAsia" w:ascii="Times New Roman" w:hAnsi="Times New Roman" w:eastAsia="宋体" w:cs="宋体"/>
          <w:color w:val="auto"/>
          <w:highlight w:val="none"/>
        </w:rPr>
        <w:t>对分部分项工程项目清单做出补充完善及报价，除招标工程量清单说明为暂定数量的单价计价分部分项工程项目清单外，合同价格不应因存在工程量清单缺陷而调整。</w:t>
      </w:r>
    </w:p>
    <w:p w14:paraId="3C231222">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 xml:space="preserve">1.7  </w:t>
      </w:r>
      <w:r>
        <w:rPr>
          <w:rFonts w:hint="eastAsia" w:ascii="Times New Roman" w:hAnsi="Times New Roman" w:eastAsia="宋体" w:cs="宋体"/>
          <w:color w:val="auto"/>
          <w:highlight w:val="none"/>
        </w:rPr>
        <w:t>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50D7FFA4">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1.8  </w:t>
      </w:r>
      <w:r>
        <w:rPr>
          <w:rFonts w:hint="eastAsia" w:ascii="Times New Roman" w:hAnsi="Times New Roman" w:eastAsia="宋体" w:cs="宋体"/>
          <w:color w:val="auto"/>
          <w:highlight w:val="none"/>
        </w:rPr>
        <w:t>采用单价合同的工程，投标人应按要求完整填报工程量清单中所有清单项目的综合单价及其合价和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w:t>
      </w:r>
      <w:r>
        <w:rPr>
          <w:rFonts w:hint="default" w:ascii="Times New Roman" w:hAnsi="Times New Roman" w:eastAsia="宋体" w:cs="宋体"/>
          <w:color w:val="auto"/>
          <w:highlight w:val="none"/>
          <w:lang w:val="en-US"/>
        </w:rPr>
        <w:t>其他的清单项目</w:t>
      </w:r>
      <w:r>
        <w:rPr>
          <w:rFonts w:hint="eastAsia" w:ascii="Times New Roman" w:hAnsi="Times New Roman" w:eastAsia="宋体" w:cs="宋体"/>
          <w:color w:val="auto"/>
          <w:highlight w:val="none"/>
        </w:rPr>
        <w:t>中。</w:t>
      </w:r>
    </w:p>
    <w:p w14:paraId="25005C3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1.9  </w:t>
      </w:r>
      <w:r>
        <w:rPr>
          <w:rFonts w:hint="eastAsia" w:ascii="Times New Roman" w:hAnsi="Times New Roman" w:eastAsia="宋体" w:cs="宋体"/>
          <w:color w:val="auto"/>
          <w:highlight w:val="none"/>
        </w:rPr>
        <w:t>采用总价合同的工程，投标人应按规定补充完善工程量清单，并完整填报工程量清单中所有清单项目的综合单价及其合价和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清单项目价格的，相关清单项目报价可视为已包含在其他的清单项目中。</w:t>
      </w:r>
    </w:p>
    <w:p w14:paraId="2413C0AB">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1.10</w:t>
      </w:r>
      <w:r>
        <w:rPr>
          <w:rFonts w:hint="eastAsia" w:ascii="Times New Roman" w:hAnsi="Times New Roman" w:eastAsia="宋体" w:cs="宋体"/>
          <w:color w:val="auto"/>
          <w:highlight w:val="none"/>
        </w:rPr>
        <w:t xml:space="preserve">  投标人的投标总价应</w:t>
      </w:r>
      <w:r>
        <w:rPr>
          <w:rFonts w:hint="eastAsia" w:ascii="Times New Roman" w:hAnsi="Times New Roman" w:eastAsia="宋体" w:cs="宋体"/>
          <w:color w:val="auto"/>
          <w:highlight w:val="none"/>
          <w:lang w:val="en-US" w:eastAsia="zh-CN"/>
        </w:rPr>
        <w:t>当与已标价工程量清单所含各项清单</w:t>
      </w:r>
      <w:r>
        <w:rPr>
          <w:rFonts w:hint="eastAsia" w:ascii="Times New Roman" w:hAnsi="Times New Roman" w:eastAsia="宋体" w:cs="宋体"/>
          <w:color w:val="auto"/>
          <w:highlight w:val="none"/>
        </w:rPr>
        <w:t>合价总额一致。</w:t>
      </w:r>
    </w:p>
    <w:p w14:paraId="3E20D5A1">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b w:val="0"/>
          <w:bCs w:val="0"/>
          <w:color w:val="auto"/>
          <w:sz w:val="21"/>
          <w:szCs w:val="21"/>
          <w:highlight w:val="none"/>
          <w:lang w:val="en-US" w:eastAsia="zh-CN"/>
        </w:rPr>
        <w:t>.11投标报价编制应</w:t>
      </w:r>
      <w:r>
        <w:rPr>
          <w:rFonts w:hint="eastAsia" w:ascii="宋体" w:hAnsi="宋体" w:eastAsia="宋体" w:cs="宋体"/>
          <w:b w:val="0"/>
          <w:bCs/>
          <w:color w:val="auto"/>
          <w:sz w:val="21"/>
          <w:szCs w:val="21"/>
          <w:highlight w:val="none"/>
          <w:lang w:val="zh-TW" w:eastAsia="zh-CN"/>
        </w:rPr>
        <w:t>符合下列规定：</w:t>
      </w:r>
    </w:p>
    <w:p w14:paraId="3C0E92F1">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宋体"/>
          <w:color w:val="auto"/>
          <w:highlight w:val="none"/>
        </w:rPr>
        <w:t>《计价规范》</w:t>
      </w:r>
      <w:r>
        <w:rPr>
          <w:rFonts w:hint="eastAsia" w:ascii="宋体" w:hAnsi="宋体" w:eastAsia="宋体" w:cs="宋体"/>
          <w:color w:val="auto"/>
          <w:sz w:val="21"/>
          <w:szCs w:val="21"/>
          <w:highlight w:val="none"/>
          <w:lang w:val="zh-TW" w:eastAsia="zh-CN"/>
        </w:rPr>
        <w:t>；</w:t>
      </w:r>
    </w:p>
    <w:p w14:paraId="779720F0">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自治区建设行政主管部门颁发的建设工程计算规范及根据工程需要补充的工程量计算规则；</w:t>
      </w:r>
    </w:p>
    <w:p w14:paraId="7DC7A324">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招标文件（包括招标工程量清单、合同条款、</w:t>
      </w:r>
      <w:r>
        <w:rPr>
          <w:rFonts w:hint="default" w:ascii="宋体" w:hAnsi="宋体" w:eastAsia="宋体" w:cs="宋体"/>
          <w:b w:val="0"/>
          <w:bCs/>
          <w:color w:val="auto"/>
          <w:sz w:val="21"/>
          <w:szCs w:val="21"/>
          <w:highlight w:val="none"/>
          <w:lang w:val="en-US" w:eastAsia="zh-TW"/>
        </w:rPr>
        <w:t>招标</w:t>
      </w:r>
      <w:r>
        <w:rPr>
          <w:rFonts w:hint="eastAsia" w:ascii="宋体" w:hAnsi="宋体" w:eastAsia="宋体" w:cs="宋体"/>
          <w:b w:val="0"/>
          <w:bCs/>
          <w:color w:val="auto"/>
          <w:sz w:val="21"/>
          <w:szCs w:val="21"/>
          <w:highlight w:val="none"/>
          <w:lang w:val="zh-TW" w:eastAsia="zh-TW"/>
        </w:rPr>
        <w:t>图纸等</w:t>
      </w:r>
      <w:r>
        <w:rPr>
          <w:rFonts w:hint="eastAsia" w:ascii="宋体" w:hAnsi="宋体" w:eastAsia="宋体" w:cs="宋体"/>
          <w:b w:val="0"/>
          <w:bCs/>
          <w:color w:val="auto"/>
          <w:sz w:val="21"/>
          <w:szCs w:val="21"/>
          <w:highlight w:val="none"/>
          <w:lang w:val="zh-TW" w:eastAsia="zh-CN"/>
        </w:rPr>
        <w:t>）及其补</w:t>
      </w:r>
      <w:r>
        <w:rPr>
          <w:rFonts w:hint="eastAsia" w:ascii="宋体" w:hAnsi="宋体" w:eastAsia="宋体" w:cs="宋体"/>
          <w:b w:val="0"/>
          <w:bCs/>
          <w:color w:val="auto"/>
          <w:sz w:val="21"/>
          <w:szCs w:val="21"/>
          <w:highlight w:val="none"/>
          <w:lang w:val="zh-TW" w:eastAsia="zh-TW"/>
        </w:rPr>
        <w:t>遗</w:t>
      </w:r>
      <w:r>
        <w:rPr>
          <w:rFonts w:hint="eastAsia" w:ascii="宋体" w:hAnsi="宋体" w:eastAsia="宋体" w:cs="宋体"/>
          <w:b w:val="0"/>
          <w:bCs/>
          <w:color w:val="auto"/>
          <w:sz w:val="21"/>
          <w:szCs w:val="21"/>
          <w:highlight w:val="none"/>
          <w:lang w:val="zh-TW" w:eastAsia="zh-CN"/>
        </w:rPr>
        <w:t>、答疑、异议澄清或修正；</w:t>
      </w:r>
    </w:p>
    <w:p w14:paraId="46B5C155">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与招标工程相关的技术、标准、规范等技术资料；</w:t>
      </w:r>
    </w:p>
    <w:p w14:paraId="3C35CDCB">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工程特点、地勘水文资料、现场踏勘情况；</w:t>
      </w:r>
    </w:p>
    <w:p w14:paraId="68309D6B">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投标人的工程实施方案及投标工期；</w:t>
      </w:r>
    </w:p>
    <w:p w14:paraId="3434FEB1">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w:t>
      </w:r>
      <w:r>
        <w:rPr>
          <w:rFonts w:hint="eastAsia" w:ascii="宋体" w:hAnsi="宋体" w:eastAsia="宋体" w:cs="宋体"/>
          <w:b w:val="0"/>
          <w:bCs/>
          <w:color w:val="auto"/>
          <w:sz w:val="21"/>
          <w:szCs w:val="21"/>
          <w:highlight w:val="none"/>
          <w:lang w:val="zh-TW" w:eastAsia="zh-CN"/>
        </w:rPr>
        <w:t>的</w:t>
      </w:r>
      <w:r>
        <w:rPr>
          <w:rFonts w:hint="eastAsia" w:ascii="宋体" w:hAnsi="宋体" w:eastAsia="宋体" w:cs="宋体"/>
          <w:b w:val="0"/>
          <w:bCs/>
          <w:color w:val="auto"/>
          <w:sz w:val="21"/>
          <w:szCs w:val="21"/>
          <w:highlight w:val="none"/>
          <w:lang w:val="zh-TW" w:eastAsia="zh-CN"/>
        </w:rPr>
        <w:t>企业定额、工程造价数据、价格指数、市场价格信息及价格变动预期、装备及管理水平、造价资讯等；</w:t>
      </w:r>
    </w:p>
    <w:p w14:paraId="5D931BE5">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宋体" w:hAnsi="宋体" w:eastAsia="宋体" w:cs="宋体"/>
          <w:b w:val="0"/>
          <w:bCs/>
          <w:color w:val="auto"/>
          <w:sz w:val="21"/>
          <w:szCs w:val="21"/>
          <w:highlight w:val="none"/>
        </w:rPr>
        <w:t>其他的相关资料。</w:t>
      </w:r>
    </w:p>
    <w:p w14:paraId="4DA69045">
      <w:pPr>
        <w:pStyle w:val="16"/>
        <w:spacing w:before="63" w:line="360" w:lineRule="auto"/>
        <w:ind w:right="30" w:firstLine="2"/>
        <w:jc w:val="left"/>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1</w:t>
      </w:r>
      <w:r>
        <w:rPr>
          <w:rFonts w:hint="eastAsia" w:ascii="宋体" w:hAnsi="宋体" w:eastAsia="宋体" w:cs="宋体"/>
          <w:b/>
          <w:bCs/>
          <w:color w:val="auto"/>
          <w:spacing w:val="15"/>
          <w:sz w:val="21"/>
          <w:szCs w:val="21"/>
          <w:highlight w:val="none"/>
          <w:lang w:val="en-US" w:eastAsia="zh-CN"/>
        </w:rPr>
        <w:t>.</w:t>
      </w:r>
      <w:r>
        <w:rPr>
          <w:rFonts w:hint="eastAsia" w:ascii="宋体" w:hAnsi="宋体" w:eastAsia="宋体" w:cs="宋体"/>
          <w:b w:val="0"/>
          <w:bCs w:val="0"/>
          <w:color w:val="auto"/>
          <w:spacing w:val="15"/>
          <w:sz w:val="21"/>
          <w:szCs w:val="21"/>
          <w:highlight w:val="none"/>
          <w:lang w:val="en-US" w:eastAsia="zh-CN"/>
        </w:rPr>
        <w:t>12</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0"/>
          <w:sz w:val="21"/>
          <w:szCs w:val="21"/>
          <w:highlight w:val="none"/>
        </w:rPr>
        <w:t>下列事项引起的计量与计价风险应由承包人承担，承包人在投标报价中应予考虑，因其引起的合同价格和</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工期变化应视为已包含在合同总价及合同工期内，除合同另有约定外，合同价格和工期不应予调整。</w:t>
      </w:r>
    </w:p>
    <w:p w14:paraId="6C4C41D4">
      <w:pPr>
        <w:pStyle w:val="16"/>
        <w:spacing w:before="96"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color w:val="auto"/>
          <w:spacing w:val="0"/>
          <w:sz w:val="21"/>
          <w:szCs w:val="21"/>
          <w:highlight w:val="none"/>
        </w:rPr>
        <w:t>措施项目清单的准确性及完整性；</w:t>
      </w:r>
    </w:p>
    <w:p w14:paraId="012E3D7A">
      <w:pPr>
        <w:pStyle w:val="16"/>
        <w:spacing w:before="82" w:line="360" w:lineRule="auto"/>
        <w:ind w:left="0" w:right="19"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color w:val="auto"/>
          <w:spacing w:val="0"/>
          <w:sz w:val="21"/>
          <w:szCs w:val="21"/>
          <w:highlight w:val="none"/>
        </w:rPr>
        <w:t>采用总价合同的工程，已标价工程量清单存在的缺陷</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单价计价的暂定数量清单项目除外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以及承包人为完成总价合同中合同图纸及合同规范所要求的工程、</w:t>
      </w:r>
      <w:r>
        <w:rPr>
          <w:rFonts w:hint="eastAsia" w:ascii="宋体" w:hAnsi="宋体" w:eastAsia="宋体" w:cs="宋体"/>
          <w:color w:val="auto"/>
          <w:spacing w:val="0"/>
          <w:sz w:val="21"/>
          <w:szCs w:val="21"/>
          <w:highlight w:val="none"/>
          <w:lang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1AB0DD2A">
      <w:pPr>
        <w:pStyle w:val="16"/>
        <w:spacing w:before="73" w:line="360" w:lineRule="auto"/>
        <w:ind w:left="0" w:right="8"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color w:val="auto"/>
          <w:spacing w:val="0"/>
          <w:sz w:val="21"/>
          <w:szCs w:val="21"/>
          <w:highlight w:val="none"/>
        </w:rPr>
        <w:t>采用单价合同的工程，承包人为完成工程量清单及其项目特征所说明的工程、</w:t>
      </w:r>
      <w:r>
        <w:rPr>
          <w:rFonts w:hint="eastAsia" w:ascii="宋体" w:hAnsi="宋体" w:eastAsia="宋体" w:cs="宋体"/>
          <w:b w:val="0"/>
          <w:bCs w:val="0"/>
          <w:color w:val="auto"/>
          <w:sz w:val="21"/>
          <w:szCs w:val="21"/>
          <w:highlight w:val="none"/>
          <w:lang w:val="en-US"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1A73BCE1">
      <w:pPr>
        <w:pStyle w:val="16"/>
        <w:spacing w:before="94"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承包人因自身原因引起实施方案变化引起的费用调整；</w:t>
      </w:r>
    </w:p>
    <w:p w14:paraId="6AB6E4A2">
      <w:pPr>
        <w:pStyle w:val="16"/>
        <w:spacing w:before="73"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承包人因施工机具使用、施工技术应用以及组织管理水平等自身原因造成的施工费用增加；</w:t>
      </w:r>
    </w:p>
    <w:p w14:paraId="65DA4027">
      <w:pPr>
        <w:pStyle w:val="16"/>
        <w:spacing w:before="97"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承包人因自身原因引起的赶工、停工或暂缓施</w:t>
      </w:r>
      <w:r>
        <w:rPr>
          <w:rFonts w:hint="default" w:ascii="宋体" w:hAnsi="宋体" w:eastAsia="宋体" w:cs="宋体"/>
          <w:color w:val="auto"/>
          <w:spacing w:val="0"/>
          <w:sz w:val="21"/>
          <w:szCs w:val="21"/>
          <w:highlight w:val="none"/>
          <w:lang w:val="en-US"/>
        </w:rPr>
        <w:t>工</w:t>
      </w:r>
      <w:r>
        <w:rPr>
          <w:rFonts w:hint="eastAsia" w:ascii="宋体" w:hAnsi="宋体" w:eastAsia="宋体" w:cs="宋体"/>
          <w:color w:val="auto"/>
          <w:spacing w:val="0"/>
          <w:sz w:val="21"/>
          <w:szCs w:val="21"/>
          <w:highlight w:val="none"/>
        </w:rPr>
        <w:t>；</w:t>
      </w:r>
    </w:p>
    <w:p w14:paraId="0187CBC6">
      <w:pPr>
        <w:pStyle w:val="16"/>
        <w:spacing w:before="72"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color w:val="auto"/>
          <w:spacing w:val="0"/>
          <w:sz w:val="21"/>
          <w:szCs w:val="21"/>
          <w:highlight w:val="none"/>
        </w:rPr>
        <w:t>未超出招标文件、合同约定物价变化范围和波动幅度的市场物价变动；</w:t>
      </w:r>
    </w:p>
    <w:p w14:paraId="2FCB199B">
      <w:pPr>
        <w:pageBreakBefore w:val="0"/>
        <w:kinsoku/>
        <w:wordWrap/>
        <w:overflowPunct/>
        <w:topLinePunct w:val="0"/>
        <w:autoSpaceDE/>
        <w:autoSpaceDN/>
        <w:bidi w:val="0"/>
        <w:adjustRightInd/>
        <w:snapToGrid/>
        <w:spacing w:line="360" w:lineRule="auto"/>
        <w:ind w:left="0" w:leftChars="0" w:firstLine="440" w:firstLineChars="200"/>
        <w:jc w:val="left"/>
        <w:textAlignment w:val="auto"/>
        <w:rPr>
          <w:rFonts w:hint="eastAsia" w:ascii="宋体" w:hAnsi="宋体" w:eastAsia="宋体" w:cs="宋体"/>
          <w:b w:val="0"/>
          <w:bCs w:val="0"/>
          <w:color w:val="auto"/>
          <w:sz w:val="21"/>
          <w:szCs w:val="21"/>
          <w:highlight w:val="none"/>
          <w:lang w:eastAsia="zh-CN"/>
        </w:rPr>
      </w:pPr>
      <w:r>
        <w:rPr>
          <w:rFonts w:hint="eastAsia" w:ascii="Times New Roman" w:hAnsi="Times New Roman" w:eastAsia="宋体" w:cs="Times New Roman"/>
          <w:color w:val="auto"/>
          <w:sz w:val="22"/>
          <w:szCs w:val="22"/>
          <w:highlight w:val="none"/>
          <w:lang w:eastAsia="zh-CN"/>
        </w:rPr>
        <w:t>（</w:t>
      </w:r>
      <w:r>
        <w:rPr>
          <w:rFonts w:hint="eastAsia" w:ascii="Times New Roman" w:hAnsi="Times New Roman" w:eastAsia="宋体" w:cs="Times New Roman"/>
          <w:color w:val="auto"/>
          <w:sz w:val="22"/>
          <w:szCs w:val="22"/>
          <w:highlight w:val="none"/>
          <w:lang w:val="en-US" w:eastAsia="zh-CN"/>
        </w:rPr>
        <w:t>8</w:t>
      </w:r>
      <w:r>
        <w:rPr>
          <w:rFonts w:hint="eastAsia" w:ascii="Times New Roman" w:hAnsi="Times New Roman" w:eastAsia="宋体" w:cs="Times New Roman"/>
          <w:color w:val="auto"/>
          <w:sz w:val="22"/>
          <w:szCs w:val="22"/>
          <w:highlight w:val="none"/>
          <w:lang w:eastAsia="zh-CN"/>
        </w:rPr>
        <w:t>）</w:t>
      </w:r>
      <w:r>
        <w:rPr>
          <w:rFonts w:hint="eastAsia" w:ascii="Times New Roman" w:hAnsi="Times New Roman" w:eastAsia="宋体" w:cs="Times New Roman"/>
          <w:color w:val="auto"/>
          <w:spacing w:val="0"/>
          <w:sz w:val="22"/>
          <w:szCs w:val="22"/>
          <w:highlight w:val="none"/>
        </w:rPr>
        <w:t>其他应当由承包人承担责任的事项。</w:t>
      </w:r>
    </w:p>
    <w:p w14:paraId="1A31BF6D">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投标人按</w:t>
      </w:r>
      <w:r>
        <w:rPr>
          <w:rFonts w:hint="eastAsia" w:ascii="宋体" w:hAnsi="宋体" w:eastAsia="宋体" w:cs="宋体"/>
          <w:b w:val="0"/>
          <w:bCs w:val="0"/>
          <w:color w:val="auto"/>
          <w:sz w:val="21"/>
          <w:szCs w:val="21"/>
          <w:highlight w:val="none"/>
          <w:lang w:val="zh-TW" w:eastAsia="zh-CN"/>
        </w:rPr>
        <w:t>自治区建设行政主管部门颁发的计算规范</w:t>
      </w:r>
      <w:r>
        <w:rPr>
          <w:rFonts w:hint="eastAsia" w:ascii="宋体" w:hAnsi="宋体" w:eastAsia="宋体" w:cs="宋体"/>
          <w:b w:val="0"/>
          <w:bCs w:val="0"/>
          <w:color w:val="auto"/>
          <w:sz w:val="21"/>
          <w:szCs w:val="21"/>
          <w:highlight w:val="none"/>
        </w:rPr>
        <w:t>规定和</w:t>
      </w:r>
      <w:r>
        <w:rPr>
          <w:rFonts w:hint="eastAsia" w:ascii="宋体" w:hAnsi="宋体" w:cs="宋体"/>
          <w:b w:val="0"/>
          <w:bCs w:val="0"/>
          <w:color w:val="auto"/>
          <w:sz w:val="21"/>
          <w:szCs w:val="21"/>
          <w:highlight w:val="none"/>
          <w:lang w:eastAsia="zh-CN"/>
        </w:rPr>
        <w:t>招标人</w:t>
      </w:r>
      <w:r>
        <w:rPr>
          <w:rFonts w:hint="eastAsia" w:ascii="宋体" w:hAnsi="宋体" w:eastAsia="宋体" w:cs="宋体"/>
          <w:b w:val="0"/>
          <w:bCs w:val="0"/>
          <w:color w:val="auto"/>
          <w:sz w:val="21"/>
          <w:szCs w:val="21"/>
          <w:highlight w:val="none"/>
        </w:rPr>
        <w:t>补充的工程量计算规则</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rPr>
        <w:t>对分部分项工程项目清单的所有清单项目进行报价，</w:t>
      </w:r>
      <w:r>
        <w:rPr>
          <w:rFonts w:hint="eastAsia" w:ascii="宋体" w:hAnsi="宋体" w:eastAsia="宋体" w:cs="宋体"/>
          <w:b w:val="0"/>
          <w:bCs w:val="0"/>
          <w:color w:val="auto"/>
          <w:sz w:val="21"/>
          <w:szCs w:val="21"/>
          <w:highlight w:val="none"/>
        </w:rPr>
        <w:t>其报价应满足下列因素对价格的要求</w:t>
      </w:r>
      <w:r>
        <w:rPr>
          <w:rFonts w:hint="eastAsia" w:ascii="宋体" w:hAnsi="宋体" w:eastAsia="宋体" w:cs="宋体"/>
          <w:bCs/>
          <w:color w:val="auto"/>
          <w:sz w:val="21"/>
          <w:szCs w:val="21"/>
          <w:highlight w:val="none"/>
        </w:rPr>
        <w:t>：</w:t>
      </w:r>
    </w:p>
    <w:p w14:paraId="62F20FC5">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bCs/>
          <w:color w:val="auto"/>
          <w:sz w:val="21"/>
          <w:szCs w:val="21"/>
          <w:highlight w:val="none"/>
        </w:rPr>
        <w:t>工程数量对材料采购及人工价格的影响；</w:t>
      </w:r>
    </w:p>
    <w:p w14:paraId="6709B23F">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Cs/>
          <w:color w:val="auto"/>
          <w:sz w:val="21"/>
          <w:szCs w:val="21"/>
          <w:highlight w:val="none"/>
        </w:rPr>
        <w:t>招标文件规定物价变化进行价格调整的清单项目，在调整的范围和波动幅度内市场物价变动及调整时段带来的承包风险的影响；</w:t>
      </w:r>
    </w:p>
    <w:p w14:paraId="460C50EC">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Cs/>
          <w:color w:val="auto"/>
          <w:sz w:val="21"/>
          <w:szCs w:val="21"/>
          <w:highlight w:val="none"/>
        </w:rPr>
        <w:t>招标文件未规定物价变化进行价格调整的清单项目的材料费、人工费、施工机具使用费等市场价格波动的影响；</w:t>
      </w:r>
    </w:p>
    <w:p w14:paraId="5702EE42">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Cs/>
          <w:strike w:val="0"/>
          <w:color w:val="auto"/>
          <w:sz w:val="21"/>
          <w:szCs w:val="21"/>
          <w:highlight w:val="none"/>
        </w:rPr>
        <w:t>单价合同</w:t>
      </w:r>
      <w:r>
        <w:rPr>
          <w:rFonts w:hint="eastAsia" w:ascii="宋体" w:hAnsi="宋体" w:eastAsia="宋体" w:cs="宋体"/>
          <w:bCs/>
          <w:color w:val="auto"/>
          <w:sz w:val="21"/>
          <w:szCs w:val="21"/>
          <w:highlight w:val="none"/>
        </w:rPr>
        <w:t>工程量清单缺陷价格调整和工程变更计价规定的工程数量变化带来的承包风险的影响；</w:t>
      </w:r>
    </w:p>
    <w:p w14:paraId="63B1C80B">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strike w:val="0"/>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Cs/>
          <w:strike w:val="0"/>
          <w:color w:val="auto"/>
          <w:sz w:val="21"/>
          <w:szCs w:val="21"/>
          <w:highlight w:val="none"/>
        </w:rPr>
        <w:t>总价合同工程量清单缺陷责任及价格包干规定，以及工程变更计价规则带来的承包风险的影响；</w:t>
      </w:r>
    </w:p>
    <w:p w14:paraId="2E080607">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Cs/>
          <w:strike w:val="0"/>
          <w:color w:val="auto"/>
          <w:sz w:val="21"/>
          <w:szCs w:val="21"/>
          <w:highlight w:val="none"/>
        </w:rPr>
        <w:t>除</w:t>
      </w:r>
      <w:r>
        <w:rPr>
          <w:rFonts w:hint="eastAsia" w:ascii="宋体" w:hAnsi="宋体" w:eastAsia="宋体" w:cs="宋体"/>
          <w:bCs/>
          <w:strike w:val="0"/>
          <w:color w:val="auto"/>
          <w:sz w:val="21"/>
          <w:szCs w:val="21"/>
          <w:highlight w:val="none"/>
          <w:lang w:val="en-US" w:eastAsia="zh-CN"/>
        </w:rPr>
        <w:t>招标文件中</w:t>
      </w:r>
      <w:r>
        <w:rPr>
          <w:rFonts w:hint="eastAsia" w:ascii="宋体" w:hAnsi="宋体" w:eastAsia="宋体" w:cs="宋体"/>
          <w:bCs/>
          <w:strike w:val="0"/>
          <w:color w:val="auto"/>
          <w:sz w:val="21"/>
          <w:szCs w:val="21"/>
          <w:highlight w:val="none"/>
        </w:rPr>
        <w:t>合同价款调整外，总价合同及单价合同中</w:t>
      </w:r>
      <w:r>
        <w:rPr>
          <w:rFonts w:hint="eastAsia" w:ascii="宋体" w:hAnsi="宋体" w:eastAsia="宋体" w:cs="宋体"/>
          <w:bCs/>
          <w:color w:val="auto"/>
          <w:sz w:val="21"/>
          <w:szCs w:val="21"/>
          <w:highlight w:val="none"/>
        </w:rPr>
        <w:t>综合单价不作调整</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规定所引</w:t>
      </w:r>
      <w:r>
        <w:rPr>
          <w:rFonts w:hint="eastAsia" w:ascii="宋体" w:hAnsi="宋体" w:eastAsia="宋体" w:cs="宋体"/>
          <w:bCs/>
          <w:color w:val="auto"/>
          <w:sz w:val="21"/>
          <w:szCs w:val="21"/>
          <w:highlight w:val="none"/>
          <w:lang w:val="en-US" w:eastAsia="zh-CN"/>
        </w:rPr>
        <w:t>起</w:t>
      </w:r>
      <w:r>
        <w:rPr>
          <w:rFonts w:hint="eastAsia" w:ascii="宋体" w:hAnsi="宋体" w:eastAsia="宋体" w:cs="宋体"/>
          <w:bCs/>
          <w:color w:val="auto"/>
          <w:sz w:val="21"/>
          <w:szCs w:val="21"/>
          <w:highlight w:val="none"/>
        </w:rPr>
        <w:t>的承包风险</w:t>
      </w:r>
      <w:r>
        <w:rPr>
          <w:rFonts w:hint="eastAsia" w:ascii="宋体" w:hAnsi="宋体" w:eastAsia="宋体" w:cs="宋体"/>
          <w:bCs/>
          <w:strike w:val="0"/>
          <w:color w:val="auto"/>
          <w:sz w:val="21"/>
          <w:szCs w:val="21"/>
          <w:highlight w:val="none"/>
        </w:rPr>
        <w:t>的影响</w:t>
      </w:r>
      <w:r>
        <w:rPr>
          <w:rFonts w:hint="eastAsia" w:ascii="宋体" w:hAnsi="宋体" w:eastAsia="宋体" w:cs="宋体"/>
          <w:bCs/>
          <w:strike w:val="0"/>
          <w:color w:val="auto"/>
          <w:sz w:val="21"/>
          <w:szCs w:val="21"/>
          <w:highlight w:val="none"/>
          <w:lang w:eastAsia="zh-CN"/>
        </w:rPr>
        <w:t>；</w:t>
      </w:r>
    </w:p>
    <w:p w14:paraId="0935DE43">
      <w:pPr>
        <w:pageBreakBefore w:val="0"/>
        <w:widowControl/>
        <w:tabs>
          <w:tab w:val="left" w:pos="8647"/>
        </w:tabs>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cs="宋体"/>
          <w:b w:val="0"/>
          <w:bCs/>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cs="Times New Roman"/>
          <w:color w:val="auto"/>
          <w:szCs w:val="21"/>
          <w:highlight w:val="none"/>
          <w:lang w:val="en-US" w:eastAsia="zh-CN"/>
        </w:rPr>
        <w:t>投标人可根据实际情况对</w:t>
      </w:r>
      <w:r>
        <w:rPr>
          <w:rFonts w:hint="eastAsia" w:ascii="宋体" w:hAnsi="宋体" w:eastAsia="宋体" w:cs="宋体"/>
          <w:b w:val="0"/>
          <w:bCs/>
          <w:color w:val="auto"/>
          <w:sz w:val="21"/>
          <w:szCs w:val="21"/>
          <w:highlight w:val="none"/>
          <w:lang w:val="en-US" w:eastAsia="zh-CN"/>
        </w:rPr>
        <w:t>招标人提供的</w:t>
      </w:r>
      <w:r>
        <w:rPr>
          <w:rFonts w:hint="eastAsia" w:ascii="宋体" w:hAnsi="宋体" w:cs="宋体"/>
          <w:b w:val="0"/>
          <w:bCs/>
          <w:color w:val="auto"/>
          <w:sz w:val="21"/>
          <w:szCs w:val="21"/>
          <w:highlight w:val="none"/>
          <w:lang w:val="en-US" w:eastAsia="zh-CN"/>
        </w:rPr>
        <w:t>分部分项工程预算清单项目中的主要材料消耗量进行调整。。</w:t>
      </w:r>
    </w:p>
    <w:p w14:paraId="3E843FF4">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2A560367">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对分部分项工程项目清单中发包人提供材料的</w:t>
      </w:r>
      <w:r>
        <w:rPr>
          <w:rFonts w:hint="eastAsia" w:ascii="宋体" w:hAnsi="宋体" w:eastAsia="宋体" w:cs="宋体"/>
          <w:b w:val="0"/>
          <w:bCs w:val="0"/>
          <w:color w:val="auto"/>
          <w:sz w:val="21"/>
          <w:szCs w:val="21"/>
          <w:highlight w:val="none"/>
        </w:rPr>
        <w:t>清单项目，投标人应按招标文件说明的发包人提供材料的规格型号，对发包人提供材料的清单项目进行安装报价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798550DF">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rPr>
      </w:pPr>
      <w:r>
        <w:rPr>
          <w:rFonts w:hint="eastAsia" w:ascii="Times New Roman" w:hAnsi="Times New Roman" w:eastAsia="宋体" w:cs="宋体"/>
          <w:color w:val="auto"/>
          <w:highlight w:val="none"/>
          <w:lang w:val="en-US" w:eastAsia="zh-CN"/>
        </w:rPr>
        <w:t>1.16</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对分部分项工程项目清单中载明材料暂估价的清单项目</w:t>
      </w:r>
      <w:r>
        <w:rPr>
          <w:rFonts w:hint="eastAsia" w:ascii="宋体" w:hAnsi="宋体" w:eastAsia="宋体" w:cs="宋体"/>
          <w:b w:val="0"/>
          <w:bCs w:val="0"/>
          <w:color w:val="auto"/>
          <w:sz w:val="21"/>
          <w:szCs w:val="21"/>
          <w:highlight w:val="none"/>
        </w:rPr>
        <w:t>，应按</w:t>
      </w:r>
      <w:r>
        <w:rPr>
          <w:rFonts w:hint="default" w:ascii="宋体" w:hAnsi="宋体" w:eastAsia="宋体" w:cs="宋体"/>
          <w:b w:val="0"/>
          <w:bCs w:val="0"/>
          <w:color w:val="auto"/>
          <w:sz w:val="21"/>
          <w:szCs w:val="21"/>
          <w:highlight w:val="none"/>
          <w:lang w:val="en-US"/>
        </w:rPr>
        <w:t>招标人提供的</w:t>
      </w:r>
      <w:r>
        <w:rPr>
          <w:rFonts w:hint="eastAsia" w:ascii="宋体" w:hAnsi="宋体" w:eastAsia="宋体" w:cs="宋体"/>
          <w:b w:val="0"/>
          <w:bCs w:val="0"/>
          <w:color w:val="auto"/>
          <w:sz w:val="21"/>
          <w:szCs w:val="21"/>
          <w:highlight w:val="none"/>
        </w:rPr>
        <w:t>工程量清单</w:t>
      </w:r>
      <w:r>
        <w:rPr>
          <w:rFonts w:hint="default" w:ascii="宋体" w:hAnsi="宋体" w:eastAsia="宋体" w:cs="宋体"/>
          <w:b w:val="0"/>
          <w:bCs w:val="0"/>
          <w:color w:val="auto"/>
          <w:sz w:val="21"/>
          <w:szCs w:val="21"/>
          <w:highlight w:val="none"/>
          <w:lang w:val="en-US"/>
        </w:rPr>
        <w:t>中的《</w:t>
      </w:r>
      <w:r>
        <w:rPr>
          <w:rFonts w:hint="default" w:ascii="宋体" w:hAnsi="宋体" w:cs="宋体"/>
          <w:b w:val="0"/>
          <w:bCs w:val="0"/>
          <w:color w:val="auto"/>
          <w:sz w:val="21"/>
          <w:szCs w:val="21"/>
          <w:highlight w:val="none"/>
          <w:lang w:val="en"/>
        </w:rPr>
        <w:t>材料暂估价</w:t>
      </w:r>
      <w:r>
        <w:rPr>
          <w:rFonts w:hint="eastAsia" w:ascii="宋体" w:hAnsi="宋体" w:cs="宋体"/>
          <w:b w:val="0"/>
          <w:bCs w:val="0"/>
          <w:color w:val="auto"/>
          <w:sz w:val="21"/>
          <w:szCs w:val="21"/>
          <w:highlight w:val="none"/>
          <w:lang w:val="en-US" w:eastAsia="zh-CN"/>
        </w:rPr>
        <w:t>明细</w:t>
      </w:r>
      <w:r>
        <w:rPr>
          <w:rFonts w:hint="default" w:ascii="宋体" w:hAnsi="宋体" w:eastAsia="宋体" w:cs="宋体"/>
          <w:b w:val="0"/>
          <w:bCs w:val="0"/>
          <w:color w:val="auto"/>
          <w:sz w:val="21"/>
          <w:szCs w:val="21"/>
          <w:highlight w:val="none"/>
          <w:lang w:val="en-US"/>
        </w:rPr>
        <w:t>表》</w:t>
      </w:r>
      <w:r>
        <w:rPr>
          <w:rFonts w:hint="eastAsia" w:ascii="宋体" w:hAnsi="宋体" w:eastAsia="宋体" w:cs="宋体"/>
          <w:b w:val="0"/>
          <w:bCs w:val="0"/>
          <w:color w:val="auto"/>
          <w:sz w:val="21"/>
          <w:szCs w:val="21"/>
          <w:highlight w:val="none"/>
        </w:rPr>
        <w:t>载明的</w:t>
      </w:r>
      <w:r>
        <w:rPr>
          <w:rFonts w:hint="eastAsia" w:ascii="宋体" w:hAnsi="宋体" w:eastAsia="宋体" w:cs="宋体"/>
          <w:b w:val="0"/>
          <w:bCs w:val="0"/>
          <w:color w:val="auto"/>
          <w:sz w:val="21"/>
          <w:szCs w:val="21"/>
          <w:highlight w:val="none"/>
          <w:lang w:eastAsia="zh-CN"/>
        </w:rPr>
        <w:t>材料</w:t>
      </w:r>
      <w:r>
        <w:rPr>
          <w:rFonts w:hint="eastAsia" w:ascii="宋体" w:hAnsi="宋体" w:eastAsia="宋体" w:cs="宋体"/>
          <w:b w:val="0"/>
          <w:bCs w:val="0"/>
          <w:color w:val="auto"/>
          <w:sz w:val="21"/>
          <w:szCs w:val="21"/>
          <w:highlight w:val="none"/>
        </w:rPr>
        <w:t>暂估</w:t>
      </w:r>
      <w:r>
        <w:rPr>
          <w:rFonts w:hint="eastAsia" w:ascii="宋体" w:hAnsi="宋体" w:eastAsia="宋体" w:cs="宋体"/>
          <w:b w:val="0"/>
          <w:bCs w:val="0"/>
          <w:color w:val="auto"/>
          <w:sz w:val="21"/>
          <w:szCs w:val="21"/>
          <w:highlight w:val="none"/>
          <w:lang w:eastAsia="zh-CN"/>
        </w:rPr>
        <w:t>单</w:t>
      </w:r>
      <w:r>
        <w:rPr>
          <w:rFonts w:hint="eastAsia" w:ascii="宋体" w:hAnsi="宋体" w:eastAsia="宋体" w:cs="宋体"/>
          <w:b w:val="0"/>
          <w:bCs w:val="0"/>
          <w:color w:val="auto"/>
          <w:sz w:val="21"/>
          <w:szCs w:val="21"/>
          <w:highlight w:val="none"/>
        </w:rPr>
        <w:t>价计入</w:t>
      </w:r>
      <w:r>
        <w:rPr>
          <w:rFonts w:hint="eastAsia" w:ascii="宋体" w:hAnsi="宋体" w:eastAsia="宋体" w:cs="宋体"/>
          <w:b w:val="0"/>
          <w:bCs w:val="0"/>
          <w:color w:val="auto"/>
          <w:sz w:val="21"/>
          <w:szCs w:val="21"/>
          <w:highlight w:val="none"/>
          <w:lang w:val="en-US" w:eastAsia="zh-CN"/>
        </w:rPr>
        <w:t>其他项目清单</w:t>
      </w:r>
      <w:r>
        <w:rPr>
          <w:rFonts w:hint="default" w:ascii="宋体" w:hAnsi="宋体" w:eastAsia="宋体" w:cs="宋体"/>
          <w:b w:val="0"/>
          <w:bCs w:val="0"/>
          <w:color w:val="auto"/>
          <w:sz w:val="21"/>
          <w:szCs w:val="21"/>
          <w:highlight w:val="none"/>
          <w:lang w:val="en-US"/>
        </w:rPr>
        <w:t>费用</w:t>
      </w:r>
      <w:r>
        <w:rPr>
          <w:rFonts w:hint="default" w:ascii="宋体" w:hAnsi="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eastAsia="zh-CN"/>
        </w:rPr>
        <w:t>不计入</w:t>
      </w:r>
      <w:r>
        <w:rPr>
          <w:rFonts w:hint="default" w:ascii="宋体" w:hAnsi="宋体" w:eastAsia="宋体" w:cs="宋体"/>
          <w:b w:val="0"/>
          <w:bCs w:val="0"/>
          <w:color w:val="auto"/>
          <w:sz w:val="21"/>
          <w:szCs w:val="21"/>
          <w:highlight w:val="none"/>
          <w:lang w:val="en-US" w:eastAsia="zh-CN"/>
        </w:rPr>
        <w:t>清单项目</w:t>
      </w:r>
      <w:r>
        <w:rPr>
          <w:rFonts w:hint="eastAsia" w:ascii="宋体" w:hAnsi="宋体" w:eastAsia="宋体" w:cs="宋体"/>
          <w:b w:val="0"/>
          <w:bCs w:val="0"/>
          <w:color w:val="auto"/>
          <w:sz w:val="21"/>
          <w:szCs w:val="21"/>
          <w:highlight w:val="none"/>
          <w:lang w:eastAsia="zh-CN"/>
        </w:rPr>
        <w:t>综合单价中，</w:t>
      </w:r>
      <w:r>
        <w:rPr>
          <w:rFonts w:hint="default" w:ascii="宋体" w:hAnsi="宋体" w:eastAsia="宋体" w:cs="宋体"/>
          <w:b w:val="0"/>
          <w:bCs w:val="0"/>
          <w:color w:val="auto"/>
          <w:sz w:val="21"/>
          <w:szCs w:val="21"/>
          <w:highlight w:val="none"/>
          <w:lang w:val="en-US" w:eastAsia="zh-CN"/>
        </w:rPr>
        <w:t>清单项目</w:t>
      </w:r>
      <w:r>
        <w:rPr>
          <w:rFonts w:hint="default" w:ascii="宋体" w:hAnsi="宋体" w:eastAsia="宋体" w:cs="宋体"/>
          <w:b w:val="0"/>
          <w:bCs w:val="0"/>
          <w:color w:val="auto"/>
          <w:sz w:val="21"/>
          <w:szCs w:val="21"/>
          <w:highlight w:val="none"/>
          <w:lang w:val="en-US"/>
        </w:rPr>
        <w:t>仅包含</w:t>
      </w:r>
      <w:r>
        <w:rPr>
          <w:rFonts w:hint="eastAsia" w:ascii="宋体" w:hAnsi="宋体" w:eastAsia="宋体" w:cs="宋体"/>
          <w:b w:val="0"/>
          <w:bCs w:val="0"/>
          <w:color w:val="auto"/>
          <w:sz w:val="21"/>
          <w:szCs w:val="21"/>
          <w:highlight w:val="none"/>
          <w:lang w:val="en-US" w:eastAsia="zh-CN"/>
        </w:rPr>
        <w:t>安装费用</w:t>
      </w:r>
      <w:r>
        <w:rPr>
          <w:rFonts w:hint="eastAsia" w:ascii="宋体" w:hAnsi="宋体" w:eastAsia="宋体" w:cs="宋体"/>
          <w:b w:val="0"/>
          <w:bCs w:val="0"/>
          <w:color w:val="auto"/>
          <w:sz w:val="21"/>
          <w:szCs w:val="21"/>
          <w:highlight w:val="none"/>
        </w:rPr>
        <w:t>。</w:t>
      </w:r>
    </w:p>
    <w:p w14:paraId="051BA515">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bCs/>
          <w:color w:val="auto"/>
          <w:sz w:val="21"/>
          <w:szCs w:val="21"/>
          <w:highlight w:val="none"/>
          <w:lang w:val="zh-TW"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.17</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投标人应按自身的工程实施方案及投标工期、</w:t>
      </w:r>
      <w:r>
        <w:rPr>
          <w:rFonts w:hint="eastAsia" w:ascii="宋体" w:hAnsi="宋体" w:eastAsia="宋体" w:cs="宋体"/>
          <w:b w:val="0"/>
          <w:bCs w:val="0"/>
          <w:color w:val="auto"/>
          <w:sz w:val="21"/>
          <w:szCs w:val="21"/>
          <w:highlight w:val="none"/>
          <w:u w:val="none"/>
        </w:rPr>
        <w:t>拟定的措施项目</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rPr>
        <w:t>对措施项目清单进行自主报价。</w:t>
      </w:r>
      <w:r>
        <w:rPr>
          <w:rFonts w:hint="eastAsia" w:ascii="宋体" w:hAnsi="宋体" w:eastAsia="宋体" w:cs="宋体"/>
          <w:b w:val="0"/>
          <w:bCs w:val="0"/>
          <w:color w:val="auto"/>
          <w:sz w:val="21"/>
          <w:szCs w:val="21"/>
          <w:highlight w:val="none"/>
        </w:rPr>
        <w:t>措施项目清单的报价应满足下列因素对价格影响的要求：</w:t>
      </w:r>
    </w:p>
    <w:p w14:paraId="362D886D">
      <w:pPr>
        <w:pStyle w:val="16"/>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招标工程的特点及其标段划分和完工交付标准；</w:t>
      </w:r>
    </w:p>
    <w:p w14:paraId="2454559B">
      <w:pPr>
        <w:pStyle w:val="16"/>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工程地质条件、邻近建筑物、现场设施情况、周边道路、交通、水文、环境；</w:t>
      </w:r>
    </w:p>
    <w:p w14:paraId="305A6C40">
      <w:pPr>
        <w:pStyle w:val="16"/>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招标文件说明的相关合同责任；</w:t>
      </w:r>
    </w:p>
    <w:p w14:paraId="273BF7CB">
      <w:pPr>
        <w:pStyle w:val="16"/>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招标文件规定的承包风险；</w:t>
      </w:r>
    </w:p>
    <w:p w14:paraId="64EE1A99">
      <w:pPr>
        <w:keepNext w:val="0"/>
        <w:keepLines w:val="0"/>
        <w:pageBreakBefore w:val="0"/>
        <w:widowControl w:val="0"/>
        <w:kinsoku/>
        <w:wordWrap/>
        <w:overflowPunct/>
        <w:topLinePunct w:val="0"/>
        <w:autoSpaceDE w:val="0"/>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strike w:val="0"/>
          <w:color w:val="auto"/>
          <w:sz w:val="21"/>
          <w:szCs w:val="21"/>
          <w:highlight w:val="none"/>
        </w:rPr>
        <w:t>除</w:t>
      </w:r>
      <w:r>
        <w:rPr>
          <w:rFonts w:hint="eastAsia" w:ascii="宋体" w:hAnsi="宋体" w:eastAsia="宋体" w:cs="宋体"/>
          <w:color w:val="auto"/>
          <w:sz w:val="21"/>
          <w:szCs w:val="21"/>
          <w:highlight w:val="none"/>
        </w:rPr>
        <w:t>工程变</w:t>
      </w:r>
      <w:r>
        <w:rPr>
          <w:rFonts w:hint="eastAsia" w:ascii="宋体" w:hAnsi="宋体" w:eastAsia="宋体" w:cs="宋体"/>
          <w:b w:val="0"/>
          <w:bCs w:val="0"/>
          <w:color w:val="auto"/>
          <w:kern w:val="2"/>
          <w:sz w:val="21"/>
          <w:szCs w:val="21"/>
          <w:highlight w:val="none"/>
          <w:lang w:val="en-US" w:eastAsia="zh-CN" w:bidi="ar-SA"/>
        </w:rPr>
        <w:t>更、新增工程、工程索赔等引起的措施项目费用调整外，执行措施项目费用包干引起的承包风险</w:t>
      </w:r>
      <w:r>
        <w:rPr>
          <w:rFonts w:hint="eastAsia" w:ascii="宋体" w:hAnsi="宋体" w:eastAsia="宋体" w:cs="宋体"/>
          <w:color w:val="auto"/>
          <w:sz w:val="21"/>
          <w:szCs w:val="21"/>
          <w:highlight w:val="none"/>
        </w:rPr>
        <w:t>。</w:t>
      </w:r>
    </w:p>
    <w:p w14:paraId="52EB3332">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bCs/>
          <w:color w:val="auto"/>
          <w:sz w:val="21"/>
          <w:szCs w:val="21"/>
          <w:highlight w:val="none"/>
        </w:rPr>
        <w:t xml:space="preserve">  </w:t>
      </w:r>
      <w:r>
        <w:rPr>
          <w:rFonts w:hint="eastAsia" w:ascii="宋体" w:hAnsi="宋体" w:eastAsia="宋体" w:cs="宋体"/>
          <w:bCs/>
          <w:color w:val="auto"/>
          <w:sz w:val="21"/>
          <w:szCs w:val="21"/>
          <w:highlight w:val="none"/>
        </w:rPr>
        <w:t>投标人应按招标工程量清单</w:t>
      </w:r>
      <w:r>
        <w:rPr>
          <w:rFonts w:hint="eastAsia" w:ascii="宋体" w:hAnsi="宋体" w:eastAsia="宋体" w:cs="宋体"/>
          <w:color w:val="auto"/>
          <w:sz w:val="21"/>
          <w:szCs w:val="21"/>
          <w:highlight w:val="none"/>
        </w:rPr>
        <w:t>中提供的暂列金额、</w:t>
      </w:r>
      <w:r>
        <w:rPr>
          <w:rFonts w:hint="eastAsia" w:ascii="宋体" w:hAnsi="宋体" w:cs="宋体"/>
          <w:color w:val="auto"/>
          <w:sz w:val="21"/>
          <w:szCs w:val="21"/>
          <w:highlight w:val="none"/>
          <w:lang w:eastAsia="zh-CN"/>
        </w:rPr>
        <w:t>材料暂估价、</w:t>
      </w:r>
      <w:r>
        <w:rPr>
          <w:rFonts w:hint="eastAsia" w:ascii="宋体" w:hAnsi="宋体" w:eastAsia="宋体" w:cs="宋体"/>
          <w:color w:val="auto"/>
          <w:sz w:val="21"/>
          <w:szCs w:val="21"/>
          <w:highlight w:val="none"/>
        </w:rPr>
        <w:t>专业工程暂估价，准确填报在</w:t>
      </w:r>
      <w:r>
        <w:rPr>
          <w:rFonts w:hint="default" w:ascii="宋体" w:hAnsi="宋体" w:eastAsia="宋体" w:cs="宋体"/>
          <w:color w:val="auto"/>
          <w:sz w:val="21"/>
          <w:szCs w:val="21"/>
          <w:highlight w:val="none"/>
          <w:lang w:val="en-US"/>
        </w:rPr>
        <w:t>其他项目清单</w:t>
      </w:r>
      <w:r>
        <w:rPr>
          <w:rFonts w:hint="eastAsia" w:ascii="宋体" w:hAnsi="宋体" w:eastAsia="宋体" w:cs="宋体"/>
          <w:color w:val="auto"/>
          <w:sz w:val="21"/>
          <w:szCs w:val="21"/>
          <w:highlight w:val="none"/>
        </w:rPr>
        <w:t>内。</w:t>
      </w:r>
    </w:p>
    <w:p w14:paraId="554BBC76">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.19</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投标人应按工程实施方案和对</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专业工程的工期安排，以及对发包人提供材料的供应履行管理及协调责任、对各</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专业工程履行协调及配合责任</w:t>
      </w:r>
      <w:r>
        <w:rPr>
          <w:rFonts w:hint="eastAsia" w:ascii="宋体" w:hAnsi="宋体" w:eastAsia="宋体" w:cs="宋体"/>
          <w:b w:val="0"/>
          <w:bCs w:val="0"/>
          <w:color w:val="auto"/>
          <w:sz w:val="21"/>
          <w:szCs w:val="21"/>
          <w:highlight w:val="none"/>
        </w:rPr>
        <w:t>等招标文件规定的总承包服务内容及要求进行投标报价，并应满足总承包服务费计价风险的要求。</w:t>
      </w:r>
    </w:p>
    <w:p w14:paraId="08B7E07E">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投标人应在投标文件递交时完整递交与已标价工程量清单中综合单价及合价一致的</w:t>
      </w:r>
      <w:r>
        <w:rPr>
          <w:rFonts w:hint="eastAsia" w:ascii="宋体" w:hAnsi="宋体" w:eastAsia="宋体" w:cs="宋体"/>
          <w:b w:val="0"/>
          <w:bCs w:val="0"/>
          <w:color w:val="auto"/>
          <w:sz w:val="21"/>
          <w:szCs w:val="21"/>
          <w:highlight w:val="none"/>
        </w:rPr>
        <w:t>费用构成明细表，相关表格应符合</w:t>
      </w:r>
      <w:r>
        <w:rPr>
          <w:rFonts w:hint="eastAsia" w:ascii="宋体" w:hAnsi="宋体" w:eastAsia="宋体" w:cs="宋体"/>
          <w:b w:val="0"/>
          <w:bCs w:val="0"/>
          <w:color w:val="auto"/>
          <w:sz w:val="21"/>
          <w:szCs w:val="21"/>
          <w:highlight w:val="none"/>
        </w:rPr>
        <w:t>《分部分项工程项目清单综合单价分析表</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技术措施</w:t>
      </w:r>
      <w:r>
        <w:rPr>
          <w:rFonts w:hint="eastAsia" w:ascii="宋体" w:hAnsi="宋体" w:eastAsia="宋体" w:cs="宋体"/>
          <w:b w:val="0"/>
          <w:bCs w:val="0"/>
          <w:color w:val="auto"/>
          <w:sz w:val="21"/>
          <w:szCs w:val="21"/>
          <w:highlight w:val="none"/>
        </w:rPr>
        <w:t>综合单价分析表》</w:t>
      </w: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w:t>
      </w:r>
    </w:p>
    <w:p w14:paraId="1980F62C">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color w:val="auto"/>
          <w:sz w:val="21"/>
          <w:szCs w:val="21"/>
          <w:highlight w:val="none"/>
          <w:lang w:val="en-US" w:eastAsia="zh-CN"/>
        </w:rPr>
        <w:t>.21</w:t>
      </w:r>
      <w:r>
        <w:rPr>
          <w:rFonts w:hint="eastAsia" w:ascii="宋体" w:hAnsi="宋体" w:eastAsia="宋体" w:cs="宋体"/>
          <w:color w:val="auto"/>
          <w:sz w:val="21"/>
          <w:szCs w:val="21"/>
          <w:highlight w:val="none"/>
        </w:rPr>
        <w:t xml:space="preserve">  </w:t>
      </w:r>
      <w:r>
        <w:rPr>
          <w:rFonts w:hint="eastAsia" w:ascii="宋体" w:hAnsi="宋体" w:cs="宋体"/>
          <w:b w:val="0"/>
          <w:bCs w:val="0"/>
          <w:color w:val="auto"/>
          <w:sz w:val="21"/>
          <w:szCs w:val="21"/>
          <w:highlight w:val="none"/>
          <w:lang w:val="en-US" w:eastAsia="zh-CN"/>
        </w:rPr>
        <w:t>投标人应</w:t>
      </w:r>
      <w:r>
        <w:rPr>
          <w:rFonts w:hint="eastAsia" w:ascii="宋体" w:hAnsi="宋体" w:eastAsia="宋体" w:cs="宋体"/>
          <w:b w:val="0"/>
          <w:bCs w:val="0"/>
          <w:color w:val="auto"/>
          <w:sz w:val="21"/>
          <w:szCs w:val="21"/>
          <w:highlight w:val="none"/>
          <w:lang w:val="en-US" w:eastAsia="zh-CN"/>
        </w:rPr>
        <w:t>根据政府有关主管部门的规定计算增值税。</w:t>
      </w:r>
    </w:p>
    <w:p w14:paraId="42041DD1">
      <w:pPr>
        <w:spacing w:line="360" w:lineRule="auto"/>
        <w:ind w:firstLine="420" w:firstLineChars="200"/>
        <w:jc w:val="left"/>
        <w:rPr>
          <w:rFonts w:hint="eastAsia" w:ascii="宋体" w:hAnsi="宋体" w:eastAsia="宋体" w:cs="宋体"/>
          <w:color w:val="auto"/>
          <w:sz w:val="21"/>
          <w:szCs w:val="21"/>
          <w:highlight w:val="none"/>
          <w:lang w:val="e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color w:val="auto"/>
          <w:sz w:val="21"/>
          <w:szCs w:val="21"/>
          <w:highlight w:val="none"/>
          <w:lang w:val="en"/>
        </w:rPr>
        <w:t xml:space="preserve"> 投标人响应招标文件的要求填写</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允许调整价格的主要材料</w:t>
      </w:r>
      <w:r>
        <w:rPr>
          <w:rFonts w:hint="eastAsia" w:ascii="宋体" w:hAnsi="宋体" w:eastAsia="宋体" w:cs="宋体"/>
          <w:color w:val="auto"/>
          <w:sz w:val="21"/>
          <w:szCs w:val="21"/>
          <w:highlight w:val="none"/>
          <w:lang w:val="en"/>
        </w:rPr>
        <w:t>一览表</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rPr>
        <w:t>相应材料的投标报价</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cs="宋体"/>
          <w:b w:val="0"/>
          <w:bCs w:val="0"/>
          <w:color w:val="auto"/>
          <w:sz w:val="21"/>
          <w:szCs w:val="21"/>
          <w:highlight w:val="none"/>
          <w:lang w:val="en-US" w:eastAsia="zh-CN"/>
        </w:rPr>
        <w:t>表中可调因子权重</w:t>
      </w:r>
      <w:r>
        <w:rPr>
          <w:rFonts w:hint="eastAsia" w:ascii="宋体" w:hAnsi="宋体" w:eastAsia="宋体" w:cs="宋体"/>
          <w:color w:val="auto"/>
          <w:sz w:val="21"/>
          <w:szCs w:val="21"/>
          <w:highlight w:val="none"/>
          <w:lang w:val="en"/>
        </w:rPr>
        <w:t>。投标人若发现招标人提供的工程量清单或发包人要求中无</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w:t>
      </w:r>
      <w:r>
        <w:rPr>
          <w:rFonts w:hint="eastAsia" w:ascii="宋体" w:hAnsi="宋体" w:eastAsia="宋体" w:cs="宋体"/>
          <w:color w:val="auto"/>
          <w:sz w:val="21"/>
          <w:szCs w:val="21"/>
          <w:highlight w:val="none"/>
          <w:lang w:val="en"/>
        </w:rPr>
        <w:t>主要材料一览表</w:t>
      </w:r>
      <w:r>
        <w:rPr>
          <w:rFonts w:hint="eastAsia" w:ascii="宋体" w:hAnsi="宋体" w:eastAsia="宋体" w:cs="宋体"/>
          <w:color w:val="auto"/>
          <w:sz w:val="21"/>
          <w:szCs w:val="21"/>
          <w:highlight w:val="none"/>
          <w:lang w:val="en-US"/>
        </w:rPr>
        <w:t>》</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ascii="宋体" w:hAnsi="宋体" w:eastAsia="宋体" w:cs="宋体"/>
          <w:color w:val="auto"/>
          <w:sz w:val="21"/>
          <w:szCs w:val="21"/>
          <w:highlight w:val="none"/>
          <w:lang w:val="en"/>
        </w:rPr>
        <w:t>或表格内容未明确的，在规定时间内提出质疑，招标人在规定时间内进行修改。</w:t>
      </w:r>
      <w:r>
        <w:rPr>
          <w:rFonts w:hint="eastAsia" w:cs="宋体"/>
          <w:b w:val="0"/>
          <w:bCs w:val="0"/>
          <w:color w:val="auto"/>
          <w:sz w:val="21"/>
          <w:szCs w:val="21"/>
          <w:highlight w:val="none"/>
          <w:lang w:val="en-US" w:eastAsia="zh-CN"/>
        </w:rPr>
        <w:t>如投标人未填写可调因子权重，材料价格上涨时则按招标人提供的权重范围低值计算，材料下跌时按招标人提供的权重范围高值计算。</w:t>
      </w:r>
    </w:p>
    <w:p w14:paraId="261BCA5A">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.23</w:t>
      </w:r>
      <w:r>
        <w:rPr>
          <w:color w:val="auto"/>
          <w:highlight w:val="none"/>
        </w:rPr>
        <w:t xml:space="preserve"> </w:t>
      </w:r>
      <w:r>
        <w:rPr>
          <w:rFonts w:hint="eastAsia" w:ascii="宋体" w:hAnsi="宋体" w:cs="宋体"/>
          <w:color w:val="auto"/>
          <w:sz w:val="21"/>
          <w:szCs w:val="21"/>
          <w:highlight w:val="none"/>
          <w:lang w:val="en-US" w:eastAsia="zh-CN"/>
        </w:rPr>
        <w:t>安全生产费应</w:t>
      </w:r>
      <w:r>
        <w:rPr>
          <w:rFonts w:hint="eastAsia" w:ascii="宋体" w:hAnsi="宋体" w:cs="宋体"/>
          <w:b w:val="0"/>
          <w:bCs w:val="0"/>
          <w:color w:val="auto"/>
          <w:szCs w:val="21"/>
          <w:highlight w:val="none"/>
        </w:rPr>
        <w:t>按</w:t>
      </w:r>
      <w:r>
        <w:rPr>
          <w:rFonts w:hint="eastAsia" w:ascii="宋体" w:hAnsi="宋体" w:cs="宋体"/>
          <w:b w:val="0"/>
          <w:bCs w:val="0"/>
          <w:color w:val="auto"/>
          <w:szCs w:val="21"/>
          <w:highlight w:val="none"/>
          <w:lang w:eastAsia="zh-CN"/>
        </w:rPr>
        <w:t>自治区建设行政主管部门</w:t>
      </w:r>
      <w:r>
        <w:rPr>
          <w:rFonts w:hint="eastAsia" w:ascii="宋体" w:hAnsi="宋体" w:cs="宋体"/>
          <w:b w:val="0"/>
          <w:bCs w:val="0"/>
          <w:color w:val="auto"/>
          <w:szCs w:val="21"/>
          <w:highlight w:val="none"/>
        </w:rPr>
        <w:t>规定</w:t>
      </w:r>
      <w:r>
        <w:rPr>
          <w:rFonts w:hint="eastAsia" w:ascii="宋体" w:hAnsi="宋体" w:cs="宋体"/>
          <w:b w:val="0"/>
          <w:bCs w:val="0"/>
          <w:color w:val="auto"/>
          <w:szCs w:val="21"/>
          <w:highlight w:val="none"/>
          <w:lang w:eastAsia="zh-CN"/>
        </w:rPr>
        <w:t>的计算</w:t>
      </w:r>
      <w:r>
        <w:rPr>
          <w:rFonts w:hint="eastAsia" w:ascii="宋体" w:hAnsi="宋体" w:cs="宋体"/>
          <w:b w:val="0"/>
          <w:bCs w:val="0"/>
          <w:color w:val="auto"/>
          <w:szCs w:val="21"/>
          <w:highlight w:val="none"/>
          <w:lang w:val="en-US" w:eastAsia="zh-CN"/>
        </w:rPr>
        <w:t>基础</w:t>
      </w:r>
      <w:r>
        <w:rPr>
          <w:rFonts w:hint="eastAsia" w:ascii="宋体" w:hAnsi="宋体" w:cs="宋体"/>
          <w:b w:val="0"/>
          <w:bCs w:val="0"/>
          <w:color w:val="auto"/>
          <w:szCs w:val="21"/>
          <w:highlight w:val="none"/>
          <w:lang w:eastAsia="zh-CN"/>
        </w:rPr>
        <w:t>和费率</w:t>
      </w:r>
      <w:r>
        <w:rPr>
          <w:rFonts w:hint="eastAsia" w:ascii="宋体" w:hAnsi="宋体" w:cs="宋体"/>
          <w:b w:val="0"/>
          <w:bCs w:val="0"/>
          <w:color w:val="auto"/>
          <w:szCs w:val="21"/>
          <w:highlight w:val="none"/>
        </w:rPr>
        <w:t>计算</w:t>
      </w:r>
      <w:r>
        <w:rPr>
          <w:rFonts w:hint="eastAsia" w:cs="宋体"/>
          <w:color w:val="auto"/>
          <w:highlight w:val="none"/>
        </w:rPr>
        <w:t>，作为不可竞争费用。</w:t>
      </w:r>
    </w:p>
    <w:p w14:paraId="23B46982">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.24</w:t>
      </w:r>
      <w:r>
        <w:rPr>
          <w:color w:val="auto"/>
          <w:highlight w:val="none"/>
        </w:rPr>
        <w:t xml:space="preserve"> </w:t>
      </w:r>
      <w:r>
        <w:rPr>
          <w:rFonts w:hint="eastAsia" w:cs="宋体"/>
          <w:color w:val="auto"/>
          <w:highlight w:val="none"/>
        </w:rPr>
        <w:t>投标总价应当与分部分项工程费、</w:t>
      </w:r>
      <w:r>
        <w:rPr>
          <w:rFonts w:hint="eastAsia" w:cs="宋体"/>
          <w:color w:val="auto"/>
          <w:highlight w:val="none"/>
          <w:lang w:val="en-US" w:eastAsia="zh-CN"/>
        </w:rPr>
        <w:t>技术措施项目费、综合</w:t>
      </w:r>
      <w:r>
        <w:rPr>
          <w:rFonts w:hint="eastAsia" w:cs="宋体"/>
          <w:color w:val="auto"/>
          <w:highlight w:val="none"/>
        </w:rPr>
        <w:t>措施项目费、其他项目费的合计金额一致。</w:t>
      </w:r>
    </w:p>
    <w:p w14:paraId="6B6B6BFB">
      <w:pPr>
        <w:spacing w:line="360" w:lineRule="auto"/>
        <w:ind w:firstLine="420" w:firstLineChars="200"/>
        <w:rPr>
          <w:rFonts w:hint="eastAsia" w:cs="宋体"/>
          <w:color w:val="auto"/>
          <w:highlight w:val="none"/>
        </w:rPr>
      </w:pPr>
      <w:r>
        <w:rPr>
          <w:rFonts w:hint="eastAsia" w:cs="宋体"/>
          <w:color w:val="auto"/>
          <w:highlight w:val="none"/>
        </w:rPr>
        <w:t>未尽事宜详见本工程招标工程量清单以及现行《计价规范》等有关规定执行。</w:t>
      </w:r>
    </w:p>
    <w:p w14:paraId="4C50FA85">
      <w:pPr>
        <w:pStyle w:val="4"/>
        <w:spacing w:line="360" w:lineRule="auto"/>
        <w:ind w:firstLine="422" w:firstLineChars="200"/>
        <w:rPr>
          <w:rFonts w:hint="default" w:eastAsia="宋体" w:cs="宋体"/>
          <w:color w:val="auto"/>
          <w:sz w:val="21"/>
          <w:szCs w:val="21"/>
          <w:highlight w:val="none"/>
          <w:lang w:val="en-US" w:eastAsia="zh-CN"/>
        </w:rPr>
      </w:pPr>
      <w:bookmarkStart w:id="2291" w:name="_Toc26532"/>
      <w:r>
        <w:rPr>
          <w:rFonts w:hint="eastAsia" w:cs="宋体"/>
          <w:color w:val="auto"/>
          <w:sz w:val="21"/>
          <w:szCs w:val="21"/>
          <w:highlight w:val="none"/>
          <w:lang w:val="en-US" w:eastAsia="zh-CN"/>
        </w:rPr>
        <w:t>2投标报价格式</w:t>
      </w:r>
      <w:bookmarkEnd w:id="2291"/>
    </w:p>
    <w:p w14:paraId="18E1DA86">
      <w:pPr>
        <w:spacing w:line="360" w:lineRule="auto"/>
        <w:ind w:firstLine="420" w:firstLineChars="200"/>
        <w:rPr>
          <w:rFonts w:hint="eastAsia" w:cs="宋体"/>
          <w:color w:val="auto"/>
          <w:highlight w:val="none"/>
        </w:rPr>
      </w:pPr>
      <w:r>
        <w:rPr>
          <w:rFonts w:hint="eastAsia"/>
          <w:color w:val="auto"/>
          <w:highlight w:val="none"/>
          <w:lang w:val="en-US" w:eastAsia="zh-CN"/>
        </w:rPr>
        <w:t>2.1</w:t>
      </w:r>
      <w:r>
        <w:rPr>
          <w:color w:val="auto"/>
          <w:highlight w:val="none"/>
        </w:rPr>
        <w:t>.</w:t>
      </w:r>
      <w:r>
        <w:rPr>
          <w:rFonts w:hint="eastAsia" w:cs="宋体"/>
          <w:color w:val="auto"/>
          <w:highlight w:val="none"/>
        </w:rPr>
        <w:t>已标价工程量清单表格具体内容包括：</w:t>
      </w:r>
    </w:p>
    <w:p w14:paraId="479D1828">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1.1 </w:t>
      </w:r>
      <w:r>
        <w:rPr>
          <w:rFonts w:hint="eastAsia" w:ascii="Times New Roman" w:hAnsi="Times New Roman" w:eastAsia="宋体" w:cs="宋体"/>
          <w:b w:val="0"/>
          <w:color w:val="auto"/>
          <w:sz w:val="21"/>
          <w:szCs w:val="21"/>
          <w:highlight w:val="none"/>
        </w:rPr>
        <w:t>投标报价</w:t>
      </w:r>
      <w:r>
        <w:rPr>
          <w:rFonts w:hint="eastAsia" w:ascii="Times New Roman" w:hAnsi="Times New Roman" w:eastAsia="宋体" w:cs="宋体"/>
          <w:color w:val="auto"/>
          <w:highlight w:val="none"/>
        </w:rPr>
        <w:t>（封-</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25DCDEF4">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1.2 </w:t>
      </w:r>
      <w:r>
        <w:rPr>
          <w:rFonts w:hint="eastAsia" w:ascii="Times New Roman" w:hAnsi="Times New Roman" w:eastAsia="宋体" w:cs="宋体"/>
          <w:b w:val="0"/>
          <w:color w:val="auto"/>
          <w:sz w:val="21"/>
          <w:szCs w:val="21"/>
          <w:highlight w:val="none"/>
        </w:rPr>
        <w:t>投标总价</w:t>
      </w:r>
      <w:r>
        <w:rPr>
          <w:rFonts w:hint="eastAsia" w:ascii="Times New Roman" w:hAnsi="Times New Roman" w:eastAsia="宋体" w:cs="宋体"/>
          <w:color w:val="auto"/>
          <w:highlight w:val="none"/>
        </w:rPr>
        <w:t>（扉-</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4BC6672B">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7EC891E8">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4A4C0EDC">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0264E2BC">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05适用于单价合同，表-06适用于总价合同</w:t>
      </w:r>
      <w:r>
        <w:rPr>
          <w:rFonts w:hint="eastAsia" w:ascii="Times New Roman" w:hAnsi="Times New Roman" w:eastAsia="宋体" w:cs="宋体"/>
          <w:color w:val="auto"/>
          <w:highlight w:val="none"/>
        </w:rPr>
        <w:t>）</w:t>
      </w:r>
    </w:p>
    <w:p w14:paraId="4BBBF48A">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528E4AAF">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08</w:t>
      </w:r>
      <w:r>
        <w:rPr>
          <w:rFonts w:hint="eastAsia" w:ascii="Times New Roman" w:hAnsi="Times New Roman" w:eastAsia="宋体" w:cs="宋体"/>
          <w:color w:val="auto"/>
          <w:highlight w:val="none"/>
        </w:rPr>
        <w:t>）</w:t>
      </w:r>
    </w:p>
    <w:p w14:paraId="7DC7EC90">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09</w:t>
      </w:r>
      <w:r>
        <w:rPr>
          <w:rFonts w:hint="eastAsia" w:ascii="Times New Roman" w:hAnsi="Times New Roman" w:eastAsia="宋体" w:cs="宋体"/>
          <w:color w:val="auto"/>
          <w:highlight w:val="none"/>
        </w:rPr>
        <w:t>）</w:t>
      </w:r>
    </w:p>
    <w:p w14:paraId="14E7BAA6">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ascii="Times New Roman" w:hAnsi="Times New Roman" w:eastAsia="宋体" w:cs="宋体"/>
          <w:strike w:val="0"/>
          <w:color w:val="auto"/>
          <w:highlight w:val="none"/>
          <w:lang w:eastAsia="zh-CN"/>
        </w:rPr>
        <w:t>0</w:t>
      </w:r>
      <w:r>
        <w:rPr>
          <w:rFonts w:hint="eastAsia" w:ascii="Times New Roman" w:hAnsi="Times New Roman" w:eastAsia="宋体" w:cs="宋体"/>
          <w:strike w:val="0"/>
          <w:color w:val="auto"/>
          <w:highlight w:val="none"/>
        </w:rPr>
        <w:t>）</w:t>
      </w:r>
    </w:p>
    <w:p w14:paraId="0F2C9C65">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1A6BE26C">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12</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w:t>
      </w:r>
    </w:p>
    <w:p w14:paraId="57E3A95A">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13</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ascii="Times New Roman" w:hAnsi="Times New Roman" w:eastAsia="宋体" w:cs="宋体"/>
          <w:color w:val="auto"/>
          <w:highlight w:val="none"/>
          <w:lang w:eastAsia="zh-CN"/>
        </w:rPr>
        <w:t>3</w:t>
      </w:r>
      <w:r>
        <w:rPr>
          <w:rFonts w:hint="eastAsia" w:ascii="Times New Roman" w:hAnsi="Times New Roman" w:eastAsia="宋体" w:cs="宋体"/>
          <w:color w:val="auto"/>
          <w:highlight w:val="none"/>
        </w:rPr>
        <w:t>）</w:t>
      </w:r>
    </w:p>
    <w:p w14:paraId="6AA56471">
      <w:pPr>
        <w:spacing w:line="360" w:lineRule="auto"/>
        <w:ind w:firstLine="630" w:firstLineChars="300"/>
        <w:jc w:val="left"/>
        <w:rPr>
          <w:rFonts w:hint="eastAsia" w:ascii="Times New Roman" w:hAnsi="Times New Roman" w:eastAsia="宋体" w:cs="Times New Roman"/>
          <w:color w:val="auto"/>
          <w:highlight w:val="none"/>
        </w:rPr>
      </w:pPr>
      <w:r>
        <w:rPr>
          <w:rFonts w:hint="eastAsia" w:cs="Times New Roman"/>
          <w:b w:val="0"/>
          <w:bCs w:val="0"/>
          <w:color w:val="auto"/>
          <w:sz w:val="21"/>
          <w:szCs w:val="21"/>
          <w:highlight w:val="none"/>
          <w:lang w:val="en-US" w:eastAsia="zh-CN"/>
        </w:rPr>
        <w:t>（14）</w:t>
      </w:r>
      <w:r>
        <w:rPr>
          <w:rFonts w:hint="eastAsia" w:ascii="Times New Roman" w:hAnsi="Times New Roman" w:eastAsia="宋体" w:cs="Times New Roman"/>
          <w:b w:val="0"/>
          <w:color w:val="auto"/>
          <w:sz w:val="21"/>
          <w:szCs w:val="21"/>
          <w:highlight w:val="none"/>
        </w:rPr>
        <w:t>材料暂估价</w:t>
      </w:r>
      <w:r>
        <w:rPr>
          <w:rFonts w:hint="eastAsia" w:cs="Times New Roman"/>
          <w:color w:val="auto"/>
          <w:highlight w:val="none"/>
          <w:lang w:val="en-US" w:eastAsia="zh-CN"/>
        </w:rPr>
        <w:t>明细</w:t>
      </w:r>
      <w:r>
        <w:rPr>
          <w:rFonts w:hint="eastAsia" w:ascii="Times New Roman" w:hAnsi="Times New Roman" w:eastAsia="宋体" w:cs="Times New Roman"/>
          <w:b w:val="0"/>
          <w:color w:val="auto"/>
          <w:sz w:val="21"/>
          <w:szCs w:val="21"/>
          <w:highlight w:val="none"/>
        </w:rPr>
        <w:t>表</w:t>
      </w:r>
      <w:r>
        <w:rPr>
          <w:rFonts w:hint="eastAsia"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3-1</w:t>
      </w:r>
      <w:r>
        <w:rPr>
          <w:rFonts w:hint="eastAsia" w:ascii="Times New Roman" w:hAnsi="Times New Roman" w:eastAsia="宋体" w:cs="Times New Roman"/>
          <w:color w:val="auto"/>
          <w:highlight w:val="none"/>
        </w:rPr>
        <w:t>）</w:t>
      </w:r>
    </w:p>
    <w:p w14:paraId="40C3D760">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（15）</w:t>
      </w:r>
      <w:r>
        <w:rPr>
          <w:rFonts w:hint="eastAsia" w:cs="Times New Roman"/>
          <w:color w:val="auto"/>
          <w:highlight w:val="none"/>
        </w:rPr>
        <w:t>专业工程暂估价</w:t>
      </w:r>
      <w:r>
        <w:rPr>
          <w:rFonts w:hint="eastAsia" w:cs="Times New Roman"/>
          <w:color w:val="auto"/>
          <w:highlight w:val="none"/>
          <w:lang w:val="en-US" w:eastAsia="zh-CN"/>
        </w:rPr>
        <w:t>明细</w:t>
      </w:r>
      <w:r>
        <w:rPr>
          <w:rFonts w:hint="eastAsia" w:cs="Times New Roman"/>
          <w:color w:val="auto"/>
          <w:highlight w:val="none"/>
        </w:rPr>
        <w:t>表（表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3-2</w:t>
      </w:r>
      <w:r>
        <w:rPr>
          <w:rFonts w:hint="eastAsia" w:cs="Times New Roman"/>
          <w:color w:val="auto"/>
          <w:highlight w:val="none"/>
        </w:rPr>
        <w:t>）</w:t>
      </w:r>
    </w:p>
    <w:p w14:paraId="1153D5A7">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（16）</w:t>
      </w:r>
      <w:r>
        <w:rPr>
          <w:rFonts w:hint="eastAsia" w:cs="Times New Roman"/>
          <w:color w:val="auto"/>
          <w:highlight w:val="none"/>
          <w:lang w:val="en-US" w:eastAsia="zh-CN"/>
        </w:rPr>
        <w:t>暂列金额明细表</w:t>
      </w:r>
      <w:r>
        <w:rPr>
          <w:rFonts w:hint="eastAsia" w:cs="Times New Roman"/>
          <w:color w:val="auto"/>
          <w:highlight w:val="none"/>
        </w:rPr>
        <w:t>（表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3-3</w:t>
      </w:r>
      <w:r>
        <w:rPr>
          <w:rFonts w:hint="eastAsia" w:cs="Times New Roman"/>
          <w:color w:val="auto"/>
          <w:highlight w:val="none"/>
        </w:rPr>
        <w:t>）</w:t>
      </w:r>
    </w:p>
    <w:p w14:paraId="329C668D">
      <w:pPr>
        <w:spacing w:line="360" w:lineRule="auto"/>
        <w:ind w:firstLine="630" w:firstLineChars="300"/>
        <w:jc w:val="left"/>
        <w:rPr>
          <w:rFonts w:hint="eastAsia"/>
          <w:color w:val="auto"/>
          <w:highlight w:val="none"/>
          <w:lang w:eastAsia="zh-CN"/>
        </w:rPr>
      </w:pPr>
      <w:r>
        <w:rPr>
          <w:rFonts w:hint="eastAsia" w:cs="Times New Roman"/>
          <w:b w:val="0"/>
          <w:bCs w:val="0"/>
          <w:color w:val="auto"/>
          <w:sz w:val="21"/>
          <w:szCs w:val="21"/>
          <w:highlight w:val="none"/>
          <w:lang w:val="en-US" w:eastAsia="zh-CN"/>
        </w:rPr>
        <w:t>（17）</w:t>
      </w:r>
      <w:r>
        <w:rPr>
          <w:rFonts w:hint="eastAsia" w:cs="Times New Roman"/>
          <w:color w:val="auto"/>
          <w:highlight w:val="none"/>
        </w:rPr>
        <w:t>总承包服</w:t>
      </w:r>
      <w:r>
        <w:rPr>
          <w:rFonts w:hint="eastAsia" w:ascii="Times New Roman" w:hAnsi="Times New Roman" w:eastAsia="宋体" w:cs="Times New Roman"/>
          <w:color w:val="auto"/>
          <w:highlight w:val="none"/>
          <w:lang w:val="en"/>
        </w:rPr>
        <w:t>务费计价表（表</w:t>
      </w:r>
      <w:r>
        <w:rPr>
          <w:rFonts w:hint="eastAsia" w:ascii="Times New Roman" w:hAnsi="Times New Roman" w:eastAsia="宋体" w:cs="Times New Roman"/>
          <w:color w:val="auto"/>
          <w:highlight w:val="none"/>
          <w:lang w:val="en" w:eastAsia="zh-CN"/>
        </w:rPr>
        <w:t>-</w:t>
      </w:r>
      <w:r>
        <w:rPr>
          <w:rFonts w:hint="eastAsia" w:ascii="Times New Roman" w:hAnsi="Times New Roman" w:eastAsia="宋体" w:cs="Times New Roman"/>
          <w:color w:val="auto"/>
          <w:highlight w:val="none"/>
          <w:lang w:val="en"/>
        </w:rPr>
        <w:t>1</w:t>
      </w:r>
      <w:r>
        <w:rPr>
          <w:rFonts w:hint="eastAsia" w:ascii="Times New Roman" w:hAnsi="Times New Roman" w:eastAsia="宋体" w:cs="Times New Roman"/>
          <w:color w:val="auto"/>
          <w:highlight w:val="none"/>
          <w:lang w:val="en-US" w:eastAsia="zh-CN"/>
        </w:rPr>
        <w:t>3-4</w:t>
      </w:r>
      <w:r>
        <w:rPr>
          <w:rFonts w:hint="eastAsia" w:ascii="Times New Roman" w:hAnsi="Times New Roman" w:eastAsia="宋体" w:cs="Times New Roman"/>
          <w:color w:val="auto"/>
          <w:highlight w:val="none"/>
          <w:lang w:val="en"/>
        </w:rPr>
        <w:t>）</w:t>
      </w:r>
    </w:p>
    <w:p w14:paraId="080665F7">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
        </w:rPr>
        <w:t>1</w:t>
      </w:r>
      <w:r>
        <w:rPr>
          <w:rFonts w:hint="default" w:ascii="Times New Roman" w:hAnsi="Times New Roman" w:eastAsia="宋体" w:cs="宋体"/>
          <w:color w:val="auto"/>
          <w:highlight w:val="none"/>
          <w:lang w:val="en" w:eastAsia="zh-CN"/>
        </w:rPr>
        <w:t>8</w:t>
      </w:r>
      <w:r>
        <w:rPr>
          <w:rFonts w:hint="default" w:ascii="Times New Roman" w:hAnsi="Times New Roman" w:eastAsia="宋体" w:cs="宋体"/>
          <w:color w:val="auto"/>
          <w:highlight w:val="none"/>
          <w:lang w:val="en"/>
        </w:rPr>
        <w:t>）</w:t>
      </w:r>
    </w:p>
    <w:p w14:paraId="7EE6B78F">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19</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19</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465AEAD9">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20</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-2</w:t>
      </w:r>
      <w:r>
        <w:rPr>
          <w:rFonts w:hint="default" w:ascii="Times New Roman" w:hAnsi="Times New Roman" w:eastAsia="宋体" w:cs="宋体"/>
          <w:color w:val="auto"/>
          <w:highlight w:val="none"/>
          <w:lang w:val="en" w:eastAsia="zh-CN"/>
        </w:rPr>
        <w:t>0</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74500780">
      <w:pPr>
        <w:spacing w:line="360" w:lineRule="auto"/>
        <w:ind w:firstLine="420" w:firstLineChars="200"/>
        <w:rPr>
          <w:rFonts w:cs="宋体"/>
          <w:color w:val="auto"/>
          <w:highlight w:val="none"/>
        </w:rPr>
      </w:pPr>
      <w:r>
        <w:rPr>
          <w:rFonts w:hint="eastAsia" w:cs="宋体"/>
          <w:color w:val="auto"/>
          <w:highlight w:val="none"/>
        </w:rPr>
        <w:t>注：以</w:t>
      </w:r>
      <w:r>
        <w:rPr>
          <w:rFonts w:hint="eastAsia" w:cs="宋体"/>
          <w:color w:val="auto"/>
          <w:highlight w:val="none"/>
          <w:lang w:val="en-US" w:eastAsia="zh-CN"/>
        </w:rPr>
        <w:t>上</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cs="宋体"/>
          <w:color w:val="auto"/>
          <w:highlight w:val="none"/>
          <w:lang w:val="en-US" w:eastAsia="zh-CN"/>
        </w:rPr>
        <w:t>19</w:t>
      </w:r>
      <w:r>
        <w:rPr>
          <w:rFonts w:hint="eastAsia" w:cs="宋体"/>
          <w:color w:val="auto"/>
          <w:highlight w:val="none"/>
          <w:lang w:eastAsia="zh-CN"/>
        </w:rPr>
        <w:t>）（</w:t>
      </w:r>
      <w:r>
        <w:rPr>
          <w:rFonts w:hint="eastAsia" w:cs="宋体"/>
          <w:color w:val="auto"/>
          <w:highlight w:val="none"/>
          <w:lang w:val="en-US" w:eastAsia="zh-CN"/>
        </w:rPr>
        <w:t>20</w:t>
      </w:r>
      <w:r>
        <w:rPr>
          <w:rFonts w:hint="eastAsia" w:cs="宋体"/>
          <w:color w:val="auto"/>
          <w:highlight w:val="none"/>
          <w:lang w:eastAsia="zh-CN"/>
        </w:rPr>
        <w:t>）</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bookmarkEnd w:id="2289"/>
    </w:p>
    <w:p w14:paraId="42BD1A18">
      <w:pPr>
        <w:spacing w:line="360" w:lineRule="auto"/>
        <w:ind w:firstLine="945" w:firstLineChars="450"/>
        <w:rPr>
          <w:rFonts w:cs="宋体"/>
          <w:color w:val="auto"/>
          <w:highlight w:val="none"/>
        </w:rPr>
      </w:pPr>
    </w:p>
    <w:p w14:paraId="1AEB28C0">
      <w:pPr>
        <w:spacing w:line="360" w:lineRule="auto"/>
        <w:ind w:firstLine="945" w:firstLineChars="450"/>
        <w:rPr>
          <w:rFonts w:cs="宋体"/>
          <w:color w:val="auto"/>
          <w:highlight w:val="none"/>
        </w:rPr>
      </w:pPr>
    </w:p>
    <w:p w14:paraId="71F2BFD0">
      <w:pPr>
        <w:spacing w:line="360" w:lineRule="auto"/>
        <w:ind w:firstLine="945" w:firstLineChars="450"/>
        <w:rPr>
          <w:rFonts w:cs="宋体"/>
          <w:color w:val="auto"/>
          <w:highlight w:val="none"/>
        </w:rPr>
      </w:pPr>
    </w:p>
    <w:p w14:paraId="46A0F664">
      <w:pPr>
        <w:pStyle w:val="135"/>
        <w:ind w:firstLine="422"/>
        <w:jc w:val="center"/>
        <w:outlineLvl w:val="0"/>
        <w:rPr>
          <w:rFonts w:hint="eastAsia"/>
          <w:color w:val="auto"/>
          <w:highlight w:val="none"/>
        </w:rPr>
      </w:pPr>
      <w:r>
        <w:rPr>
          <w:rFonts w:hint="eastAsia" w:cs="宋体"/>
          <w:b/>
          <w:bCs/>
          <w:color w:val="auto"/>
          <w:sz w:val="24"/>
          <w:szCs w:val="24"/>
          <w:highlight w:val="none"/>
        </w:rPr>
        <w:t>五、建筑材料和设备节能环保要求承诺书（政府采购工程项目须提供）</w:t>
      </w:r>
    </w:p>
    <w:p w14:paraId="2AC482AB">
      <w:pPr>
        <w:spacing w:line="520" w:lineRule="exact"/>
        <w:ind w:left="-10" w:firstLine="455" w:firstLineChars="217"/>
        <w:jc w:val="left"/>
        <w:rPr>
          <w:rFonts w:hint="eastAsia"/>
          <w:color w:val="auto"/>
          <w:highlight w:val="none"/>
        </w:rPr>
      </w:pPr>
      <w:r>
        <w:rPr>
          <w:rFonts w:hint="eastAsia"/>
          <w:color w:val="auto"/>
          <w:highlight w:val="none"/>
        </w:rPr>
        <w:t>我方承诺，一旦中标，我方保证严格执行</w:t>
      </w:r>
      <w:r>
        <w:rPr>
          <w:rFonts w:hint="eastAsia" w:cs="宋体"/>
          <w:color w:val="auto"/>
          <w:highlight w:val="none"/>
        </w:rPr>
        <w:t>《</w:t>
      </w:r>
      <w:r>
        <w:rPr>
          <w:rFonts w:hint="eastAsia" w:ascii="宋体" w:hAnsi="宋体"/>
          <w:color w:val="auto"/>
          <w:highlight w:val="none"/>
        </w:rPr>
        <w:t>财政部 国家发展改革委关于印发《节能产品政府采购实施意见》的通知</w:t>
      </w:r>
      <w:r>
        <w:rPr>
          <w:rFonts w:hint="eastAsia" w:cs="宋体"/>
          <w:color w:val="auto"/>
          <w:highlight w:val="none"/>
        </w:rPr>
        <w:t>》</w:t>
      </w:r>
      <w:r>
        <w:rPr>
          <w:rFonts w:hint="eastAsia" w:ascii="宋体" w:hAnsi="宋体"/>
          <w:color w:val="auto"/>
          <w:highlight w:val="none"/>
        </w:rPr>
        <w:t>（财库〔2004〕185号）、</w:t>
      </w:r>
      <w:r>
        <w:rPr>
          <w:rFonts w:hint="eastAsia" w:cs="宋体"/>
          <w:color w:val="auto"/>
          <w:highlight w:val="none"/>
        </w:rPr>
        <w:t>《财政部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w:t>
      </w:r>
      <w:r>
        <w:rPr>
          <w:color w:val="auto"/>
          <w:highlight w:val="none"/>
        </w:rPr>
        <w:t>如我方在该项目的承包中出现未按规定执行的情形，我方愿意按照相关规定接受建设单位及有关主管部门的处罚。</w:t>
      </w:r>
    </w:p>
    <w:p w14:paraId="52D256CA">
      <w:pPr>
        <w:spacing w:line="520" w:lineRule="exact"/>
        <w:ind w:left="-10" w:firstLine="455" w:firstLineChars="217"/>
        <w:jc w:val="left"/>
        <w:rPr>
          <w:rFonts w:hint="eastAsia"/>
          <w:color w:val="auto"/>
          <w:highlight w:val="none"/>
        </w:rPr>
      </w:pPr>
      <w:r>
        <w:rPr>
          <w:rFonts w:hint="eastAsia"/>
          <w:color w:val="auto"/>
          <w:highlight w:val="none"/>
        </w:rPr>
        <w:t>备注：附拟投标的政府强制采购的节能产品认证证书原件扫描件（如有）</w:t>
      </w:r>
    </w:p>
    <w:p w14:paraId="3F01547B">
      <w:pPr>
        <w:spacing w:line="520" w:lineRule="exact"/>
        <w:ind w:left="-10" w:firstLine="455" w:firstLineChars="217"/>
        <w:jc w:val="left"/>
        <w:rPr>
          <w:rFonts w:hint="eastAsia"/>
          <w:color w:val="auto"/>
          <w:highlight w:val="none"/>
        </w:rPr>
      </w:pPr>
    </w:p>
    <w:p w14:paraId="38C295A5">
      <w:pPr>
        <w:spacing w:line="520" w:lineRule="exact"/>
        <w:ind w:left="-10" w:firstLine="455" w:firstLineChars="217"/>
        <w:jc w:val="left"/>
        <w:rPr>
          <w:rFonts w:hint="eastAsia"/>
          <w:color w:val="auto"/>
          <w:highlight w:val="none"/>
        </w:rPr>
      </w:pPr>
    </w:p>
    <w:p w14:paraId="51B017D2">
      <w:pPr>
        <w:tabs>
          <w:tab w:val="left" w:pos="4860"/>
        </w:tabs>
        <w:spacing w:line="360" w:lineRule="auto"/>
        <w:ind w:right="1560" w:firstLine="444" w:firstLineChars="200"/>
        <w:contextualSpacing/>
        <w:jc w:val="right"/>
        <w:rPr>
          <w:rFonts w:hint="eastAsia" w:ascii="宋体" w:hAnsi="宋体"/>
          <w:color w:val="auto"/>
          <w:spacing w:val="6"/>
          <w:highlight w:val="non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单位名称（盖法人单位电子印章）：</w:t>
      </w:r>
    </w:p>
    <w:p w14:paraId="03D2DB07">
      <w:pPr>
        <w:ind w:firstLine="444" w:firstLineChars="200"/>
        <w:jc w:val="right"/>
        <w:rPr>
          <w:rFonts w:hint="eastAsia" w:ascii="宋体" w:hAnsi="宋体"/>
          <w:color w:val="auto"/>
          <w:spacing w:val="6"/>
          <w:highlight w:val="none"/>
        </w:rPr>
      </w:pPr>
      <w:r>
        <w:rPr>
          <w:rFonts w:hint="eastAsia" w:ascii="宋体" w:hAnsi="宋体"/>
          <w:color w:val="auto"/>
          <w:spacing w:val="6"/>
          <w:highlight w:val="none"/>
        </w:rPr>
        <w:t xml:space="preserve">                                     日  期：</w:t>
      </w:r>
    </w:p>
    <w:p w14:paraId="2BA576BC">
      <w:pPr>
        <w:spacing w:line="520" w:lineRule="exact"/>
        <w:ind w:left="-10" w:firstLine="455" w:firstLineChars="217"/>
        <w:jc w:val="left"/>
        <w:rPr>
          <w:rFonts w:hint="eastAsia"/>
          <w:color w:val="auto"/>
          <w:highlight w:val="none"/>
        </w:rPr>
      </w:pPr>
    </w:p>
    <w:p w14:paraId="47F61D70">
      <w:pPr>
        <w:pStyle w:val="135"/>
        <w:ind w:firstLine="422"/>
        <w:jc w:val="center"/>
        <w:outlineLvl w:val="0"/>
        <w:rPr>
          <w:rFonts w:hint="eastAsia" w:cs="宋体"/>
          <w:b/>
          <w:bCs/>
          <w:color w:val="auto"/>
          <w:sz w:val="24"/>
          <w:szCs w:val="24"/>
          <w:highlight w:val="none"/>
        </w:rPr>
      </w:pPr>
      <w:r>
        <w:rPr>
          <w:rFonts w:hint="eastAsia" w:cs="宋体"/>
          <w:b/>
          <w:bCs/>
          <w:color w:val="auto"/>
          <w:sz w:val="24"/>
          <w:szCs w:val="24"/>
          <w:highlight w:val="none"/>
        </w:rPr>
        <w:t>六、《中小企业声明函》或者《残疾人福利性单位声明函》或者省级以上监狱管理局、戒毒管理局（含新疆生产建设兵团）出具的属于监狱企业的证明文件扫描件（如有）</w:t>
      </w:r>
    </w:p>
    <w:p w14:paraId="7622513A">
      <w:pPr>
        <w:pStyle w:val="36"/>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2C4866CE">
      <w:pPr>
        <w:spacing w:line="360" w:lineRule="auto"/>
        <w:ind w:firstLine="42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本公司（联合体）郑重声明，根据《政府采购促进中小企业发展管理办法》（财库﹝</w:t>
      </w:r>
      <w:r>
        <w:rPr>
          <w:rFonts w:ascii="Times New Roman" w:hAnsi="Times New Roman" w:eastAsia="宋体" w:cs="Times New Roman"/>
          <w:bCs/>
          <w:color w:val="auto"/>
          <w:highlight w:val="none"/>
        </w:rPr>
        <w:t>2020</w:t>
      </w:r>
      <w:r>
        <w:rPr>
          <w:rFonts w:hint="default" w:ascii="Times New Roman" w:hAnsi="Times New Roman" w:eastAsia="宋体" w:cs="Times New Roman"/>
          <w:bCs/>
          <w:color w:val="auto"/>
          <w:highlight w:val="none"/>
        </w:rPr>
        <w:t>﹞</w:t>
      </w:r>
      <w:r>
        <w:rPr>
          <w:rFonts w:ascii="Times New Roman" w:hAnsi="Times New Roman" w:eastAsia="宋体" w:cs="Times New Roman"/>
          <w:bCs/>
          <w:color w:val="auto"/>
          <w:highlight w:val="none"/>
        </w:rPr>
        <w:t xml:space="preserve">46 </w:t>
      </w:r>
      <w:r>
        <w:rPr>
          <w:rFonts w:hint="default" w:ascii="Times New Roman" w:hAnsi="Times New Roman" w:eastAsia="宋体" w:cs="Times New Roman"/>
          <w:bCs/>
          <w:color w:val="auto"/>
          <w:highlight w:val="none"/>
        </w:rPr>
        <w:t>号）的规定，本公司（联合体）参加</w:t>
      </w:r>
      <w:r>
        <w:rPr>
          <w:rFonts w:hint="default" w:ascii="Times New Roman" w:hAnsi="Times New Roman" w:eastAsia="宋体" w:cs="Times New Roman"/>
          <w:bCs/>
          <w:color w:val="auto"/>
          <w:highlight w:val="none"/>
          <w:u w:val="none"/>
        </w:rPr>
        <w:t>（单位名称）</w:t>
      </w:r>
      <w:r>
        <w:rPr>
          <w:rFonts w:hint="default" w:ascii="Times New Roman" w:hAnsi="Times New Roman" w:eastAsia="宋体" w:cs="Times New Roman"/>
          <w:bCs/>
          <w:color w:val="auto"/>
          <w:highlight w:val="none"/>
        </w:rPr>
        <w:t>的</w:t>
      </w:r>
      <w:r>
        <w:rPr>
          <w:rFonts w:hint="default" w:ascii="Times New Roman" w:hAnsi="Times New Roman" w:eastAsia="宋体" w:cs="Times New Roman"/>
          <w:bCs/>
          <w:color w:val="auto"/>
          <w:highlight w:val="none"/>
          <w:u w:val="none"/>
        </w:rPr>
        <w:t>（</w:t>
      </w:r>
      <w:r>
        <w:rPr>
          <w:rFonts w:hint="eastAsia" w:cs="Times New Roman"/>
          <w:bCs/>
          <w:color w:val="auto"/>
          <w:highlight w:val="none"/>
          <w:u w:val="none"/>
          <w:lang w:val="en-US" w:eastAsia="zh-CN"/>
        </w:rPr>
        <w:t>招标</w:t>
      </w:r>
      <w:r>
        <w:rPr>
          <w:rFonts w:hint="default" w:ascii="Times New Roman" w:hAnsi="Times New Roman" w:eastAsia="宋体" w:cs="Times New Roman"/>
          <w:bCs/>
          <w:color w:val="auto"/>
          <w:highlight w:val="none"/>
          <w:u w:val="none"/>
        </w:rPr>
        <w:t>项目名称）</w:t>
      </w:r>
      <w:r>
        <w:rPr>
          <w:rFonts w:hint="default" w:ascii="Times New Roman" w:hAnsi="Times New Roman" w:eastAsia="宋体" w:cs="Times New Roman"/>
          <w:bCs/>
          <w:color w:val="auto"/>
          <w:highlight w:val="none"/>
        </w:rPr>
        <w:t>采购活动，工程的施工单位全部为符合政策要求的中小企业。相关企业（含联合体中的中小企业、签订分包意向协议的中小企业）的具体情况如下：</w:t>
      </w:r>
    </w:p>
    <w:p w14:paraId="15BD2A6F">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E7B62B9">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69463C2C">
      <w:pPr>
        <w:spacing w:line="360" w:lineRule="auto"/>
        <w:ind w:firstLine="420"/>
        <w:rPr>
          <w:bCs/>
          <w:color w:val="auto"/>
          <w:highlight w:val="none"/>
        </w:rPr>
      </w:pPr>
      <w:r>
        <w:rPr>
          <w:rFonts w:hint="eastAsia"/>
          <w:bCs/>
          <w:color w:val="auto"/>
          <w:highlight w:val="none"/>
        </w:rPr>
        <w:t>……</w:t>
      </w:r>
    </w:p>
    <w:p w14:paraId="04B8EB2C">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20B87CF3">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02BE44C2">
      <w:pPr>
        <w:spacing w:line="360" w:lineRule="auto"/>
        <w:ind w:firstLine="315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盖法人单位电子印章</w:t>
      </w:r>
      <w:r>
        <w:rPr>
          <w:rFonts w:hint="eastAsia"/>
          <w:bCs/>
          <w:color w:val="auto"/>
          <w:highlight w:val="none"/>
        </w:rPr>
        <w:t>）：</w:t>
      </w:r>
    </w:p>
    <w:p w14:paraId="43759104">
      <w:pPr>
        <w:spacing w:line="360" w:lineRule="auto"/>
        <w:ind w:firstLine="3150" w:firstLineChars="1500"/>
        <w:rPr>
          <w:bCs/>
          <w:color w:val="auto"/>
          <w:highlight w:val="none"/>
        </w:rPr>
      </w:pPr>
      <w:r>
        <w:rPr>
          <w:rFonts w:hint="eastAsia"/>
          <w:bCs/>
          <w:color w:val="auto"/>
          <w:highlight w:val="none"/>
        </w:rPr>
        <w:t>日期：</w:t>
      </w:r>
    </w:p>
    <w:p w14:paraId="79F7A0E3">
      <w:pPr>
        <w:spacing w:line="360" w:lineRule="auto"/>
        <w:jc w:val="left"/>
        <w:rPr>
          <w:bCs/>
          <w:color w:val="auto"/>
          <w:highlight w:val="none"/>
        </w:rPr>
      </w:pPr>
    </w:p>
    <w:p w14:paraId="2A257810">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val="en-US" w:eastAsia="zh-CN"/>
        </w:rPr>
        <w:t>标的</w:t>
      </w:r>
      <w:r>
        <w:rPr>
          <w:rFonts w:hint="eastAsia"/>
          <w:bCs/>
          <w:color w:val="auto"/>
          <w:highlight w:val="none"/>
        </w:rPr>
        <w:t>名称”应填写联合体中中小企业承担的具体内容或者中小企业具体分包内容。</w:t>
      </w:r>
    </w:p>
    <w:p w14:paraId="36DCB2F1">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olor w:val="auto"/>
          <w:highlight w:val="none"/>
        </w:rPr>
        <w:t>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13626673">
      <w:pPr>
        <w:spacing w:line="360" w:lineRule="auto"/>
        <w:jc w:val="left"/>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4F9E4383">
      <w:pPr>
        <w:spacing w:line="360" w:lineRule="auto"/>
        <w:jc w:val="center"/>
        <w:rPr>
          <w:color w:val="auto"/>
          <w:highlight w:val="none"/>
        </w:rPr>
      </w:pPr>
      <w:r>
        <w:rPr>
          <w:color w:val="auto"/>
          <w:highlight w:val="none"/>
        </w:rPr>
        <w:br w:type="page"/>
      </w:r>
    </w:p>
    <w:p w14:paraId="039C003F">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14ABCDA3">
      <w:pPr>
        <w:spacing w:line="360" w:lineRule="auto"/>
        <w:rPr>
          <w:rFonts w:hint="eastAsia" w:ascii="仿宋_GB2312" w:eastAsia="仿宋_GB2312"/>
          <w:bCs/>
          <w:color w:val="auto"/>
          <w:spacing w:val="6"/>
          <w:sz w:val="30"/>
          <w:szCs w:val="30"/>
          <w:highlight w:val="none"/>
        </w:rPr>
      </w:pPr>
    </w:p>
    <w:p w14:paraId="2DA5CD55">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highlight w:val="none"/>
        </w:rPr>
        <w:t>〔2017〕 141</w:t>
      </w:r>
      <w:r>
        <w:rPr>
          <w:rFonts w:hint="eastAsia" w:ascii="宋体" w:hAnsi="宋体"/>
          <w:color w:val="auto"/>
          <w:spacing w:val="6"/>
          <w:highlight w:val="none"/>
        </w:rPr>
        <w:t>号）的规定，本单位为符合条件的残疾人福利性单位，且本单位参加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55622E4C">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5AA5560B">
      <w:pPr>
        <w:spacing w:line="360" w:lineRule="auto"/>
        <w:ind w:firstLine="444" w:firstLineChars="200"/>
        <w:rPr>
          <w:rFonts w:hint="eastAsia" w:ascii="宋体" w:hAnsi="宋体"/>
          <w:color w:val="auto"/>
          <w:spacing w:val="6"/>
          <w:highlight w:val="none"/>
        </w:rPr>
      </w:pPr>
    </w:p>
    <w:p w14:paraId="1FBC6FB7">
      <w:pPr>
        <w:spacing w:line="360" w:lineRule="auto"/>
        <w:ind w:firstLine="444" w:firstLineChars="200"/>
        <w:rPr>
          <w:rFonts w:hint="eastAsia" w:ascii="宋体" w:hAnsi="宋体"/>
          <w:color w:val="auto"/>
          <w:spacing w:val="6"/>
          <w:highlight w:val="none"/>
        </w:rPr>
      </w:pPr>
    </w:p>
    <w:p w14:paraId="6C49FC1C">
      <w:pPr>
        <w:tabs>
          <w:tab w:val="left" w:pos="4860"/>
        </w:tabs>
        <w:spacing w:line="360" w:lineRule="auto"/>
        <w:ind w:right="1560" w:firstLine="444" w:firstLineChars="200"/>
        <w:contextualSpacing/>
        <w:jc w:val="center"/>
        <w:rPr>
          <w:rFonts w:hint="default" w:ascii="宋体" w:hAnsi="宋体"/>
          <w:color w:val="auto"/>
          <w:spacing w:val="6"/>
          <w:highlight w:val="none"/>
          <w:u w:val="singl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单位名称：</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u w:val="single"/>
        </w:rPr>
        <w:t>（盖法人单位电子印章）</w:t>
      </w:r>
      <w:r>
        <w:rPr>
          <w:rFonts w:hint="eastAsia" w:ascii="宋体" w:hAnsi="宋体"/>
          <w:color w:val="auto"/>
          <w:spacing w:val="6"/>
          <w:highlight w:val="none"/>
          <w:u w:val="single"/>
          <w:lang w:val="en-US" w:eastAsia="zh-CN"/>
        </w:rPr>
        <w:t xml:space="preserve">   </w:t>
      </w:r>
    </w:p>
    <w:p w14:paraId="27112C49">
      <w:pPr>
        <w:ind w:firstLine="3774" w:firstLineChars="1700"/>
        <w:jc w:val="left"/>
        <w:rPr>
          <w:rFonts w:hint="default" w:ascii="宋体" w:hAnsi="宋体" w:eastAsia="宋体"/>
          <w:color w:val="auto"/>
          <w:spacing w:val="6"/>
          <w:highlight w:val="none"/>
          <w:lang w:val="en-US" w:eastAsia="zh-CN"/>
        </w:rPr>
      </w:pPr>
      <w:r>
        <w:rPr>
          <w:rFonts w:hint="eastAsia" w:ascii="宋体" w:hAnsi="宋体"/>
          <w:color w:val="auto"/>
          <w:spacing w:val="6"/>
          <w:highlight w:val="none"/>
        </w:rPr>
        <w:t>日  期：</w:t>
      </w:r>
      <w:r>
        <w:rPr>
          <w:rFonts w:hint="eastAsia" w:ascii="宋体" w:hAnsi="宋体"/>
          <w:color w:val="auto"/>
          <w:spacing w:val="6"/>
          <w:highlight w:val="none"/>
          <w:u w:val="single"/>
          <w:lang w:val="en-US" w:eastAsia="zh-CN"/>
        </w:rPr>
        <w:t xml:space="preserve">                      </w:t>
      </w:r>
    </w:p>
    <w:p w14:paraId="622A315B">
      <w:pPr>
        <w:ind w:firstLine="504" w:firstLineChars="200"/>
        <w:jc w:val="left"/>
        <w:rPr>
          <w:rFonts w:hint="eastAsia" w:ascii="宋体" w:hAnsi="宋体"/>
          <w:color w:val="auto"/>
          <w:spacing w:val="6"/>
          <w:sz w:val="24"/>
          <w:highlight w:val="none"/>
        </w:rPr>
      </w:pPr>
    </w:p>
    <w:p w14:paraId="454C7BBD">
      <w:pPr>
        <w:ind w:firstLine="420" w:firstLineChars="200"/>
        <w:jc w:val="left"/>
        <w:rPr>
          <w:color w:val="auto"/>
          <w:highlight w:val="none"/>
        </w:rPr>
        <w:sectPr>
          <w:pgSz w:w="11907" w:h="16840"/>
          <w:pgMar w:top="1440" w:right="1440" w:bottom="1440" w:left="1797" w:header="851" w:footer="851" w:gutter="0"/>
          <w:cols w:space="720" w:num="1"/>
          <w:docGrid w:linePitch="312" w:charSpace="0"/>
        </w:sectPr>
      </w:pPr>
    </w:p>
    <w:p w14:paraId="2B45F61D">
      <w:pPr>
        <w:jc w:val="center"/>
        <w:rPr>
          <w:color w:val="auto"/>
          <w:sz w:val="32"/>
          <w:szCs w:val="32"/>
          <w:highlight w:val="none"/>
        </w:rPr>
      </w:pPr>
    </w:p>
    <w:p w14:paraId="13152214">
      <w:pPr>
        <w:jc w:val="center"/>
        <w:rPr>
          <w:color w:val="auto"/>
          <w:sz w:val="32"/>
          <w:szCs w:val="32"/>
          <w:highlight w:val="none"/>
        </w:rPr>
      </w:pPr>
    </w:p>
    <w:p w14:paraId="0BF8EDB1">
      <w:pPr>
        <w:jc w:val="center"/>
        <w:rPr>
          <w:color w:val="auto"/>
          <w:sz w:val="32"/>
          <w:szCs w:val="32"/>
          <w:highlight w:val="none"/>
        </w:rPr>
      </w:pPr>
    </w:p>
    <w:p w14:paraId="2AF13FB5">
      <w:pPr>
        <w:jc w:val="center"/>
        <w:rPr>
          <w:color w:val="auto"/>
          <w:sz w:val="32"/>
          <w:szCs w:val="32"/>
          <w:highlight w:val="none"/>
        </w:rPr>
      </w:pPr>
    </w:p>
    <w:p w14:paraId="0BF5455E">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val="en-US" w:eastAsia="zh-CN"/>
        </w:rPr>
        <w:t>招标</w:t>
      </w:r>
      <w:r>
        <w:rPr>
          <w:rFonts w:hint="eastAsia" w:cs="宋体"/>
          <w:color w:val="auto"/>
          <w:sz w:val="28"/>
          <w:szCs w:val="28"/>
          <w:highlight w:val="none"/>
        </w:rPr>
        <w:t>项目名称）施工招标</w:t>
      </w:r>
    </w:p>
    <w:p w14:paraId="42E349D1">
      <w:pPr>
        <w:jc w:val="center"/>
        <w:rPr>
          <w:color w:val="auto"/>
          <w:sz w:val="28"/>
          <w:szCs w:val="28"/>
          <w:highlight w:val="none"/>
        </w:rPr>
      </w:pPr>
    </w:p>
    <w:p w14:paraId="78F523B5">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03703B5C">
      <w:pPr>
        <w:jc w:val="center"/>
        <w:rPr>
          <w:color w:val="auto"/>
          <w:sz w:val="32"/>
          <w:szCs w:val="32"/>
          <w:highlight w:val="none"/>
        </w:rPr>
      </w:pPr>
    </w:p>
    <w:p w14:paraId="2C437226">
      <w:pPr>
        <w:jc w:val="center"/>
        <w:rPr>
          <w:color w:val="auto"/>
          <w:sz w:val="32"/>
          <w:szCs w:val="32"/>
          <w:highlight w:val="none"/>
        </w:rPr>
      </w:pPr>
    </w:p>
    <w:p w14:paraId="55CE25B9">
      <w:pPr>
        <w:jc w:val="center"/>
        <w:rPr>
          <w:color w:val="auto"/>
          <w:sz w:val="32"/>
          <w:szCs w:val="32"/>
          <w:highlight w:val="none"/>
        </w:rPr>
      </w:pPr>
    </w:p>
    <w:p w14:paraId="61410FE1">
      <w:pPr>
        <w:jc w:val="center"/>
        <w:rPr>
          <w:color w:val="auto"/>
          <w:sz w:val="32"/>
          <w:szCs w:val="32"/>
          <w:highlight w:val="none"/>
        </w:rPr>
      </w:pPr>
    </w:p>
    <w:p w14:paraId="408EBA5E">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6E7FFEB">
      <w:pPr>
        <w:jc w:val="center"/>
        <w:rPr>
          <w:color w:val="auto"/>
          <w:sz w:val="32"/>
          <w:szCs w:val="32"/>
          <w:highlight w:val="none"/>
        </w:rPr>
      </w:pPr>
    </w:p>
    <w:p w14:paraId="7CB6ABC3">
      <w:pPr>
        <w:jc w:val="center"/>
        <w:rPr>
          <w:color w:val="auto"/>
          <w:sz w:val="32"/>
          <w:szCs w:val="32"/>
          <w:highlight w:val="none"/>
        </w:rPr>
      </w:pPr>
    </w:p>
    <w:p w14:paraId="7D45A3D3">
      <w:pPr>
        <w:jc w:val="center"/>
        <w:rPr>
          <w:color w:val="auto"/>
          <w:sz w:val="32"/>
          <w:szCs w:val="32"/>
          <w:highlight w:val="none"/>
        </w:rPr>
      </w:pPr>
    </w:p>
    <w:p w14:paraId="1ED1C885">
      <w:pPr>
        <w:jc w:val="center"/>
        <w:rPr>
          <w:color w:val="auto"/>
          <w:sz w:val="32"/>
          <w:szCs w:val="32"/>
          <w:highlight w:val="none"/>
        </w:rPr>
      </w:pPr>
    </w:p>
    <w:p w14:paraId="20ECE31F">
      <w:pPr>
        <w:jc w:val="center"/>
        <w:rPr>
          <w:color w:val="auto"/>
          <w:sz w:val="32"/>
          <w:szCs w:val="32"/>
          <w:highlight w:val="none"/>
        </w:rPr>
      </w:pPr>
    </w:p>
    <w:p w14:paraId="7D79DCD8">
      <w:pPr>
        <w:jc w:val="center"/>
        <w:rPr>
          <w:color w:val="auto"/>
          <w:sz w:val="32"/>
          <w:szCs w:val="32"/>
          <w:highlight w:val="none"/>
        </w:rPr>
      </w:pPr>
    </w:p>
    <w:p w14:paraId="3A719829">
      <w:pPr>
        <w:jc w:val="center"/>
        <w:rPr>
          <w:color w:val="auto"/>
          <w:sz w:val="32"/>
          <w:szCs w:val="32"/>
          <w:highlight w:val="none"/>
        </w:rPr>
      </w:pPr>
    </w:p>
    <w:p w14:paraId="03B7E0A7">
      <w:pPr>
        <w:jc w:val="center"/>
        <w:rPr>
          <w:color w:val="auto"/>
          <w:sz w:val="32"/>
          <w:szCs w:val="32"/>
          <w:highlight w:val="none"/>
        </w:rPr>
      </w:pPr>
    </w:p>
    <w:p w14:paraId="07F79C7D">
      <w:pPr>
        <w:jc w:val="center"/>
        <w:rPr>
          <w:color w:val="auto"/>
          <w:sz w:val="32"/>
          <w:szCs w:val="32"/>
          <w:highlight w:val="none"/>
        </w:rPr>
      </w:pPr>
    </w:p>
    <w:p w14:paraId="46CA5579">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技术标部分</w:t>
      </w:r>
      <w:r>
        <w:rPr>
          <w:color w:val="auto"/>
          <w:sz w:val="28"/>
          <w:szCs w:val="28"/>
          <w:highlight w:val="none"/>
          <w:u w:val="single"/>
        </w:rPr>
        <w:t xml:space="preserve">           </w:t>
      </w:r>
    </w:p>
    <w:p w14:paraId="64A73336">
      <w:pPr>
        <w:spacing w:line="360" w:lineRule="auto"/>
        <w:ind w:firstLine="980" w:firstLineChars="35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eastAsia="zh-CN"/>
        </w:rPr>
        <w:t>盖法人单位电子印章</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val="en-US" w:eastAsia="zh-CN"/>
        </w:rPr>
        <w:t xml:space="preserve"> </w:t>
      </w:r>
    </w:p>
    <w:p w14:paraId="266BD8D4">
      <w:pPr>
        <w:jc w:val="center"/>
        <w:rPr>
          <w:color w:val="auto"/>
          <w:sz w:val="28"/>
          <w:szCs w:val="28"/>
          <w:highlight w:val="none"/>
        </w:rPr>
      </w:pPr>
    </w:p>
    <w:p w14:paraId="54E5628F">
      <w:pPr>
        <w:jc w:val="center"/>
        <w:rPr>
          <w:color w:val="auto"/>
          <w:sz w:val="28"/>
          <w:szCs w:val="28"/>
          <w:highlight w:val="none"/>
        </w:rPr>
      </w:pPr>
    </w:p>
    <w:p w14:paraId="76A8E30F">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1B61CED2">
      <w:pPr>
        <w:spacing w:line="360" w:lineRule="exact"/>
        <w:ind w:firstLine="560" w:firstLineChars="200"/>
        <w:jc w:val="center"/>
        <w:rPr>
          <w:b/>
          <w:bCs/>
          <w:color w:val="auto"/>
          <w:sz w:val="28"/>
          <w:szCs w:val="28"/>
          <w:highlight w:val="none"/>
        </w:rPr>
      </w:pPr>
      <w:r>
        <w:rPr>
          <w:color w:val="auto"/>
          <w:sz w:val="28"/>
          <w:szCs w:val="28"/>
          <w:highlight w:val="none"/>
        </w:rPr>
        <w:br w:type="page"/>
      </w:r>
      <w:bookmarkStart w:id="2292" w:name="_Toc153274944"/>
      <w:bookmarkStart w:id="2293" w:name="_Toc173579002"/>
      <w:bookmarkStart w:id="2294" w:name="_Toc251052160"/>
      <w:bookmarkStart w:id="2295" w:name="_Toc172364022"/>
      <w:r>
        <w:rPr>
          <w:rFonts w:hint="eastAsia" w:cs="宋体"/>
          <w:b/>
          <w:bCs/>
          <w:color w:val="auto"/>
          <w:sz w:val="28"/>
          <w:szCs w:val="28"/>
          <w:highlight w:val="none"/>
        </w:rPr>
        <w:t>目</w:t>
      </w:r>
      <w:r>
        <w:rPr>
          <w:b/>
          <w:bCs/>
          <w:color w:val="auto"/>
          <w:sz w:val="28"/>
          <w:szCs w:val="28"/>
          <w:highlight w:val="none"/>
        </w:rPr>
        <w:t xml:space="preserve">   </w:t>
      </w:r>
      <w:r>
        <w:rPr>
          <w:rFonts w:hint="eastAsia" w:cs="宋体"/>
          <w:b/>
          <w:bCs/>
          <w:color w:val="auto"/>
          <w:sz w:val="28"/>
          <w:szCs w:val="28"/>
          <w:highlight w:val="none"/>
        </w:rPr>
        <w:t>录</w:t>
      </w:r>
    </w:p>
    <w:p w14:paraId="0CBB490F">
      <w:pPr>
        <w:spacing w:line="360" w:lineRule="exact"/>
        <w:ind w:firstLine="640" w:firstLineChars="200"/>
        <w:rPr>
          <w:color w:val="auto"/>
          <w:sz w:val="32"/>
          <w:szCs w:val="32"/>
          <w:highlight w:val="none"/>
        </w:rPr>
      </w:pPr>
    </w:p>
    <w:p w14:paraId="1D428CD9">
      <w:pPr>
        <w:pStyle w:val="135"/>
        <w:spacing w:line="460" w:lineRule="exact"/>
        <w:rPr>
          <w:color w:val="auto"/>
          <w:highlight w:val="none"/>
        </w:rPr>
      </w:pPr>
      <w:r>
        <w:rPr>
          <w:rFonts w:hint="eastAsia"/>
          <w:color w:val="auto"/>
          <w:highlight w:val="none"/>
        </w:rPr>
        <w:t>一</w:t>
      </w:r>
      <w:r>
        <w:rPr>
          <w:rFonts w:hint="eastAsia" w:cs="宋体"/>
          <w:color w:val="auto"/>
          <w:highlight w:val="none"/>
        </w:rPr>
        <w:t>、施工组织设计；</w:t>
      </w:r>
    </w:p>
    <w:p w14:paraId="7D25C62D">
      <w:pPr>
        <w:pStyle w:val="140"/>
        <w:spacing w:line="460" w:lineRule="exact"/>
        <w:rPr>
          <w:color w:val="auto"/>
          <w:highlight w:val="none"/>
        </w:rPr>
      </w:pPr>
      <w:r>
        <w:rPr>
          <w:rFonts w:hint="eastAsia"/>
          <w:color w:val="auto"/>
          <w:highlight w:val="none"/>
        </w:rPr>
        <w:t>二</w:t>
      </w:r>
      <w:r>
        <w:rPr>
          <w:rFonts w:hint="eastAsia" w:cs="宋体"/>
          <w:color w:val="auto"/>
          <w:highlight w:val="none"/>
        </w:rPr>
        <w:t>、拟分包计划表；</w:t>
      </w:r>
    </w:p>
    <w:p w14:paraId="6624C8B8">
      <w:pPr>
        <w:pStyle w:val="140"/>
        <w:spacing w:line="460" w:lineRule="exact"/>
        <w:rPr>
          <w:color w:val="auto"/>
          <w:highlight w:val="none"/>
        </w:rPr>
      </w:pPr>
      <w:r>
        <w:rPr>
          <w:rFonts w:hint="eastAsia"/>
          <w:color w:val="auto"/>
          <w:highlight w:val="none"/>
        </w:rPr>
        <w:t>三</w:t>
      </w:r>
      <w:r>
        <w:rPr>
          <w:rFonts w:hint="eastAsia" w:cs="宋体"/>
          <w:color w:val="auto"/>
          <w:highlight w:val="none"/>
        </w:rPr>
        <w:t>、项目管理机构。</w:t>
      </w:r>
    </w:p>
    <w:p w14:paraId="735CBF41">
      <w:pPr>
        <w:pStyle w:val="135"/>
        <w:rPr>
          <w:b/>
          <w:bCs/>
          <w:color w:val="auto"/>
          <w:highlight w:val="none"/>
        </w:rPr>
      </w:pPr>
    </w:p>
    <w:p w14:paraId="102B0701">
      <w:pPr>
        <w:pStyle w:val="135"/>
        <w:rPr>
          <w:b/>
          <w:bCs/>
          <w:color w:val="auto"/>
          <w:highlight w:val="none"/>
        </w:rPr>
      </w:pPr>
    </w:p>
    <w:p w14:paraId="7281D7B7">
      <w:pPr>
        <w:spacing w:line="360" w:lineRule="exact"/>
        <w:ind w:firstLine="560" w:firstLineChars="200"/>
        <w:rPr>
          <w:color w:val="auto"/>
          <w:sz w:val="28"/>
          <w:szCs w:val="28"/>
          <w:highlight w:val="none"/>
        </w:rPr>
      </w:pPr>
    </w:p>
    <w:p w14:paraId="3CDADF08">
      <w:pPr>
        <w:spacing w:line="360" w:lineRule="exact"/>
        <w:ind w:firstLine="560" w:firstLineChars="200"/>
        <w:rPr>
          <w:color w:val="auto"/>
          <w:sz w:val="28"/>
          <w:szCs w:val="28"/>
          <w:highlight w:val="none"/>
        </w:rPr>
      </w:pPr>
    </w:p>
    <w:p w14:paraId="0D59A029">
      <w:pPr>
        <w:spacing w:line="360" w:lineRule="exact"/>
        <w:ind w:firstLine="560" w:firstLineChars="200"/>
        <w:rPr>
          <w:color w:val="auto"/>
          <w:sz w:val="28"/>
          <w:szCs w:val="28"/>
          <w:highlight w:val="none"/>
        </w:rPr>
      </w:pPr>
    </w:p>
    <w:p w14:paraId="6D137595">
      <w:pPr>
        <w:spacing w:line="360" w:lineRule="exact"/>
        <w:ind w:firstLine="560" w:firstLineChars="200"/>
        <w:rPr>
          <w:color w:val="auto"/>
          <w:sz w:val="28"/>
          <w:szCs w:val="28"/>
          <w:highlight w:val="none"/>
        </w:rPr>
      </w:pPr>
    </w:p>
    <w:p w14:paraId="61BE3994">
      <w:pPr>
        <w:spacing w:line="360" w:lineRule="exact"/>
        <w:ind w:firstLine="560" w:firstLineChars="200"/>
        <w:rPr>
          <w:color w:val="auto"/>
          <w:sz w:val="28"/>
          <w:szCs w:val="28"/>
          <w:highlight w:val="none"/>
        </w:rPr>
      </w:pPr>
    </w:p>
    <w:p w14:paraId="7ADEDA77">
      <w:pPr>
        <w:spacing w:line="360" w:lineRule="exact"/>
        <w:ind w:firstLine="560" w:firstLineChars="200"/>
        <w:rPr>
          <w:color w:val="auto"/>
          <w:sz w:val="28"/>
          <w:szCs w:val="28"/>
          <w:highlight w:val="none"/>
        </w:rPr>
      </w:pPr>
    </w:p>
    <w:p w14:paraId="25F7E435">
      <w:pPr>
        <w:spacing w:line="360" w:lineRule="exact"/>
        <w:ind w:firstLine="560" w:firstLineChars="200"/>
        <w:rPr>
          <w:color w:val="auto"/>
          <w:sz w:val="28"/>
          <w:szCs w:val="28"/>
          <w:highlight w:val="none"/>
        </w:rPr>
      </w:pPr>
    </w:p>
    <w:p w14:paraId="569A0488">
      <w:pPr>
        <w:spacing w:line="360" w:lineRule="exact"/>
        <w:ind w:firstLine="560" w:firstLineChars="200"/>
        <w:rPr>
          <w:color w:val="auto"/>
          <w:sz w:val="28"/>
          <w:szCs w:val="28"/>
          <w:highlight w:val="none"/>
        </w:rPr>
      </w:pPr>
    </w:p>
    <w:p w14:paraId="3A7AB2FB">
      <w:pPr>
        <w:spacing w:line="360" w:lineRule="exact"/>
        <w:ind w:firstLine="560" w:firstLineChars="200"/>
        <w:rPr>
          <w:color w:val="auto"/>
          <w:sz w:val="28"/>
          <w:szCs w:val="28"/>
          <w:highlight w:val="none"/>
        </w:rPr>
      </w:pPr>
    </w:p>
    <w:p w14:paraId="691441EA">
      <w:pPr>
        <w:spacing w:line="360" w:lineRule="exact"/>
        <w:ind w:firstLine="560" w:firstLineChars="200"/>
        <w:rPr>
          <w:color w:val="auto"/>
          <w:sz w:val="28"/>
          <w:szCs w:val="28"/>
          <w:highlight w:val="none"/>
        </w:rPr>
      </w:pPr>
    </w:p>
    <w:p w14:paraId="58B30F36">
      <w:pPr>
        <w:spacing w:line="360" w:lineRule="exact"/>
        <w:ind w:firstLine="560" w:firstLineChars="200"/>
        <w:rPr>
          <w:color w:val="auto"/>
          <w:sz w:val="28"/>
          <w:szCs w:val="28"/>
          <w:highlight w:val="none"/>
        </w:rPr>
      </w:pPr>
    </w:p>
    <w:p w14:paraId="693B9AE2">
      <w:pPr>
        <w:spacing w:line="360" w:lineRule="exact"/>
        <w:ind w:firstLine="560" w:firstLineChars="200"/>
        <w:rPr>
          <w:color w:val="auto"/>
          <w:sz w:val="28"/>
          <w:szCs w:val="28"/>
          <w:highlight w:val="none"/>
        </w:rPr>
      </w:pPr>
    </w:p>
    <w:p w14:paraId="67231815">
      <w:pPr>
        <w:spacing w:line="360" w:lineRule="exact"/>
        <w:ind w:firstLine="560" w:firstLineChars="200"/>
        <w:rPr>
          <w:color w:val="auto"/>
          <w:sz w:val="28"/>
          <w:szCs w:val="28"/>
          <w:highlight w:val="none"/>
        </w:rPr>
      </w:pPr>
    </w:p>
    <w:p w14:paraId="53037939">
      <w:pPr>
        <w:spacing w:line="360" w:lineRule="exact"/>
        <w:ind w:firstLine="560" w:firstLineChars="200"/>
        <w:rPr>
          <w:color w:val="auto"/>
          <w:sz w:val="28"/>
          <w:szCs w:val="28"/>
          <w:highlight w:val="none"/>
        </w:rPr>
      </w:pPr>
    </w:p>
    <w:p w14:paraId="69BC7F5C">
      <w:pPr>
        <w:spacing w:line="360" w:lineRule="exact"/>
        <w:ind w:firstLine="560" w:firstLineChars="200"/>
        <w:rPr>
          <w:color w:val="auto"/>
          <w:sz w:val="28"/>
          <w:szCs w:val="28"/>
          <w:highlight w:val="none"/>
        </w:rPr>
      </w:pPr>
    </w:p>
    <w:p w14:paraId="6F872467">
      <w:pPr>
        <w:spacing w:line="360" w:lineRule="exact"/>
        <w:ind w:firstLine="560" w:firstLineChars="200"/>
        <w:rPr>
          <w:color w:val="auto"/>
          <w:sz w:val="28"/>
          <w:szCs w:val="28"/>
          <w:highlight w:val="none"/>
        </w:rPr>
      </w:pPr>
    </w:p>
    <w:p w14:paraId="5338DB73">
      <w:pPr>
        <w:spacing w:line="360" w:lineRule="exact"/>
        <w:ind w:firstLine="560" w:firstLineChars="200"/>
        <w:rPr>
          <w:color w:val="auto"/>
          <w:sz w:val="28"/>
          <w:szCs w:val="28"/>
          <w:highlight w:val="none"/>
        </w:rPr>
      </w:pPr>
    </w:p>
    <w:p w14:paraId="52FB45BA">
      <w:pPr>
        <w:spacing w:line="360" w:lineRule="exact"/>
        <w:ind w:firstLine="560" w:firstLineChars="200"/>
        <w:rPr>
          <w:color w:val="auto"/>
          <w:sz w:val="28"/>
          <w:szCs w:val="28"/>
          <w:highlight w:val="none"/>
        </w:rPr>
      </w:pPr>
    </w:p>
    <w:p w14:paraId="51F49C40">
      <w:pPr>
        <w:spacing w:line="360" w:lineRule="exact"/>
        <w:ind w:firstLine="560" w:firstLineChars="200"/>
        <w:rPr>
          <w:color w:val="auto"/>
          <w:sz w:val="28"/>
          <w:szCs w:val="28"/>
          <w:highlight w:val="none"/>
        </w:rPr>
      </w:pPr>
    </w:p>
    <w:p w14:paraId="138F8938">
      <w:pPr>
        <w:spacing w:line="360" w:lineRule="exact"/>
        <w:ind w:firstLine="560" w:firstLineChars="200"/>
        <w:rPr>
          <w:color w:val="auto"/>
          <w:sz w:val="28"/>
          <w:szCs w:val="28"/>
          <w:highlight w:val="none"/>
        </w:rPr>
      </w:pPr>
    </w:p>
    <w:p w14:paraId="5D091A62">
      <w:pPr>
        <w:spacing w:line="360" w:lineRule="exact"/>
        <w:ind w:firstLine="560" w:firstLineChars="200"/>
        <w:rPr>
          <w:color w:val="auto"/>
          <w:sz w:val="28"/>
          <w:szCs w:val="28"/>
          <w:highlight w:val="none"/>
        </w:rPr>
      </w:pPr>
    </w:p>
    <w:p w14:paraId="415F354B">
      <w:pPr>
        <w:spacing w:line="360" w:lineRule="exact"/>
        <w:ind w:firstLine="560" w:firstLineChars="200"/>
        <w:rPr>
          <w:color w:val="auto"/>
          <w:sz w:val="28"/>
          <w:szCs w:val="28"/>
          <w:highlight w:val="none"/>
        </w:rPr>
      </w:pPr>
    </w:p>
    <w:p w14:paraId="7CACC7D1">
      <w:pPr>
        <w:spacing w:line="360" w:lineRule="exact"/>
        <w:ind w:firstLine="560" w:firstLineChars="200"/>
        <w:rPr>
          <w:color w:val="auto"/>
          <w:sz w:val="28"/>
          <w:szCs w:val="28"/>
          <w:highlight w:val="none"/>
        </w:rPr>
      </w:pPr>
    </w:p>
    <w:p w14:paraId="512214C8">
      <w:pPr>
        <w:spacing w:line="360" w:lineRule="exact"/>
        <w:ind w:firstLine="560" w:firstLineChars="200"/>
        <w:rPr>
          <w:color w:val="auto"/>
          <w:sz w:val="28"/>
          <w:szCs w:val="28"/>
          <w:highlight w:val="none"/>
        </w:rPr>
      </w:pPr>
    </w:p>
    <w:p w14:paraId="35FC350E">
      <w:pPr>
        <w:spacing w:line="360" w:lineRule="exact"/>
        <w:ind w:firstLine="560" w:firstLineChars="200"/>
        <w:rPr>
          <w:rFonts w:hint="eastAsia"/>
          <w:color w:val="auto"/>
          <w:sz w:val="28"/>
          <w:szCs w:val="28"/>
          <w:highlight w:val="none"/>
        </w:rPr>
      </w:pPr>
    </w:p>
    <w:p w14:paraId="169A5C38">
      <w:pPr>
        <w:spacing w:line="360" w:lineRule="exact"/>
        <w:ind w:firstLine="560" w:firstLineChars="200"/>
        <w:rPr>
          <w:rFonts w:hint="eastAsia"/>
          <w:color w:val="auto"/>
          <w:sz w:val="28"/>
          <w:szCs w:val="28"/>
          <w:highlight w:val="none"/>
        </w:rPr>
      </w:pPr>
    </w:p>
    <w:p w14:paraId="03C15AF6">
      <w:pPr>
        <w:spacing w:line="360" w:lineRule="exact"/>
        <w:ind w:firstLine="560" w:firstLineChars="200"/>
        <w:rPr>
          <w:rFonts w:hint="eastAsia"/>
          <w:color w:val="auto"/>
          <w:sz w:val="28"/>
          <w:szCs w:val="28"/>
          <w:highlight w:val="none"/>
        </w:rPr>
      </w:pPr>
    </w:p>
    <w:p w14:paraId="0FA1EFD0">
      <w:pPr>
        <w:spacing w:line="360" w:lineRule="exact"/>
        <w:ind w:firstLine="560" w:firstLineChars="200"/>
        <w:rPr>
          <w:rFonts w:hint="eastAsia"/>
          <w:color w:val="auto"/>
          <w:sz w:val="28"/>
          <w:szCs w:val="28"/>
          <w:highlight w:val="none"/>
        </w:rPr>
      </w:pPr>
    </w:p>
    <w:p w14:paraId="14C2C318">
      <w:pPr>
        <w:spacing w:line="360" w:lineRule="exact"/>
        <w:ind w:firstLine="560" w:firstLineChars="200"/>
        <w:rPr>
          <w:color w:val="auto"/>
          <w:sz w:val="28"/>
          <w:szCs w:val="28"/>
          <w:highlight w:val="none"/>
        </w:rPr>
      </w:pPr>
    </w:p>
    <w:p w14:paraId="1BC73EAB">
      <w:pPr>
        <w:spacing w:line="360" w:lineRule="exact"/>
        <w:ind w:firstLine="560" w:firstLineChars="200"/>
        <w:rPr>
          <w:rFonts w:hint="eastAsia"/>
          <w:color w:val="auto"/>
          <w:sz w:val="28"/>
          <w:szCs w:val="28"/>
          <w:highlight w:val="none"/>
        </w:rPr>
      </w:pPr>
    </w:p>
    <w:p w14:paraId="42CF870E">
      <w:pPr>
        <w:rPr>
          <w:rFonts w:hint="eastAsia" w:ascii="宋体" w:hAnsi="宋体"/>
          <w:color w:val="auto"/>
          <w:highlight w:val="none"/>
        </w:rPr>
      </w:pPr>
    </w:p>
    <w:p w14:paraId="2E08717E">
      <w:pPr>
        <w:pStyle w:val="135"/>
        <w:jc w:val="center"/>
        <w:outlineLvl w:val="0"/>
        <w:rPr>
          <w:b/>
          <w:bCs/>
          <w:color w:val="auto"/>
          <w:sz w:val="24"/>
          <w:szCs w:val="24"/>
          <w:highlight w:val="none"/>
        </w:rPr>
      </w:pPr>
      <w:bookmarkStart w:id="2296" w:name="_Toc389065360"/>
      <w:r>
        <w:rPr>
          <w:rFonts w:hint="eastAsia" w:cs="宋体"/>
          <w:b/>
          <w:bCs/>
          <w:color w:val="auto"/>
          <w:sz w:val="24"/>
          <w:szCs w:val="24"/>
          <w:highlight w:val="none"/>
        </w:rPr>
        <w:t>一、施工组织设计</w:t>
      </w:r>
      <w:bookmarkEnd w:id="2296"/>
    </w:p>
    <w:p w14:paraId="3E53F320">
      <w:pPr>
        <w:rPr>
          <w:color w:val="auto"/>
          <w:highlight w:val="none"/>
        </w:rPr>
      </w:pPr>
    </w:p>
    <w:p w14:paraId="33DCE4E2">
      <w:pPr>
        <w:spacing w:line="360" w:lineRule="auto"/>
        <w:ind w:firstLine="420" w:firstLineChars="200"/>
        <w:rPr>
          <w:rFonts w:hint="eastAsia" w:ascii="宋体" w:hAnsi="宋体"/>
          <w:color w:val="auto"/>
          <w:highlight w:val="none"/>
        </w:rPr>
      </w:pPr>
      <w:r>
        <w:rPr>
          <w:rFonts w:hint="eastAsia"/>
          <w:color w:val="auto"/>
          <w:highlight w:val="none"/>
        </w:rPr>
        <w:t>一、</w:t>
      </w:r>
      <w:r>
        <w:rPr>
          <w:rFonts w:hint="eastAsia" w:ascii="宋体" w:hAnsi="宋体"/>
          <w:color w:val="auto"/>
          <w:highlight w:val="none"/>
        </w:rPr>
        <w:t>技术标的</w:t>
      </w:r>
      <w:r>
        <w:rPr>
          <w:color w:val="auto"/>
          <w:highlight w:val="none"/>
        </w:rPr>
        <w:t>施工组织</w:t>
      </w:r>
      <w:r>
        <w:rPr>
          <w:rFonts w:hint="eastAsia"/>
          <w:color w:val="auto"/>
          <w:highlight w:val="none"/>
        </w:rPr>
        <w:t>设计</w:t>
      </w:r>
      <w:r>
        <w:rPr>
          <w:rFonts w:hint="eastAsia" w:ascii="宋体" w:hAnsi="宋体"/>
          <w:color w:val="auto"/>
          <w:highlight w:val="none"/>
        </w:rPr>
        <w:t>编制要求：</w:t>
      </w:r>
    </w:p>
    <w:p w14:paraId="3BFE6976">
      <w:pPr>
        <w:spacing w:line="360" w:lineRule="auto"/>
        <w:ind w:firstLine="567" w:firstLineChars="270"/>
        <w:rPr>
          <w:rFonts w:hint="eastAsia"/>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按投标人须知3.1.</w:t>
      </w:r>
      <w:r>
        <w:rPr>
          <w:color w:val="auto"/>
          <w:highlight w:val="none"/>
        </w:rPr>
        <w:t>1</w:t>
      </w:r>
      <w:r>
        <w:rPr>
          <w:rFonts w:hint="eastAsia"/>
          <w:color w:val="auto"/>
          <w:highlight w:val="none"/>
        </w:rPr>
        <w:t>.3</w:t>
      </w:r>
      <w:r>
        <w:rPr>
          <w:color w:val="auto"/>
          <w:highlight w:val="none"/>
        </w:rPr>
        <w:t>施工组织</w:t>
      </w:r>
      <w:r>
        <w:rPr>
          <w:rFonts w:hint="eastAsia"/>
          <w:color w:val="auto"/>
          <w:highlight w:val="none"/>
        </w:rPr>
        <w:t>设计要求的内容顺序编制，可</w:t>
      </w:r>
      <w:r>
        <w:rPr>
          <w:rFonts w:hint="eastAsia" w:ascii="宋体" w:hAnsi="宋体"/>
          <w:color w:val="auto"/>
          <w:highlight w:val="none"/>
        </w:rPr>
        <w:t>采用文字并结合图表形式说明施工方法</w:t>
      </w:r>
      <w:r>
        <w:rPr>
          <w:rFonts w:hint="eastAsia"/>
          <w:color w:val="auto"/>
          <w:highlight w:val="none"/>
        </w:rPr>
        <w:t>。</w:t>
      </w:r>
    </w:p>
    <w:p w14:paraId="4CF595FF">
      <w:pPr>
        <w:spacing w:line="360" w:lineRule="auto"/>
        <w:ind w:firstLine="567" w:firstLineChars="270"/>
        <w:rPr>
          <w:rFonts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除采用文字表述外可附下列图表，图表及格式要求附后。</w:t>
      </w:r>
    </w:p>
    <w:p w14:paraId="74104A2C">
      <w:pPr>
        <w:spacing w:line="460" w:lineRule="exact"/>
        <w:ind w:firstLine="420" w:firstLineChars="200"/>
        <w:rPr>
          <w:color w:val="auto"/>
          <w:highlight w:val="none"/>
        </w:rPr>
      </w:pPr>
      <w:r>
        <w:rPr>
          <w:rFonts w:hint="eastAsia" w:cs="宋体"/>
          <w:color w:val="auto"/>
          <w:highlight w:val="none"/>
        </w:rPr>
        <w:t>附表一</w:t>
      </w:r>
      <w:r>
        <w:rPr>
          <w:rFonts w:hint="eastAsia"/>
          <w:color w:val="auto"/>
          <w:highlight w:val="none"/>
          <w:lang w:eastAsia="zh-CN"/>
        </w:rPr>
        <w:t>：</w:t>
      </w:r>
      <w:r>
        <w:rPr>
          <w:rFonts w:hint="eastAsia" w:cs="宋体"/>
          <w:color w:val="auto"/>
          <w:highlight w:val="none"/>
        </w:rPr>
        <w:t>劳动力计划表</w:t>
      </w:r>
    </w:p>
    <w:p w14:paraId="1F57CAC4">
      <w:pPr>
        <w:spacing w:line="460" w:lineRule="exact"/>
        <w:ind w:firstLine="420" w:firstLineChars="200"/>
        <w:rPr>
          <w:color w:val="auto"/>
          <w:highlight w:val="none"/>
        </w:rPr>
      </w:pPr>
      <w:r>
        <w:rPr>
          <w:rFonts w:hint="eastAsia" w:cs="宋体"/>
          <w:color w:val="auto"/>
          <w:highlight w:val="none"/>
        </w:rPr>
        <w:t>附表二</w:t>
      </w:r>
      <w:r>
        <w:rPr>
          <w:rFonts w:hint="eastAsia"/>
          <w:color w:val="auto"/>
          <w:highlight w:val="none"/>
          <w:lang w:eastAsia="zh-CN"/>
        </w:rPr>
        <w:t>：</w:t>
      </w:r>
      <w:r>
        <w:rPr>
          <w:rFonts w:hint="eastAsia" w:cs="宋体"/>
          <w:color w:val="auto"/>
          <w:highlight w:val="none"/>
        </w:rPr>
        <w:t>计划开、竣工日期和施工进度计划（网络图或横道图）</w:t>
      </w:r>
    </w:p>
    <w:p w14:paraId="1D7AE4C9">
      <w:pPr>
        <w:spacing w:line="460" w:lineRule="exact"/>
        <w:ind w:firstLine="420" w:firstLineChars="200"/>
        <w:rPr>
          <w:color w:val="auto"/>
          <w:highlight w:val="none"/>
        </w:rPr>
      </w:pPr>
      <w:r>
        <w:rPr>
          <w:rFonts w:hint="eastAsia" w:cs="宋体"/>
          <w:color w:val="auto"/>
          <w:highlight w:val="none"/>
        </w:rPr>
        <w:t>附表三</w:t>
      </w:r>
      <w:r>
        <w:rPr>
          <w:rFonts w:hint="eastAsia"/>
          <w:color w:val="auto"/>
          <w:highlight w:val="none"/>
          <w:lang w:eastAsia="zh-CN"/>
        </w:rPr>
        <w:t>：</w:t>
      </w:r>
      <w:r>
        <w:rPr>
          <w:rFonts w:hint="eastAsia" w:cs="宋体"/>
          <w:color w:val="auto"/>
          <w:highlight w:val="none"/>
        </w:rPr>
        <w:t>施工总平面图</w:t>
      </w:r>
    </w:p>
    <w:p w14:paraId="69C42F54">
      <w:pPr>
        <w:spacing w:line="460" w:lineRule="exact"/>
        <w:ind w:firstLine="420" w:firstLineChars="200"/>
        <w:rPr>
          <w:color w:val="auto"/>
          <w:highlight w:val="none"/>
        </w:rPr>
      </w:pPr>
      <w:r>
        <w:rPr>
          <w:rFonts w:hint="eastAsia" w:cs="宋体"/>
          <w:color w:val="auto"/>
          <w:highlight w:val="none"/>
        </w:rPr>
        <w:t>附表四</w:t>
      </w:r>
      <w:r>
        <w:rPr>
          <w:rFonts w:hint="eastAsia"/>
          <w:color w:val="auto"/>
          <w:highlight w:val="none"/>
          <w:lang w:eastAsia="zh-CN"/>
        </w:rPr>
        <w:t>：</w:t>
      </w:r>
      <w:r>
        <w:rPr>
          <w:rFonts w:hint="eastAsia" w:cs="宋体"/>
          <w:color w:val="auto"/>
          <w:highlight w:val="none"/>
        </w:rPr>
        <w:t>临时用地表</w:t>
      </w:r>
    </w:p>
    <w:p w14:paraId="6BD57EBE">
      <w:pPr>
        <w:spacing w:line="360" w:lineRule="auto"/>
        <w:ind w:firstLine="420" w:firstLineChars="200"/>
        <w:rPr>
          <w:rFonts w:hint="eastAsia"/>
          <w:color w:val="auto"/>
          <w:highlight w:val="none"/>
        </w:rPr>
      </w:pPr>
      <w:r>
        <w:rPr>
          <w:rFonts w:hint="eastAsia"/>
          <w:color w:val="auto"/>
          <w:highlight w:val="none"/>
        </w:rPr>
        <w:t>二、技术标中施工组织设计采用暗标</w:t>
      </w:r>
      <w:r>
        <w:rPr>
          <w:color w:val="auto"/>
          <w:highlight w:val="none"/>
        </w:rPr>
        <w:t>编制</w:t>
      </w:r>
      <w:r>
        <w:rPr>
          <w:rFonts w:hint="eastAsia"/>
          <w:color w:val="auto"/>
          <w:highlight w:val="none"/>
        </w:rPr>
        <w:t>，具体</w:t>
      </w:r>
      <w:r>
        <w:rPr>
          <w:color w:val="auto"/>
          <w:highlight w:val="none"/>
        </w:rPr>
        <w:t>要求</w:t>
      </w:r>
      <w:r>
        <w:rPr>
          <w:rFonts w:hint="eastAsia"/>
          <w:color w:val="auto"/>
          <w:highlight w:val="none"/>
        </w:rPr>
        <w:t>如下：</w:t>
      </w:r>
    </w:p>
    <w:p w14:paraId="72BA7404">
      <w:pPr>
        <w:spacing w:line="360" w:lineRule="auto"/>
        <w:ind w:firstLine="420" w:firstLineChars="200"/>
        <w:rPr>
          <w:color w:val="auto"/>
          <w:highlight w:val="none"/>
        </w:rPr>
      </w:pPr>
      <w:r>
        <w:rPr>
          <w:color w:val="auto"/>
          <w:highlight w:val="none"/>
        </w:rPr>
        <w:t>（一）</w:t>
      </w:r>
      <w:r>
        <w:rPr>
          <w:rFonts w:hint="eastAsia"/>
          <w:color w:val="auto"/>
          <w:highlight w:val="none"/>
        </w:rPr>
        <w:t>技术标</w:t>
      </w:r>
      <w:r>
        <w:rPr>
          <w:color w:val="auto"/>
          <w:highlight w:val="none"/>
        </w:rPr>
        <w:t>中施工组织</w:t>
      </w:r>
      <w:r>
        <w:rPr>
          <w:rFonts w:hint="eastAsia"/>
          <w:color w:val="auto"/>
          <w:highlight w:val="none"/>
        </w:rPr>
        <w:t>设计</w:t>
      </w:r>
      <w:r>
        <w:rPr>
          <w:color w:val="auto"/>
          <w:highlight w:val="none"/>
        </w:rPr>
        <w:t xml:space="preserve">纳入“暗标”的内容：                                                          </w:t>
      </w:r>
    </w:p>
    <w:p w14:paraId="57B04645">
      <w:pPr>
        <w:spacing w:line="360" w:lineRule="auto"/>
        <w:ind w:firstLine="420" w:firstLineChars="200"/>
        <w:rPr>
          <w:rFonts w:hint="eastAsia"/>
          <w:color w:val="auto"/>
          <w:highlight w:val="none"/>
        </w:rPr>
      </w:pPr>
      <w:r>
        <w:rPr>
          <w:color w:val="auto"/>
          <w:highlight w:val="none"/>
        </w:rPr>
        <w:t xml:space="preserve"> </w:t>
      </w:r>
      <w:r>
        <w:rPr>
          <w:rFonts w:hint="eastAsia"/>
          <w:color w:val="auto"/>
          <w:highlight w:val="none"/>
        </w:rPr>
        <w:t>本招标文件第二章投标人须知3.1.</w:t>
      </w:r>
      <w:r>
        <w:rPr>
          <w:color w:val="auto"/>
          <w:highlight w:val="none"/>
        </w:rPr>
        <w:t>1</w:t>
      </w:r>
      <w:r>
        <w:rPr>
          <w:rFonts w:hint="eastAsia"/>
          <w:color w:val="auto"/>
          <w:highlight w:val="none"/>
        </w:rPr>
        <w:t>.3技术标的施工组织设计全部</w:t>
      </w:r>
      <w:r>
        <w:rPr>
          <w:color w:val="auto"/>
          <w:highlight w:val="none"/>
        </w:rPr>
        <w:t>内容</w:t>
      </w:r>
      <w:r>
        <w:rPr>
          <w:rFonts w:hint="eastAsia"/>
          <w:color w:val="auto"/>
          <w:highlight w:val="none"/>
        </w:rPr>
        <w:t>纳入“暗标”部分。</w:t>
      </w:r>
    </w:p>
    <w:p w14:paraId="036D33FE">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（二）暗标的编制要求</w:t>
      </w:r>
    </w:p>
    <w:p w14:paraId="0838FF38">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封面的编制：</w:t>
      </w:r>
    </w:p>
    <w:p w14:paraId="624B6888">
      <w:pPr>
        <w:spacing w:line="360" w:lineRule="auto"/>
        <w:ind w:firstLine="567" w:firstLineChars="270"/>
        <w:rPr>
          <w:rFonts w:hint="eastAsia" w:ascii="宋体" w:hAnsi="宋体"/>
          <w:color w:val="auto"/>
          <w:highlight w:val="none"/>
        </w:rPr>
      </w:pPr>
      <w:r>
        <w:rPr>
          <w:rFonts w:hint="eastAsia" w:ascii="宋体" w:hAnsi="宋体"/>
          <w:color w:val="auto"/>
          <w:highlight w:val="none"/>
        </w:rPr>
        <w:t>需点击投标文件编制专用工具的“编辑文档”按钮进行内容编辑，关闭编辑框后软件自动将编辑内容转换成PDF格式文档；</w:t>
      </w:r>
    </w:p>
    <w:p w14:paraId="23E51E7E">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正文编制：</w:t>
      </w:r>
    </w:p>
    <w:p w14:paraId="759E0B11">
      <w:pPr>
        <w:spacing w:line="360" w:lineRule="auto"/>
        <w:ind w:firstLine="567" w:firstLineChars="270"/>
        <w:rPr>
          <w:rFonts w:hint="eastAsia" w:ascii="宋体" w:hAnsi="宋体"/>
          <w:color w:val="auto"/>
          <w:highlight w:val="none"/>
        </w:rPr>
      </w:pPr>
      <w:r>
        <w:rPr>
          <w:rFonts w:hint="eastAsia" w:ascii="宋体" w:hAnsi="宋体"/>
          <w:color w:val="auto"/>
          <w:highlight w:val="none"/>
        </w:rPr>
        <w:t>导入已编制好的技术标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正文文档，将技术标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正文文档相应内容与各个评分点进行节点对应。</w:t>
      </w:r>
    </w:p>
    <w:p w14:paraId="6C1C762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3.目录要求：</w:t>
      </w:r>
    </w:p>
    <w:p w14:paraId="5C619BF1">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技术标施工组织设计首页应为目录，目录标题采用宋体三号居中，正文采用宋体四号左端对齐。目录不编制页码。目录应按如下格式编制：</w:t>
      </w:r>
    </w:p>
    <w:p w14:paraId="31F8F02E">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1.概述</w:t>
      </w:r>
    </w:p>
    <w:p w14:paraId="3C13B72D">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2.主要施工方法</w:t>
      </w:r>
    </w:p>
    <w:p w14:paraId="64AB581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3.拟投入的主要物资计划</w:t>
      </w:r>
    </w:p>
    <w:p w14:paraId="5D9C8EC2">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4.劳动力安排计划</w:t>
      </w:r>
    </w:p>
    <w:p w14:paraId="0B35877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5.确保工程质量的技术组织措施</w:t>
      </w:r>
    </w:p>
    <w:p w14:paraId="6B26D0C6">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6.确保安全生产的技术组织措施</w:t>
      </w:r>
    </w:p>
    <w:p w14:paraId="4D8DBC4D">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7.确保工期的技术组织措施</w:t>
      </w:r>
    </w:p>
    <w:p w14:paraId="50FC36C5">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8.确保文明施工的技术组织措施</w:t>
      </w:r>
    </w:p>
    <w:p w14:paraId="0C424F6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9.工程施工的重点和难点及保证措施</w:t>
      </w:r>
    </w:p>
    <w:p w14:paraId="22306982">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10.施工总平面布置图</w:t>
      </w:r>
    </w:p>
    <w:p w14:paraId="4D6BEBDC">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11.其他（如有）（与评标办法前附表技术标评分标准一致）</w:t>
      </w:r>
    </w:p>
    <w:p w14:paraId="6421C09D">
      <w:pPr>
        <w:spacing w:line="360" w:lineRule="auto"/>
        <w:ind w:firstLine="567" w:firstLineChars="270"/>
        <w:rPr>
          <w:rFonts w:hint="eastAsia" w:ascii="宋体" w:hAnsi="宋体"/>
          <w:color w:val="auto"/>
          <w:highlight w:val="none"/>
        </w:rPr>
      </w:pPr>
      <w:r>
        <w:rPr>
          <w:rFonts w:hint="eastAsia"/>
          <w:color w:val="auto"/>
          <w:highlight w:val="none"/>
          <w:lang w:eastAsia="zh-CN"/>
        </w:rPr>
        <w:t>4.</w:t>
      </w:r>
      <w:r>
        <w:rPr>
          <w:rFonts w:hint="eastAsia"/>
          <w:color w:val="auto"/>
          <w:highlight w:val="none"/>
        </w:rPr>
        <w:t>章节</w:t>
      </w:r>
      <w:r>
        <w:rPr>
          <w:rFonts w:hint="eastAsia" w:ascii="宋体" w:hAnsi="宋体"/>
          <w:color w:val="auto"/>
          <w:highlight w:val="none"/>
        </w:rPr>
        <w:t>要求：</w:t>
      </w:r>
    </w:p>
    <w:p w14:paraId="4D3947D3">
      <w:pPr>
        <w:spacing w:line="360" w:lineRule="auto"/>
        <w:ind w:firstLine="567" w:firstLineChars="270"/>
        <w:rPr>
          <w:rFonts w:hint="eastAsia" w:ascii="宋体" w:hAnsi="宋体"/>
          <w:color w:val="auto"/>
          <w:highlight w:val="none"/>
        </w:rPr>
      </w:pPr>
      <w:r>
        <w:rPr>
          <w:rFonts w:hint="eastAsia" w:ascii="宋体" w:hAnsi="宋体"/>
          <w:color w:val="auto"/>
          <w:highlight w:val="none"/>
        </w:rPr>
        <w:t>技术标</w:t>
      </w:r>
      <w:r>
        <w:rPr>
          <w:color w:val="auto"/>
          <w:highlight w:val="none"/>
        </w:rPr>
        <w:t>施工组织</w:t>
      </w:r>
      <w:r>
        <w:rPr>
          <w:rFonts w:hint="eastAsia"/>
          <w:color w:val="auto"/>
          <w:highlight w:val="none"/>
        </w:rPr>
        <w:t>设计应按投标人须知正文3.1.</w:t>
      </w:r>
      <w:r>
        <w:rPr>
          <w:color w:val="auto"/>
          <w:highlight w:val="none"/>
        </w:rPr>
        <w:t>1</w:t>
      </w:r>
      <w:r>
        <w:rPr>
          <w:rFonts w:hint="eastAsia"/>
          <w:color w:val="auto"/>
          <w:highlight w:val="none"/>
        </w:rPr>
        <w:t>.3要求的内容顺序编制，各章间应分页编排。章节序号应按1，1.1，1.1.1</w:t>
      </w:r>
      <w:r>
        <w:rPr>
          <w:color w:val="auto"/>
          <w:highlight w:val="none"/>
        </w:rPr>
        <w:t>…</w:t>
      </w:r>
      <w:r>
        <w:rPr>
          <w:rFonts w:hint="eastAsia"/>
          <w:color w:val="auto"/>
          <w:highlight w:val="none"/>
        </w:rPr>
        <w:t>类比编排。</w:t>
      </w:r>
    </w:p>
    <w:p w14:paraId="235E07D0">
      <w:pPr>
        <w:spacing w:line="360" w:lineRule="auto"/>
        <w:ind w:firstLine="567" w:firstLineChars="270"/>
        <w:rPr>
          <w:rFonts w:hint="eastAsia"/>
          <w:color w:val="auto"/>
          <w:highlight w:val="none"/>
        </w:rPr>
      </w:pPr>
      <w:r>
        <w:rPr>
          <w:rFonts w:hint="eastAsia" w:ascii="宋体" w:hAnsi="宋体"/>
          <w:color w:val="auto"/>
          <w:highlight w:val="none"/>
          <w:lang w:eastAsia="zh-CN"/>
        </w:rPr>
        <w:t>5.</w:t>
      </w:r>
      <w:r>
        <w:rPr>
          <w:color w:val="auto"/>
          <w:highlight w:val="none"/>
        </w:rPr>
        <w:t>排版要求：</w:t>
      </w:r>
    </w:p>
    <w:p w14:paraId="5FC918F9">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45D37F0D">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w:t>
      </w:r>
      <w:r>
        <w:rPr>
          <w:rFonts w:hint="eastAsia"/>
          <w:color w:val="auto"/>
          <w:highlight w:val="none"/>
          <w:lang w:eastAsia="zh-CN"/>
        </w:rPr>
        <w:t>（</w:t>
      </w:r>
      <w:r>
        <w:rPr>
          <w:rFonts w:hint="eastAsia"/>
          <w:color w:val="auto"/>
          <w:highlight w:val="none"/>
        </w:rPr>
        <w:t>1概述</w:t>
      </w:r>
      <w:r>
        <w:rPr>
          <w:rFonts w:hint="eastAsia"/>
          <w:color w:val="auto"/>
          <w:highlight w:val="none"/>
          <w:lang w:eastAsia="zh-CN"/>
        </w:rPr>
        <w:t>、</w:t>
      </w:r>
      <w:r>
        <w:rPr>
          <w:rFonts w:hint="eastAsia"/>
          <w:color w:val="auto"/>
          <w:highlight w:val="none"/>
        </w:rPr>
        <w:t>2主要施工方法</w:t>
      </w:r>
      <w:r>
        <w:rPr>
          <w:rFonts w:hint="eastAsia"/>
          <w:color w:val="auto"/>
          <w:highlight w:val="none"/>
          <w:lang w:eastAsia="zh-CN"/>
        </w:rPr>
        <w:t>等）</w:t>
      </w:r>
      <w:r>
        <w:rPr>
          <w:rFonts w:hint="eastAsia"/>
          <w:color w:val="auto"/>
          <w:highlight w:val="none"/>
        </w:rPr>
        <w:t>采用三号字，居中排版；其他采用小四号字，开始段落空两个字符，行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5C215692">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lang w:eastAsia="zh-CN"/>
        </w:rPr>
        <w:t>，</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5F7841BB">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lang w:eastAsia="zh-CN"/>
        </w:rPr>
        <w:t>，</w:t>
      </w:r>
      <w:r>
        <w:rPr>
          <w:rFonts w:hint="eastAsia"/>
          <w:color w:val="auto"/>
          <w:highlight w:val="none"/>
        </w:rPr>
        <w:t>不允许有页眉，页脚只允许有页码，页码采用阿拉伯数字，宋体五号，居中布置，页码应当连续，不得分章或节单独编码；</w:t>
      </w:r>
    </w:p>
    <w:p w14:paraId="61FF9F34">
      <w:pPr>
        <w:spacing w:line="360" w:lineRule="auto"/>
        <w:ind w:firstLine="420" w:firstLineChars="200"/>
        <w:rPr>
          <w:color w:val="auto"/>
          <w:highlight w:val="none"/>
        </w:rPr>
      </w:pPr>
      <w:r>
        <w:rPr>
          <w:rFonts w:hint="eastAsia"/>
          <w:color w:val="auto"/>
          <w:highlight w:val="none"/>
        </w:rPr>
        <w:t>1）表格内文字要求：宋体小四号字体</w:t>
      </w:r>
    </w:p>
    <w:p w14:paraId="44AC94C8">
      <w:pPr>
        <w:spacing w:line="360" w:lineRule="auto"/>
        <w:ind w:firstLine="420" w:firstLineChars="200"/>
        <w:rPr>
          <w:rFonts w:hint="eastAsia"/>
          <w:color w:val="auto"/>
          <w:highlight w:val="none"/>
        </w:rPr>
      </w:pPr>
      <w:r>
        <w:rPr>
          <w:rFonts w:hint="eastAsia"/>
          <w:color w:val="auto"/>
          <w:highlight w:val="none"/>
        </w:rPr>
        <w:t>2）图表标题/标签字体、颜色不做限制</w:t>
      </w:r>
    </w:p>
    <w:p w14:paraId="211EE102">
      <w:pPr>
        <w:spacing w:line="360" w:lineRule="auto"/>
        <w:ind w:firstLine="420" w:firstLineChars="200"/>
        <w:rPr>
          <w:rFonts w:hint="eastAsia"/>
          <w:color w:val="auto"/>
          <w:highlight w:val="none"/>
        </w:rPr>
      </w:pPr>
      <w:r>
        <w:rPr>
          <w:rFonts w:hint="eastAsia"/>
          <w:color w:val="auto"/>
          <w:highlight w:val="none"/>
        </w:rPr>
        <w:t>3）图片：颜色不做限制</w:t>
      </w:r>
    </w:p>
    <w:p w14:paraId="3B453F80">
      <w:pPr>
        <w:spacing w:line="360" w:lineRule="auto"/>
        <w:ind w:firstLine="420" w:firstLineChars="200"/>
        <w:rPr>
          <w:rFonts w:hint="eastAsia" w:eastAsia="宋体"/>
          <w:color w:val="auto"/>
          <w:highlight w:val="none"/>
          <w:lang w:val="en-US" w:eastAsia="zh-CN"/>
        </w:rPr>
      </w:pPr>
      <w:r>
        <w:rPr>
          <w:rFonts w:hint="eastAsia"/>
          <w:color w:val="auto"/>
          <w:highlight w:val="none"/>
          <w:lang w:val="en-US" w:eastAsia="zh-CN"/>
        </w:rPr>
        <w:t>4）附表标题采用小四号字，开始段落空两个字符，行距设1.5倍行距。</w:t>
      </w:r>
    </w:p>
    <w:p w14:paraId="7ABEC3EB">
      <w:pPr>
        <w:spacing w:line="360" w:lineRule="auto"/>
        <w:ind w:firstLine="567" w:firstLineChars="270"/>
        <w:rPr>
          <w:rFonts w:hint="eastAsia"/>
          <w:color w:val="auto"/>
          <w:highlight w:val="none"/>
        </w:rPr>
      </w:pPr>
      <w:r>
        <w:rPr>
          <w:rFonts w:hint="eastAsia"/>
          <w:color w:val="auto"/>
          <w:highlight w:val="none"/>
          <w:lang w:eastAsia="zh-CN"/>
        </w:rPr>
        <w:t>6.</w:t>
      </w:r>
      <w:r>
        <w:rPr>
          <w:color w:val="auto"/>
          <w:highlight w:val="none"/>
        </w:rPr>
        <w:t>编写软件及版本要求：Microsoft Word</w:t>
      </w:r>
      <w:r>
        <w:rPr>
          <w:rFonts w:hint="eastAsia"/>
          <w:color w:val="auto"/>
          <w:highlight w:val="none"/>
          <w:lang w:eastAsia="zh-CN"/>
        </w:rPr>
        <w:t>、金山</w:t>
      </w:r>
      <w:r>
        <w:rPr>
          <w:rFonts w:hint="eastAsia"/>
          <w:color w:val="auto"/>
          <w:highlight w:val="none"/>
          <w:lang w:val="en-US" w:eastAsia="zh-CN"/>
        </w:rPr>
        <w:t>WPS</w:t>
      </w:r>
      <w:r>
        <w:rPr>
          <w:rFonts w:hint="eastAsia"/>
          <w:color w:val="auto"/>
          <w:highlight w:val="none"/>
        </w:rPr>
        <w:t>；</w:t>
      </w:r>
    </w:p>
    <w:p w14:paraId="45AFFCBD">
      <w:pPr>
        <w:spacing w:line="360" w:lineRule="auto"/>
        <w:ind w:firstLine="567" w:firstLineChars="270"/>
        <w:rPr>
          <w:rFonts w:hint="eastAsia"/>
          <w:color w:val="auto"/>
          <w:highlight w:val="none"/>
        </w:rPr>
      </w:pPr>
      <w:r>
        <w:rPr>
          <w:rFonts w:hint="eastAsia"/>
          <w:color w:val="auto"/>
          <w:highlight w:val="none"/>
          <w:lang w:eastAsia="zh-CN"/>
        </w:rPr>
        <w:t>7.</w:t>
      </w:r>
      <w:r>
        <w:rPr>
          <w:color w:val="auto"/>
          <w:highlight w:val="none"/>
        </w:rPr>
        <w:t>“技术标”的施工组织</w:t>
      </w:r>
      <w:r>
        <w:rPr>
          <w:rFonts w:hint="eastAsia"/>
          <w:color w:val="auto"/>
          <w:highlight w:val="none"/>
        </w:rPr>
        <w:t>设计</w:t>
      </w:r>
      <w:r>
        <w:rPr>
          <w:color w:val="auto"/>
          <w:highlight w:val="none"/>
        </w:rPr>
        <w:t>正文中不得出现投标人的名称和其他可识别投标人身份的字符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color w:val="auto"/>
          <w:highlight w:val="none"/>
        </w:rPr>
        <w:t>等。</w:t>
      </w:r>
    </w:p>
    <w:p w14:paraId="140630A0">
      <w:pPr>
        <w:rPr>
          <w:color w:val="auto"/>
          <w:highlight w:val="none"/>
        </w:rPr>
      </w:pPr>
      <w:r>
        <w:rPr>
          <w:rFonts w:ascii="宋体" w:hAnsi="宋体"/>
          <w:color w:val="auto"/>
          <w:highlight w:val="none"/>
        </w:rPr>
        <w:br w:type="page"/>
      </w:r>
      <w:bookmarkEnd w:id="2292"/>
      <w:bookmarkEnd w:id="2293"/>
      <w:bookmarkEnd w:id="2294"/>
      <w:bookmarkEnd w:id="2295"/>
      <w:r>
        <w:rPr>
          <w:rFonts w:hint="eastAsia" w:cs="宋体"/>
          <w:color w:val="auto"/>
          <w:highlight w:val="none"/>
        </w:rPr>
        <w:t>附表一：劳动力计划表</w:t>
      </w:r>
    </w:p>
    <w:p w14:paraId="5F633B86">
      <w:pPr>
        <w:ind w:firstLine="7245" w:firstLineChars="3450"/>
        <w:rPr>
          <w:color w:val="auto"/>
          <w:highlight w:val="none"/>
        </w:rPr>
      </w:pPr>
      <w:r>
        <w:rPr>
          <w:color w:val="auto"/>
          <w:highlight w:val="non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2824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2F168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工种</w:t>
            </w:r>
          </w:p>
        </w:tc>
        <w:tc>
          <w:tcPr>
            <w:tcW w:w="8506" w:type="dxa"/>
            <w:gridSpan w:val="7"/>
            <w:noWrap w:val="0"/>
            <w:vAlign w:val="center"/>
          </w:tcPr>
          <w:p w14:paraId="023999B2">
            <w:pPr>
              <w:keepNext w:val="0"/>
              <w:keepLines w:val="0"/>
              <w:suppressLineNumbers w:val="0"/>
              <w:spacing w:before="0" w:beforeAutospacing="0" w:after="0" w:afterAutospacing="0"/>
              <w:ind w:left="0" w:right="0" w:firstLine="0" w:firstLineChars="0"/>
              <w:jc w:val="center"/>
              <w:rPr>
                <w:rFonts w:hint="eastAsia" w:eastAsia="宋体"/>
                <w:color w:val="auto"/>
                <w:highlight w:val="none"/>
                <w:lang w:eastAsia="zh-CN"/>
              </w:rPr>
            </w:pPr>
            <w:r>
              <w:rPr>
                <w:rFonts w:hint="eastAsia" w:ascii="Calibri" w:hAnsi="Calibri" w:eastAsia="宋体" w:cs="宋体"/>
                <w:color w:val="auto"/>
                <w:highlight w:val="none"/>
              </w:rPr>
              <w:t>按工程施工阶段投入劳动力情况</w:t>
            </w:r>
            <w:r>
              <w:rPr>
                <w:rFonts w:hint="default"/>
                <w:color w:val="auto"/>
                <w:highlight w:val="none"/>
              </w:rPr>
              <w:t xml:space="preserve"> </w:t>
            </w:r>
            <w:r>
              <w:rPr>
                <w:rFonts w:hint="eastAsia"/>
                <w:color w:val="auto"/>
                <w:highlight w:val="none"/>
                <w:lang w:eastAsia="zh-CN"/>
              </w:rPr>
              <w:t>（</w:t>
            </w:r>
            <w:r>
              <w:rPr>
                <w:rFonts w:hint="eastAsia" w:cs="宋体"/>
                <w:color w:val="auto"/>
                <w:highlight w:val="none"/>
              </w:rPr>
              <w:t>单位：人</w:t>
            </w:r>
            <w:r>
              <w:rPr>
                <w:rFonts w:hint="eastAsia" w:cs="宋体"/>
                <w:color w:val="auto"/>
                <w:highlight w:val="none"/>
                <w:lang w:eastAsia="zh-CN"/>
              </w:rPr>
              <w:t>）</w:t>
            </w:r>
          </w:p>
          <w:p w14:paraId="4C9FD39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A0F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A16BCA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76FDB4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F07D9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489F56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DB006E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0AF3D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FE3162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6CA162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F79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11945F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4EE1038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9D1C0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DF225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262B4D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46A12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47D001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BAD6E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DFD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22B6A3D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73318F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EB009F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8A63E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B6F2BF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00C23E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4BDCC34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42540C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351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5BE6F0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191582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ABBBD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43E95A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ACA1C1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CC6E8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646A43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61607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D4B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10AEB0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37D354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1502D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1E6DF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C3DF5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779132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78F97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F50E5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0F8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C652F6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0D8E3E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20BA4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33A490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16E4B9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1D4AE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5F2728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AD9CF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881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0369A0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15AD1E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3B7F49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E3FBEF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EEFA2F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2900A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9A452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0CB233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1CED754E">
      <w:pPr>
        <w:rPr>
          <w:color w:val="auto"/>
          <w:highlight w:val="none"/>
        </w:rPr>
      </w:pPr>
    </w:p>
    <w:p w14:paraId="7C630CBD">
      <w:pPr>
        <w:rPr>
          <w:b/>
          <w:bCs/>
          <w:color w:val="auto"/>
          <w:highlight w:val="none"/>
        </w:rPr>
      </w:pPr>
    </w:p>
    <w:p w14:paraId="3A04A749">
      <w:pPr>
        <w:rPr>
          <w:color w:val="auto"/>
          <w:highlight w:val="none"/>
        </w:rPr>
      </w:pPr>
      <w:r>
        <w:rPr>
          <w:rFonts w:hint="eastAsia" w:cs="宋体"/>
          <w:color w:val="auto"/>
          <w:highlight w:val="none"/>
        </w:rPr>
        <w:t>附表二：计划开、竣工日期和施工进度计划（网络图或横道图）</w:t>
      </w:r>
    </w:p>
    <w:p w14:paraId="18CBD99C">
      <w:pPr>
        <w:spacing w:line="460" w:lineRule="exact"/>
        <w:ind w:left="-6" w:firstLine="420"/>
        <w:rPr>
          <w:color w:val="auto"/>
          <w:highlight w:val="none"/>
        </w:rPr>
      </w:pPr>
      <w:r>
        <w:rPr>
          <w:color w:val="auto"/>
          <w:highlight w:val="none"/>
        </w:rPr>
        <w:t xml:space="preserve">1. </w:t>
      </w:r>
      <w:r>
        <w:rPr>
          <w:rFonts w:hint="eastAsia" w:cs="宋体"/>
          <w:color w:val="auto"/>
          <w:highlight w:val="none"/>
        </w:rPr>
        <w:t>投标人应提交施工进度计划，说明按招标文件要求的工期进行施工的各个关键日期。中标的投标人还应按合同条件有关条款的要求提交详细的施工进度计划。</w:t>
      </w:r>
    </w:p>
    <w:p w14:paraId="45F82F9F">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10C91413">
      <w:pPr>
        <w:spacing w:line="460" w:lineRule="exact"/>
        <w:ind w:left="-6" w:firstLine="420"/>
        <w:rPr>
          <w:rFonts w:hint="eastAsia" w:cs="宋体"/>
          <w:color w:val="auto"/>
          <w:highlight w:val="none"/>
        </w:rPr>
      </w:pPr>
      <w:r>
        <w:rPr>
          <w:color w:val="auto"/>
          <w:highlight w:val="none"/>
        </w:rPr>
        <w:t xml:space="preserve">3. </w:t>
      </w:r>
      <w:r>
        <w:rPr>
          <w:rFonts w:hint="eastAsia" w:cs="宋体"/>
          <w:color w:val="auto"/>
          <w:highlight w:val="none"/>
        </w:rPr>
        <w:t>施工进度计划应与施工组织设计相适应。</w:t>
      </w:r>
    </w:p>
    <w:p w14:paraId="7DBE49E8">
      <w:pPr>
        <w:spacing w:line="460" w:lineRule="exact"/>
        <w:ind w:left="-6" w:firstLine="420"/>
        <w:rPr>
          <w:rFonts w:hint="eastAsia" w:cs="宋体"/>
          <w:color w:val="auto"/>
          <w:highlight w:val="none"/>
        </w:rPr>
      </w:pPr>
      <w:r>
        <w:rPr>
          <w:rFonts w:hint="eastAsia" w:cs="宋体"/>
          <w:color w:val="auto"/>
          <w:highlight w:val="none"/>
        </w:rPr>
        <w:t>注：此说明部分的文字不属于格式内容，可自行删减</w:t>
      </w:r>
      <w:r>
        <w:rPr>
          <w:rFonts w:hint="eastAsia" w:cs="宋体"/>
          <w:color w:val="auto"/>
          <w:highlight w:val="none"/>
          <w:lang w:eastAsia="zh-CN"/>
        </w:rPr>
        <w:t>。</w:t>
      </w:r>
    </w:p>
    <w:p w14:paraId="2D699C60">
      <w:pPr>
        <w:pStyle w:val="27"/>
        <w:rPr>
          <w:color w:val="auto"/>
          <w:highlight w:val="none"/>
        </w:rPr>
      </w:pPr>
    </w:p>
    <w:p w14:paraId="7EFCAF91">
      <w:pPr>
        <w:spacing w:line="360" w:lineRule="auto"/>
        <w:ind w:left="-6" w:firstLine="420"/>
        <w:rPr>
          <w:color w:val="auto"/>
          <w:highlight w:val="none"/>
        </w:rPr>
      </w:pPr>
    </w:p>
    <w:p w14:paraId="412B22F6">
      <w:pPr>
        <w:rPr>
          <w:color w:val="auto"/>
          <w:highlight w:val="none"/>
        </w:rPr>
      </w:pPr>
    </w:p>
    <w:p w14:paraId="6F6D7364">
      <w:pPr>
        <w:rPr>
          <w:color w:val="auto"/>
          <w:highlight w:val="none"/>
        </w:rPr>
      </w:pPr>
      <w:r>
        <w:rPr>
          <w:rFonts w:hint="eastAsia" w:cs="宋体"/>
          <w:color w:val="auto"/>
          <w:highlight w:val="none"/>
        </w:rPr>
        <w:t>附表三：施工总平面图</w:t>
      </w:r>
    </w:p>
    <w:p w14:paraId="34FD25BB">
      <w:pPr>
        <w:spacing w:line="460" w:lineRule="exact"/>
        <w:ind w:firstLine="420" w:firstLineChars="200"/>
        <w:rPr>
          <w:color w:val="auto"/>
          <w:highlight w:val="none"/>
        </w:rPr>
      </w:pPr>
      <w:r>
        <w:rPr>
          <w:rFonts w:hint="eastAsia" w:cs="宋体"/>
          <w:color w:val="auto"/>
          <w:highlight w:val="none"/>
        </w:rPr>
        <w:t>投标人应递交一份施工总平面图，绘出现场临时设施布置图表并附文字说明，说明临时设施、加工车间、现场办公、设备及仓储、供电、供水、卫生、生活、道路、消防等设施的情况和布置。</w:t>
      </w:r>
    </w:p>
    <w:p w14:paraId="7BB64DB3">
      <w:pPr>
        <w:spacing w:line="460" w:lineRule="exact"/>
        <w:ind w:left="-6" w:firstLine="420"/>
        <w:rPr>
          <w:rFonts w:hint="eastAsia" w:cs="宋体"/>
          <w:color w:val="auto"/>
          <w:highlight w:val="none"/>
        </w:rPr>
      </w:pPr>
      <w:r>
        <w:rPr>
          <w:rFonts w:hint="eastAsia" w:cs="宋体"/>
          <w:color w:val="auto"/>
          <w:highlight w:val="none"/>
        </w:rPr>
        <w:t>注：此说明部分的文字不属于格式内容，可自行删减</w:t>
      </w:r>
      <w:r>
        <w:rPr>
          <w:rFonts w:hint="eastAsia" w:cs="宋体"/>
          <w:color w:val="auto"/>
          <w:highlight w:val="none"/>
          <w:lang w:eastAsia="zh-CN"/>
        </w:rPr>
        <w:t>。</w:t>
      </w:r>
    </w:p>
    <w:p w14:paraId="71CA4D4B">
      <w:pPr>
        <w:rPr>
          <w:color w:val="auto"/>
          <w:highlight w:val="none"/>
        </w:rPr>
      </w:pPr>
    </w:p>
    <w:p w14:paraId="25DF3F46">
      <w:pPr>
        <w:rPr>
          <w:color w:val="auto"/>
          <w:highlight w:val="none"/>
        </w:rPr>
      </w:pPr>
    </w:p>
    <w:p w14:paraId="5D2DF836">
      <w:pPr>
        <w:rPr>
          <w:color w:val="auto"/>
          <w:highlight w:val="none"/>
        </w:rPr>
      </w:pPr>
      <w:r>
        <w:rPr>
          <w:rFonts w:hint="eastAsia" w:cs="宋体"/>
          <w:color w:val="auto"/>
          <w:highlight w:val="none"/>
        </w:rPr>
        <w:t>附表四：临时用地表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13E4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574794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2357" w:type="dxa"/>
            <w:noWrap w:val="0"/>
            <w:vAlign w:val="center"/>
          </w:tcPr>
          <w:p w14:paraId="131109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面积（平方米）</w:t>
            </w:r>
          </w:p>
        </w:tc>
        <w:tc>
          <w:tcPr>
            <w:tcW w:w="2356" w:type="dxa"/>
            <w:noWrap w:val="0"/>
            <w:vAlign w:val="center"/>
          </w:tcPr>
          <w:p w14:paraId="383FD4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位置</w:t>
            </w:r>
          </w:p>
        </w:tc>
        <w:tc>
          <w:tcPr>
            <w:tcW w:w="2357" w:type="dxa"/>
            <w:noWrap w:val="0"/>
            <w:vAlign w:val="center"/>
          </w:tcPr>
          <w:p w14:paraId="6A0E16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需用时间</w:t>
            </w:r>
          </w:p>
        </w:tc>
      </w:tr>
      <w:tr w14:paraId="2B56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16DA679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33F80F9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49B7E46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189FCA07">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16AD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1DBBD6C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1CFEC9C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6E49C33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3CE426F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78A1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1471B3F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199A996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671FED9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3CB49CE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554B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3CCFA65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10FAB5E6">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5FC4DC5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6477307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bl>
    <w:p w14:paraId="2F49B0AE">
      <w:pPr>
        <w:rPr>
          <w:color w:val="auto"/>
          <w:highlight w:val="none"/>
        </w:rPr>
      </w:pPr>
    </w:p>
    <w:p w14:paraId="71AB935B">
      <w:pPr>
        <w:rPr>
          <w:color w:val="auto"/>
          <w:highlight w:val="none"/>
        </w:rPr>
      </w:pPr>
    </w:p>
    <w:p w14:paraId="76DB04E2">
      <w:pPr>
        <w:rPr>
          <w:rFonts w:hint="eastAsia"/>
          <w:color w:val="auto"/>
          <w:highlight w:val="none"/>
        </w:rPr>
      </w:pPr>
    </w:p>
    <w:p w14:paraId="794FCFDA">
      <w:pPr>
        <w:rPr>
          <w:color w:val="auto"/>
          <w:highlight w:val="none"/>
        </w:rPr>
      </w:pPr>
      <w:bookmarkStart w:id="2297" w:name="_Toc389065361"/>
    </w:p>
    <w:p w14:paraId="61F1DC86">
      <w:pPr>
        <w:rPr>
          <w:color w:val="auto"/>
          <w:highlight w:val="none"/>
        </w:rPr>
      </w:pPr>
    </w:p>
    <w:p w14:paraId="7AEC8D0C">
      <w:pPr>
        <w:rPr>
          <w:color w:val="auto"/>
          <w:highlight w:val="none"/>
        </w:rPr>
      </w:pPr>
    </w:p>
    <w:p w14:paraId="1F6913A2">
      <w:pPr>
        <w:pStyle w:val="135"/>
        <w:jc w:val="center"/>
        <w:outlineLvl w:val="0"/>
        <w:rPr>
          <w:b/>
          <w:bCs/>
          <w:color w:val="auto"/>
          <w:sz w:val="24"/>
          <w:szCs w:val="24"/>
          <w:highlight w:val="none"/>
        </w:rPr>
      </w:pPr>
      <w:r>
        <w:rPr>
          <w:rFonts w:hint="eastAsia" w:cs="宋体"/>
          <w:b/>
          <w:bCs/>
          <w:color w:val="auto"/>
          <w:sz w:val="24"/>
          <w:szCs w:val="24"/>
          <w:highlight w:val="none"/>
        </w:rPr>
        <w:t>二、拟分包计划表</w:t>
      </w:r>
      <w:bookmarkEnd w:id="2297"/>
    </w:p>
    <w:p w14:paraId="2AD925BA">
      <w:pPr>
        <w:pStyle w:val="135"/>
        <w:jc w:val="center"/>
        <w:rPr>
          <w:b/>
          <w:bCs/>
          <w:color w:val="auto"/>
          <w:sz w:val="28"/>
          <w:szCs w:val="28"/>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43"/>
        <w:gridCol w:w="751"/>
        <w:gridCol w:w="950"/>
        <w:gridCol w:w="1123"/>
        <w:gridCol w:w="1090"/>
        <w:gridCol w:w="1197"/>
        <w:gridCol w:w="1268"/>
        <w:gridCol w:w="673"/>
      </w:tblGrid>
      <w:tr w14:paraId="135E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062510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p>
          <w:p w14:paraId="4B0C96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号</w:t>
            </w:r>
          </w:p>
        </w:tc>
        <w:tc>
          <w:tcPr>
            <w:tcW w:w="1843" w:type="dxa"/>
            <w:vMerge w:val="restart"/>
            <w:noWrap w:val="0"/>
            <w:tcMar>
              <w:left w:w="108" w:type="dxa"/>
              <w:right w:w="108" w:type="dxa"/>
            </w:tcMar>
            <w:vAlign w:val="center"/>
          </w:tcPr>
          <w:p w14:paraId="7D5EC3A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拟分包项目名称、范围及理由</w:t>
            </w:r>
          </w:p>
        </w:tc>
        <w:tc>
          <w:tcPr>
            <w:tcW w:w="6379" w:type="dxa"/>
            <w:gridSpan w:val="6"/>
            <w:noWrap w:val="0"/>
            <w:tcMar>
              <w:left w:w="108" w:type="dxa"/>
              <w:right w:w="108" w:type="dxa"/>
            </w:tcMar>
            <w:vAlign w:val="center"/>
          </w:tcPr>
          <w:p w14:paraId="0E8D707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拟选分包人</w:t>
            </w:r>
          </w:p>
        </w:tc>
        <w:tc>
          <w:tcPr>
            <w:tcW w:w="673" w:type="dxa"/>
            <w:vMerge w:val="restart"/>
            <w:noWrap w:val="0"/>
            <w:tcMar>
              <w:left w:w="108" w:type="dxa"/>
              <w:right w:w="108" w:type="dxa"/>
            </w:tcMar>
            <w:vAlign w:val="center"/>
          </w:tcPr>
          <w:p w14:paraId="1E0B53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030C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B8332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4BE2CE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01" w:type="dxa"/>
            <w:gridSpan w:val="2"/>
            <w:noWrap w:val="0"/>
            <w:tcMar>
              <w:left w:w="108" w:type="dxa"/>
              <w:right w:w="108" w:type="dxa"/>
            </w:tcMar>
            <w:vAlign w:val="center"/>
          </w:tcPr>
          <w:p w14:paraId="0A908F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拟选分包人名称</w:t>
            </w:r>
          </w:p>
        </w:tc>
        <w:tc>
          <w:tcPr>
            <w:tcW w:w="1123" w:type="dxa"/>
            <w:noWrap w:val="0"/>
            <w:tcMar>
              <w:left w:w="108" w:type="dxa"/>
              <w:right w:w="108" w:type="dxa"/>
            </w:tcMar>
            <w:vAlign w:val="center"/>
          </w:tcPr>
          <w:p w14:paraId="534A6C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注册地点</w:t>
            </w:r>
          </w:p>
        </w:tc>
        <w:tc>
          <w:tcPr>
            <w:tcW w:w="1090" w:type="dxa"/>
            <w:noWrap w:val="0"/>
            <w:tcMar>
              <w:left w:w="108" w:type="dxa"/>
              <w:right w:w="108" w:type="dxa"/>
            </w:tcMar>
            <w:vAlign w:val="center"/>
          </w:tcPr>
          <w:p w14:paraId="624A0A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企业资质</w:t>
            </w:r>
          </w:p>
        </w:tc>
        <w:tc>
          <w:tcPr>
            <w:tcW w:w="1197" w:type="dxa"/>
            <w:noWrap w:val="0"/>
            <w:tcMar>
              <w:left w:w="108" w:type="dxa"/>
              <w:right w:w="108" w:type="dxa"/>
            </w:tcMar>
            <w:vAlign w:val="center"/>
          </w:tcPr>
          <w:p w14:paraId="169C5C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有关业绩</w:t>
            </w:r>
          </w:p>
        </w:tc>
        <w:tc>
          <w:tcPr>
            <w:tcW w:w="1268" w:type="dxa"/>
            <w:noWrap w:val="0"/>
            <w:vAlign w:val="center"/>
          </w:tcPr>
          <w:p w14:paraId="564B34BA">
            <w:pPr>
              <w:keepNext w:val="0"/>
              <w:keepLines w:val="0"/>
              <w:suppressLineNumbers w:val="0"/>
              <w:spacing w:before="0" w:beforeAutospacing="0" w:after="0" w:afterAutospacing="0"/>
              <w:ind w:left="0" w:right="0"/>
              <w:jc w:val="center"/>
              <w:rPr>
                <w:rFonts w:hint="default" w:ascii="Calibri" w:hAnsi="Calibri" w:eastAsia="宋体" w:cs="宋体"/>
                <w:color w:val="auto"/>
                <w:highlight w:val="none"/>
              </w:rPr>
            </w:pPr>
            <w:r>
              <w:rPr>
                <w:rFonts w:hint="eastAsia" w:ascii="Calibri" w:hAnsi="Calibri" w:eastAsia="宋体" w:cs="宋体"/>
                <w:color w:val="auto"/>
                <w:highlight w:val="none"/>
              </w:rPr>
              <w:t>拟分包金额</w:t>
            </w:r>
          </w:p>
        </w:tc>
        <w:tc>
          <w:tcPr>
            <w:tcW w:w="673" w:type="dxa"/>
            <w:vMerge w:val="continue"/>
            <w:noWrap w:val="0"/>
            <w:tcMar>
              <w:left w:w="108" w:type="dxa"/>
              <w:right w:w="108" w:type="dxa"/>
            </w:tcMar>
            <w:vAlign w:val="center"/>
          </w:tcPr>
          <w:p w14:paraId="6999E59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F0F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6721F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4C6269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5F20EF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05D732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34C650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F3C3C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027BC0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center"/>
          </w:tcPr>
          <w:p w14:paraId="18B485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3702F9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64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FD247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496F4E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78DB60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578594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4DFBFE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988D5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2F1D26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8B0AC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77D860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1B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2F69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2A9093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7EDE93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4E94AD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7278FE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5C2AB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295F2C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4EDEB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6E44CF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9A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5AD765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6D9F1C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4AE7B3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328187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2EDAEE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44EBF5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02C289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B9732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3CB82E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651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8658F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73D754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265A43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171BED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193DA5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187324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24D42E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289C4F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1D214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47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49BC7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49E4DC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19179D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1F9B5A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1715BC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0568A3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0E67B4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59A447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38EC6B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8F705E9">
      <w:pPr>
        <w:widowControl/>
        <w:spacing w:line="240" w:lineRule="auto"/>
        <w:ind w:right="0"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备注：本表所列分包仅限于承包人自行施工范围内的非主体、非关键工程。</w:t>
      </w:r>
    </w:p>
    <w:p w14:paraId="32B136BC">
      <w:pPr>
        <w:wordWrap w:val="0"/>
        <w:spacing w:line="440" w:lineRule="exact"/>
        <w:ind w:right="420"/>
        <w:jc w:val="right"/>
        <w:rPr>
          <w:color w:val="auto"/>
          <w:highlight w:val="none"/>
        </w:rPr>
      </w:pPr>
    </w:p>
    <w:p w14:paraId="036CCF30">
      <w:pPr>
        <w:spacing w:line="440" w:lineRule="exact"/>
        <w:ind w:right="420"/>
        <w:jc w:val="right"/>
        <w:rPr>
          <w:color w:val="auto"/>
          <w:highlight w:val="none"/>
        </w:rPr>
      </w:pP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highlight w:val="none"/>
        </w:rPr>
        <w:t xml:space="preserve">  </w:t>
      </w:r>
    </w:p>
    <w:p w14:paraId="0664E633">
      <w:pPr>
        <w:widowControl/>
        <w:spacing w:line="240" w:lineRule="auto"/>
        <w:ind w:firstLine="420" w:firstLineChars="200"/>
        <w:jc w:val="left"/>
        <w:rPr>
          <w:color w:val="auto"/>
          <w:highlight w:val="none"/>
        </w:rPr>
      </w:pPr>
    </w:p>
    <w:p w14:paraId="1C0DB2BA">
      <w:pPr>
        <w:spacing w:line="360" w:lineRule="auto"/>
        <w:ind w:firstLine="490"/>
        <w:jc w:val="center"/>
        <w:rPr>
          <w:color w:val="auto"/>
          <w:highlight w:val="none"/>
        </w:rPr>
      </w:pPr>
    </w:p>
    <w:p w14:paraId="7895E2F2">
      <w:pPr>
        <w:spacing w:line="360" w:lineRule="auto"/>
        <w:ind w:firstLine="490"/>
        <w:jc w:val="center"/>
        <w:rPr>
          <w:color w:val="auto"/>
          <w:highlight w:val="none"/>
        </w:rPr>
      </w:pPr>
    </w:p>
    <w:p w14:paraId="790C39EC">
      <w:pPr>
        <w:spacing w:line="360" w:lineRule="auto"/>
        <w:ind w:firstLine="490"/>
        <w:jc w:val="center"/>
        <w:rPr>
          <w:color w:val="auto"/>
          <w:highlight w:val="none"/>
        </w:rPr>
      </w:pPr>
    </w:p>
    <w:p w14:paraId="52D5894C">
      <w:pPr>
        <w:spacing w:line="360" w:lineRule="auto"/>
        <w:ind w:firstLine="490"/>
        <w:jc w:val="center"/>
        <w:rPr>
          <w:color w:val="auto"/>
          <w:highlight w:val="none"/>
        </w:rPr>
      </w:pPr>
    </w:p>
    <w:p w14:paraId="6A0D0E1F">
      <w:pPr>
        <w:spacing w:line="360" w:lineRule="auto"/>
        <w:ind w:firstLine="490"/>
        <w:jc w:val="center"/>
        <w:rPr>
          <w:color w:val="auto"/>
          <w:highlight w:val="none"/>
        </w:rPr>
      </w:pPr>
    </w:p>
    <w:p w14:paraId="521969E7">
      <w:pPr>
        <w:spacing w:line="360" w:lineRule="auto"/>
        <w:ind w:firstLine="490"/>
        <w:jc w:val="center"/>
        <w:rPr>
          <w:color w:val="auto"/>
          <w:highlight w:val="none"/>
        </w:rPr>
      </w:pPr>
    </w:p>
    <w:p w14:paraId="273A415E">
      <w:pPr>
        <w:spacing w:line="360" w:lineRule="auto"/>
        <w:ind w:firstLine="490"/>
        <w:jc w:val="center"/>
        <w:rPr>
          <w:color w:val="auto"/>
          <w:highlight w:val="none"/>
        </w:rPr>
      </w:pPr>
    </w:p>
    <w:p w14:paraId="77E12656">
      <w:pPr>
        <w:spacing w:line="360" w:lineRule="auto"/>
        <w:ind w:firstLine="490"/>
        <w:jc w:val="center"/>
        <w:rPr>
          <w:color w:val="auto"/>
          <w:highlight w:val="none"/>
        </w:rPr>
      </w:pPr>
    </w:p>
    <w:p w14:paraId="1E229E26">
      <w:pPr>
        <w:spacing w:line="360" w:lineRule="auto"/>
        <w:ind w:firstLine="490"/>
        <w:jc w:val="center"/>
        <w:rPr>
          <w:color w:val="auto"/>
          <w:highlight w:val="none"/>
        </w:rPr>
      </w:pPr>
    </w:p>
    <w:p w14:paraId="09721AEE">
      <w:pPr>
        <w:spacing w:line="360" w:lineRule="auto"/>
        <w:ind w:firstLine="490"/>
        <w:jc w:val="center"/>
        <w:rPr>
          <w:color w:val="auto"/>
          <w:highlight w:val="none"/>
        </w:rPr>
      </w:pPr>
    </w:p>
    <w:p w14:paraId="5AB3CD23">
      <w:pPr>
        <w:spacing w:line="360" w:lineRule="auto"/>
        <w:ind w:firstLine="490"/>
        <w:jc w:val="center"/>
        <w:rPr>
          <w:color w:val="auto"/>
          <w:highlight w:val="none"/>
        </w:rPr>
      </w:pPr>
    </w:p>
    <w:p w14:paraId="00030760">
      <w:pPr>
        <w:spacing w:line="360" w:lineRule="auto"/>
        <w:ind w:firstLine="490"/>
        <w:jc w:val="center"/>
        <w:rPr>
          <w:color w:val="auto"/>
          <w:highlight w:val="none"/>
        </w:rPr>
      </w:pPr>
    </w:p>
    <w:p w14:paraId="2AE1DFE7">
      <w:pPr>
        <w:spacing w:line="360" w:lineRule="auto"/>
        <w:ind w:firstLine="490"/>
        <w:jc w:val="center"/>
        <w:rPr>
          <w:color w:val="auto"/>
          <w:highlight w:val="none"/>
        </w:rPr>
      </w:pPr>
    </w:p>
    <w:p w14:paraId="21F7B093">
      <w:pPr>
        <w:spacing w:line="360" w:lineRule="auto"/>
        <w:ind w:firstLine="490"/>
        <w:jc w:val="center"/>
        <w:rPr>
          <w:color w:val="auto"/>
          <w:highlight w:val="none"/>
        </w:rPr>
      </w:pPr>
    </w:p>
    <w:p w14:paraId="7E9B041C">
      <w:pPr>
        <w:spacing w:line="360" w:lineRule="auto"/>
        <w:ind w:firstLine="490"/>
        <w:jc w:val="center"/>
        <w:rPr>
          <w:color w:val="auto"/>
          <w:highlight w:val="none"/>
        </w:rPr>
      </w:pPr>
    </w:p>
    <w:p w14:paraId="026B1B46">
      <w:pPr>
        <w:spacing w:line="360" w:lineRule="auto"/>
        <w:ind w:firstLine="490"/>
        <w:jc w:val="center"/>
        <w:rPr>
          <w:color w:val="auto"/>
          <w:highlight w:val="none"/>
        </w:rPr>
      </w:pPr>
    </w:p>
    <w:p w14:paraId="174FC87D">
      <w:pPr>
        <w:spacing w:line="360" w:lineRule="auto"/>
        <w:ind w:firstLine="490"/>
        <w:jc w:val="center"/>
        <w:rPr>
          <w:color w:val="auto"/>
          <w:highlight w:val="none"/>
        </w:rPr>
      </w:pPr>
    </w:p>
    <w:p w14:paraId="54DDEBF9">
      <w:pPr>
        <w:spacing w:line="360" w:lineRule="auto"/>
        <w:ind w:firstLine="490"/>
        <w:jc w:val="center"/>
        <w:rPr>
          <w:color w:val="auto"/>
          <w:highlight w:val="none"/>
        </w:rPr>
      </w:pPr>
    </w:p>
    <w:p w14:paraId="24D6D342">
      <w:pPr>
        <w:pStyle w:val="135"/>
        <w:rPr>
          <w:b/>
          <w:bCs/>
          <w:color w:val="auto"/>
          <w:highlight w:val="none"/>
        </w:rPr>
      </w:pPr>
    </w:p>
    <w:p w14:paraId="65EB3E91">
      <w:pPr>
        <w:spacing w:line="360" w:lineRule="auto"/>
        <w:ind w:firstLine="490"/>
        <w:jc w:val="center"/>
        <w:rPr>
          <w:b/>
          <w:bCs/>
          <w:color w:val="auto"/>
          <w:sz w:val="28"/>
          <w:szCs w:val="28"/>
          <w:highlight w:val="none"/>
        </w:rPr>
      </w:pPr>
    </w:p>
    <w:p w14:paraId="46366DEB">
      <w:pPr>
        <w:spacing w:line="360" w:lineRule="auto"/>
        <w:ind w:firstLine="490"/>
        <w:jc w:val="center"/>
        <w:rPr>
          <w:color w:val="auto"/>
          <w:highlight w:val="none"/>
        </w:rPr>
      </w:pPr>
    </w:p>
    <w:p w14:paraId="52AC87C9">
      <w:pPr>
        <w:spacing w:line="360" w:lineRule="auto"/>
        <w:ind w:firstLine="490"/>
        <w:jc w:val="center"/>
        <w:rPr>
          <w:color w:val="auto"/>
          <w:highlight w:val="none"/>
        </w:rPr>
      </w:pPr>
    </w:p>
    <w:p w14:paraId="67FD657A">
      <w:pPr>
        <w:pStyle w:val="135"/>
        <w:jc w:val="center"/>
        <w:outlineLvl w:val="0"/>
        <w:rPr>
          <w:rFonts w:cs="宋体"/>
          <w:b/>
          <w:bCs/>
          <w:color w:val="auto"/>
          <w:sz w:val="24"/>
          <w:szCs w:val="24"/>
          <w:highlight w:val="none"/>
        </w:rPr>
      </w:pPr>
      <w:r>
        <w:rPr>
          <w:rFonts w:hint="eastAsia" w:cs="宋体"/>
          <w:b/>
          <w:bCs/>
          <w:color w:val="auto"/>
          <w:sz w:val="24"/>
          <w:szCs w:val="24"/>
          <w:highlight w:val="none"/>
        </w:rPr>
        <w:t>三、项目管理机构</w:t>
      </w:r>
    </w:p>
    <w:p w14:paraId="5303C295">
      <w:pPr>
        <w:pStyle w:val="135"/>
        <w:jc w:val="center"/>
        <w:outlineLvl w:val="0"/>
        <w:rPr>
          <w:b/>
          <w:bCs/>
          <w:color w:val="auto"/>
          <w:sz w:val="28"/>
          <w:szCs w:val="28"/>
          <w:highlight w:val="none"/>
        </w:rPr>
      </w:pPr>
      <w:bookmarkStart w:id="2298" w:name="_Toc173579005"/>
      <w:bookmarkStart w:id="2299" w:name="_Toc153274947"/>
      <w:bookmarkStart w:id="2300" w:name="_Toc251052184"/>
      <w:bookmarkStart w:id="2301" w:name="_Toc172364025"/>
      <w:r>
        <w:rPr>
          <w:rFonts w:hint="eastAsia"/>
          <w:b/>
          <w:bCs/>
          <w:color w:val="auto"/>
          <w:sz w:val="24"/>
          <w:szCs w:val="24"/>
          <w:highlight w:val="none"/>
          <w:lang w:eastAsia="zh-CN"/>
        </w:rPr>
        <w:t>1.</w:t>
      </w:r>
      <w:r>
        <w:rPr>
          <w:rFonts w:hint="eastAsia" w:cs="宋体"/>
          <w:b/>
          <w:bCs/>
          <w:color w:val="auto"/>
          <w:sz w:val="24"/>
          <w:szCs w:val="24"/>
          <w:highlight w:val="none"/>
        </w:rPr>
        <w:t>项目管理机构配备情况表</w:t>
      </w:r>
      <w:bookmarkEnd w:id="2298"/>
      <w:bookmarkEnd w:id="2299"/>
      <w:bookmarkEnd w:id="2300"/>
      <w:bookmarkEnd w:id="2301"/>
    </w:p>
    <w:p w14:paraId="0599776B">
      <w:pPr>
        <w:pStyle w:val="135"/>
        <w:rPr>
          <w:color w:val="auto"/>
          <w:highlight w:val="none"/>
          <w:u w:val="single"/>
        </w:rPr>
      </w:pPr>
    </w:p>
    <w:p w14:paraId="1EBFE899">
      <w:pPr>
        <w:spacing w:line="360" w:lineRule="auto"/>
        <w:jc w:val="center"/>
        <w:rPr>
          <w:rFonts w:eastAsia="楷体_GB2312"/>
          <w:color w:val="auto"/>
          <w:highlight w:val="none"/>
        </w:rPr>
      </w:pPr>
      <w:r>
        <w:rPr>
          <w:rFonts w:hint="eastAsia"/>
          <w:color w:val="auto"/>
          <w:highlight w:val="none"/>
          <w:u w:val="single"/>
        </w:rPr>
        <w:t>（</w:t>
      </w:r>
      <w:r>
        <w:rPr>
          <w:color w:val="auto"/>
          <w:highlight w:val="none"/>
          <w:u w:val="single"/>
        </w:rPr>
        <w:t>与</w:t>
      </w:r>
      <w:r>
        <w:rPr>
          <w:rFonts w:hint="eastAsia"/>
          <w:color w:val="auto"/>
          <w:highlight w:val="none"/>
          <w:u w:val="single"/>
        </w:rPr>
        <w:t>资格</w:t>
      </w:r>
      <w:r>
        <w:rPr>
          <w:color w:val="auto"/>
          <w:highlight w:val="none"/>
          <w:u w:val="single"/>
        </w:rPr>
        <w:t>审查表格一致</w:t>
      </w:r>
      <w:r>
        <w:rPr>
          <w:rFonts w:hint="eastAsia"/>
          <w:color w:val="auto"/>
          <w:highlight w:val="none"/>
          <w:u w:val="single"/>
        </w:rPr>
        <w:t>，</w:t>
      </w:r>
      <w:r>
        <w:rPr>
          <w:color w:val="auto"/>
          <w:highlight w:val="none"/>
          <w:u w:val="single"/>
        </w:rPr>
        <w:t>投标人只需</w:t>
      </w:r>
      <w:r>
        <w:rPr>
          <w:rFonts w:hint="eastAsia"/>
          <w:color w:val="auto"/>
          <w:highlight w:val="none"/>
          <w:u w:val="single"/>
        </w:rPr>
        <w:t>填</w:t>
      </w:r>
      <w:r>
        <w:rPr>
          <w:color w:val="auto"/>
          <w:highlight w:val="none"/>
          <w:u w:val="single"/>
        </w:rPr>
        <w:t>一次）</w:t>
      </w:r>
    </w:p>
    <w:p w14:paraId="5AB758EE">
      <w:pPr>
        <w:tabs>
          <w:tab w:val="left" w:pos="0"/>
        </w:tabs>
        <w:spacing w:line="360" w:lineRule="auto"/>
        <w:ind w:right="-210"/>
        <w:rPr>
          <w:color w:val="auto"/>
          <w:highlight w:val="none"/>
        </w:rPr>
      </w:pPr>
    </w:p>
    <w:p w14:paraId="38DB3882">
      <w:pPr>
        <w:pStyle w:val="135"/>
        <w:jc w:val="center"/>
        <w:outlineLvl w:val="0"/>
        <w:rPr>
          <w:color w:val="auto"/>
          <w:highlight w:val="none"/>
          <w:u w:val="single"/>
        </w:rPr>
      </w:pPr>
      <w:bookmarkStart w:id="2302" w:name="_Toc173579006"/>
      <w:bookmarkStart w:id="2303" w:name="_Toc251052200"/>
      <w:bookmarkStart w:id="2304" w:name="_Toc389065364"/>
      <w:bookmarkStart w:id="2305" w:name="_Toc153274948"/>
      <w:bookmarkStart w:id="2306" w:name="_Toc172364026"/>
      <w:r>
        <w:rPr>
          <w:rFonts w:hint="eastAsia"/>
          <w:b/>
          <w:bCs/>
          <w:color w:val="auto"/>
          <w:sz w:val="24"/>
          <w:szCs w:val="24"/>
          <w:highlight w:val="none"/>
          <w:lang w:eastAsia="zh-CN"/>
        </w:rPr>
        <w:t>2.</w:t>
      </w:r>
      <w:r>
        <w:rPr>
          <w:rFonts w:hint="eastAsia" w:cs="宋体"/>
          <w:b/>
          <w:bCs/>
          <w:color w:val="auto"/>
          <w:sz w:val="24"/>
          <w:szCs w:val="24"/>
          <w:highlight w:val="none"/>
        </w:rPr>
        <w:t>项目经理简历表</w:t>
      </w:r>
      <w:bookmarkEnd w:id="2302"/>
      <w:bookmarkEnd w:id="2303"/>
      <w:bookmarkEnd w:id="2304"/>
      <w:bookmarkEnd w:id="2305"/>
      <w:bookmarkEnd w:id="2306"/>
    </w:p>
    <w:p w14:paraId="41176EE3">
      <w:pPr>
        <w:pStyle w:val="135"/>
        <w:jc w:val="center"/>
        <w:rPr>
          <w:color w:val="auto"/>
          <w:highlight w:val="none"/>
          <w:u w:val="single"/>
        </w:rPr>
      </w:pPr>
      <w:r>
        <w:rPr>
          <w:rFonts w:hint="eastAsia"/>
          <w:color w:val="auto"/>
          <w:highlight w:val="none"/>
          <w:u w:val="single"/>
        </w:rPr>
        <w:t>（与资格审查表格一致，投标人只需填一次）</w:t>
      </w:r>
    </w:p>
    <w:p w14:paraId="1C1E303F">
      <w:pPr>
        <w:spacing w:line="360" w:lineRule="auto"/>
        <w:ind w:firstLine="525" w:firstLineChars="250"/>
        <w:rPr>
          <w:color w:val="auto"/>
          <w:highlight w:val="none"/>
        </w:rPr>
      </w:pPr>
    </w:p>
    <w:p w14:paraId="79C1343C">
      <w:pPr>
        <w:pStyle w:val="135"/>
        <w:jc w:val="center"/>
        <w:outlineLvl w:val="0"/>
        <w:rPr>
          <w:b/>
          <w:bCs/>
          <w:color w:val="auto"/>
          <w:sz w:val="24"/>
          <w:szCs w:val="24"/>
          <w:highlight w:val="none"/>
        </w:rPr>
      </w:pPr>
      <w:bookmarkStart w:id="2307" w:name="_Toc389065365"/>
      <w:bookmarkStart w:id="2308" w:name="_Toc173579007"/>
      <w:bookmarkStart w:id="2309" w:name="_Toc251052219"/>
      <w:bookmarkStart w:id="2310" w:name="_Toc172364027"/>
      <w:bookmarkStart w:id="2311" w:name="_Toc153274949"/>
      <w:r>
        <w:rPr>
          <w:rFonts w:hint="eastAsia"/>
          <w:b/>
          <w:bCs/>
          <w:color w:val="auto"/>
          <w:sz w:val="24"/>
          <w:szCs w:val="24"/>
          <w:highlight w:val="none"/>
          <w:lang w:eastAsia="zh-CN"/>
        </w:rPr>
        <w:t>3.</w:t>
      </w:r>
      <w:r>
        <w:rPr>
          <w:rFonts w:hint="eastAsia" w:cs="宋体"/>
          <w:b/>
          <w:bCs/>
          <w:color w:val="auto"/>
          <w:sz w:val="24"/>
          <w:szCs w:val="24"/>
          <w:highlight w:val="none"/>
        </w:rPr>
        <w:t>项目技术负责人简历表</w:t>
      </w:r>
      <w:bookmarkEnd w:id="2307"/>
      <w:bookmarkEnd w:id="2308"/>
      <w:bookmarkEnd w:id="2309"/>
      <w:bookmarkEnd w:id="2310"/>
      <w:bookmarkEnd w:id="2311"/>
    </w:p>
    <w:p w14:paraId="1D1C392C">
      <w:pPr>
        <w:pStyle w:val="135"/>
        <w:jc w:val="center"/>
        <w:rPr>
          <w:color w:val="auto"/>
          <w:highlight w:val="none"/>
          <w:u w:val="single"/>
        </w:rPr>
      </w:pPr>
      <w:r>
        <w:rPr>
          <w:rFonts w:hint="eastAsia"/>
          <w:color w:val="auto"/>
          <w:highlight w:val="none"/>
          <w:u w:val="single"/>
        </w:rPr>
        <w:t>（与资格审查表格一致，投标人只需填一次）</w:t>
      </w:r>
    </w:p>
    <w:p w14:paraId="4A6B2C6F">
      <w:pPr>
        <w:jc w:val="center"/>
        <w:rPr>
          <w:color w:val="auto"/>
          <w:sz w:val="32"/>
          <w:szCs w:val="32"/>
          <w:highlight w:val="none"/>
        </w:rPr>
      </w:pPr>
    </w:p>
    <w:p w14:paraId="126D94B5">
      <w:pPr>
        <w:rPr>
          <w:color w:val="auto"/>
          <w:highlight w:val="none"/>
        </w:rPr>
      </w:pPr>
    </w:p>
    <w:p w14:paraId="5F7295D6">
      <w:pPr>
        <w:rPr>
          <w:color w:val="auto"/>
          <w:highlight w:val="none"/>
        </w:rPr>
      </w:pPr>
    </w:p>
    <w:p w14:paraId="3BAA2E39">
      <w:pPr>
        <w:rPr>
          <w:color w:val="auto"/>
          <w:highlight w:val="none"/>
        </w:rPr>
      </w:pPr>
    </w:p>
    <w:p w14:paraId="0E2A8A8A">
      <w:pPr>
        <w:rPr>
          <w:color w:val="auto"/>
          <w:highlight w:val="none"/>
        </w:rPr>
      </w:pPr>
    </w:p>
    <w:p w14:paraId="376F8B59">
      <w:pPr>
        <w:rPr>
          <w:color w:val="auto"/>
          <w:highlight w:val="none"/>
        </w:rPr>
      </w:pPr>
    </w:p>
    <w:p w14:paraId="7388D830">
      <w:pPr>
        <w:rPr>
          <w:color w:val="auto"/>
          <w:highlight w:val="none"/>
        </w:rPr>
      </w:pPr>
    </w:p>
    <w:bookmarkEnd w:id="2312"/>
    <w:sectPr>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4BC463-48F3-4CEC-A24B-B1543861B909}"/>
  </w:font>
  <w:font w:name="黑体">
    <w:panose1 w:val="02010609060101010101"/>
    <w:charset w:val="86"/>
    <w:family w:val="auto"/>
    <w:pitch w:val="default"/>
    <w:sig w:usb0="800002BF" w:usb1="38CF7CFA" w:usb2="00000016" w:usb3="00000000" w:csb0="00040001" w:csb1="00000000"/>
    <w:embedRegular r:id="rId2" w:fontKey="{0955C187-E9A0-4B53-B14F-D3F7D5C367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49D106-E1EC-49F1-B903-4D1E3B453B3A}"/>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3C53BF50-C904-4672-A11D-501CFA937C33}"/>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5" w:fontKey="{9ED0F32D-EEAC-4D49-8D47-FB35784B73CA}"/>
  </w:font>
  <w:font w:name="楷体">
    <w:panose1 w:val="02010609060101010101"/>
    <w:charset w:val="86"/>
    <w:family w:val="auto"/>
    <w:pitch w:val="default"/>
    <w:sig w:usb0="800002BF" w:usb1="38CF7CFA" w:usb2="00000016" w:usb3="00000000" w:csb0="00040001" w:csb1="00000000"/>
  </w:font>
  <w:font w:name="方正楷体_GB2312">
    <w:panose1 w:val="02000000000000000000"/>
    <w:charset w:val="86"/>
    <w:family w:val="auto"/>
    <w:pitch w:val="default"/>
    <w:sig w:usb0="A00002BF" w:usb1="184F6CFA" w:usb2="00000012" w:usb3="00000000" w:csb0="00040001" w:csb1="00000000"/>
    <w:embedRegular r:id="rId6" w:fontKey="{2443941F-3ED5-4A98-ACD0-E0C46BD39554}"/>
  </w:font>
  <w:font w:name="Wingdings 2">
    <w:panose1 w:val="05020102010507070707"/>
    <w:charset w:val="02"/>
    <w:family w:val="auto"/>
    <w:pitch w:val="default"/>
    <w:sig w:usb0="00000000" w:usb1="00000000" w:usb2="00000000" w:usb3="00000000" w:csb0="80000000" w:csb1="00000000"/>
    <w:embedRegular r:id="rId7" w:fontKey="{2A05A96B-BDF5-4C00-B69C-392F59965467}"/>
  </w:font>
  <w:font w:name="微软雅黑">
    <w:panose1 w:val="020B0503020204020204"/>
    <w:charset w:val="86"/>
    <w:family w:val="auto"/>
    <w:pitch w:val="default"/>
    <w:sig w:usb0="80000287" w:usb1="2ACF3C50" w:usb2="00000016" w:usb3="00000000" w:csb0="0004001F" w:csb1="00000000"/>
    <w:embedRegular r:id="rId8" w:fontKey="{024A8D07-EB09-4085-B78F-6983B2F91817}"/>
  </w:font>
  <w:font w:name="Good Times">
    <w:panose1 w:val="00000500000000000000"/>
    <w:charset w:val="00"/>
    <w:family w:val="auto"/>
    <w:pitch w:val="default"/>
    <w:sig w:usb0="A00000FF" w:usb1="10000042" w:usb2="00000000" w:usb3="00000000" w:csb0="00000003" w:csb1="00000000"/>
    <w:embedRegular r:id="rId9" w:fontKey="{31C41E5D-8688-4B34-974F-E4A30DC04EC5}"/>
  </w:font>
  <w:font w:name="MingLiU_HKSCS-ExtB">
    <w:panose1 w:val="02020500000000000000"/>
    <w:charset w:val="88"/>
    <w:family w:val="auto"/>
    <w:pitch w:val="default"/>
    <w:sig w:usb0="8000002F" w:usb1="02000008" w:usb2="00000000" w:usb3="00000000" w:csb0="00100001" w:csb1="00000000"/>
    <w:embedRegular r:id="rId10" w:fontKey="{AAB68EDB-B515-40B7-9F49-9B7F6A5EB642}"/>
  </w:font>
  <w:font w:name="方正仿宋_GBK">
    <w:panose1 w:val="03000509000000000000"/>
    <w:charset w:val="86"/>
    <w:family w:val="script"/>
    <w:pitch w:val="default"/>
    <w:sig w:usb0="00000001" w:usb1="080E0000" w:usb2="00000000" w:usb3="00000000" w:csb0="00040000" w:csb1="00000000"/>
    <w:embedRegular r:id="rId11" w:fontKey="{51EAAFF2-C0F3-4168-9DAB-EEECE253EDCD}"/>
  </w:font>
  <w:font w:name="方正楷体_GBK">
    <w:panose1 w:val="03000509000000000000"/>
    <w:charset w:val="86"/>
    <w:family w:val="auto"/>
    <w:pitch w:val="default"/>
    <w:sig w:usb0="00000001" w:usb1="080E0000" w:usb2="00000000" w:usb3="00000000" w:csb0="00040000" w:csb1="00000000"/>
    <w:embedRegular r:id="rId12" w:fontKey="{DD5F729C-490C-416A-9E67-07EE2086074C}"/>
  </w:font>
  <w:font w:name="方正小标宋简体">
    <w:panose1 w:val="03000509000000000000"/>
    <w:charset w:val="86"/>
    <w:family w:val="script"/>
    <w:pitch w:val="default"/>
    <w:sig w:usb0="00000001" w:usb1="080E0000" w:usb2="00000000" w:usb3="00000000" w:csb0="00040000" w:csb1="00000000"/>
    <w:embedRegular r:id="rId13" w:fontKey="{786F7744-8181-4A6E-959C-642B3CE40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CBC8">
    <w:pPr>
      <w:pStyle w:val="26"/>
      <w:framePr w:wrap="around" w:vAnchor="text" w:hAnchor="margin" w:xAlign="center" w:y="1"/>
      <w:rPr>
        <w:rStyle w:val="44"/>
      </w:rPr>
    </w:pPr>
    <w:r>
      <w:fldChar w:fldCharType="begin"/>
    </w:r>
    <w:r>
      <w:rPr>
        <w:rStyle w:val="44"/>
      </w:rPr>
      <w:instrText xml:space="preserve">PAGE  </w:instrText>
    </w:r>
    <w:r>
      <w:fldChar w:fldCharType="separate"/>
    </w:r>
    <w:r>
      <w:rPr>
        <w:rStyle w:val="44"/>
      </w:rPr>
      <w:t>IX</w:t>
    </w:r>
    <w:r>
      <w:fldChar w:fldCharType="end"/>
    </w:r>
  </w:p>
  <w:p w14:paraId="3A8D3264">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24FE">
    <w:pPr>
      <w:pStyle w:val="26"/>
      <w:framePr w:wrap="around" w:vAnchor="text" w:hAnchor="margin" w:xAlign="center" w:y="1"/>
      <w:rPr>
        <w:rStyle w:val="44"/>
      </w:rPr>
    </w:pPr>
    <w:r>
      <w:fldChar w:fldCharType="begin"/>
    </w:r>
    <w:r>
      <w:rPr>
        <w:rStyle w:val="44"/>
      </w:rPr>
      <w:instrText xml:space="preserve">PAGE  </w:instrText>
    </w:r>
    <w:r>
      <w:fldChar w:fldCharType="separate"/>
    </w:r>
    <w:r>
      <w:rPr>
        <w:rStyle w:val="44"/>
      </w:rPr>
      <w:t>26</w:t>
    </w:r>
    <w:r>
      <w:fldChar w:fldCharType="end"/>
    </w:r>
  </w:p>
  <w:p w14:paraId="7B6FE785">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A53BB4"/>
    <w:multiLevelType w:val="singleLevel"/>
    <w:tmpl w:val="BEA53BB4"/>
    <w:lvl w:ilvl="0" w:tentative="0">
      <w:start w:val="1"/>
      <w:numFmt w:val="decimal"/>
      <w:suff w:val="nothing"/>
      <w:lvlText w:val="%1、"/>
      <w:lvlJc w:val="left"/>
    </w:lvl>
  </w:abstractNum>
  <w:abstractNum w:abstractNumId="1">
    <w:nsid w:val="BFFA26FE"/>
    <w:multiLevelType w:val="singleLevel"/>
    <w:tmpl w:val="BFFA26FE"/>
    <w:lvl w:ilvl="0" w:tentative="0">
      <w:start w:val="1"/>
      <w:numFmt w:val="decimal"/>
      <w:suff w:val="space"/>
      <w:lvlText w:val="（%1）"/>
      <w:lvlJc w:val="left"/>
    </w:lvl>
  </w:abstractNum>
  <w:abstractNum w:abstractNumId="2">
    <w:nsid w:val="331D25A3"/>
    <w:multiLevelType w:val="singleLevel"/>
    <w:tmpl w:val="331D25A3"/>
    <w:lvl w:ilvl="0" w:tentative="0">
      <w:start w:val="1"/>
      <w:numFmt w:val="decimal"/>
      <w:suff w:val="nothing"/>
      <w:lvlText w:val="（%1）"/>
      <w:lvlJc w:val="left"/>
    </w:lvl>
  </w:abstractNum>
  <w:abstractNum w:abstractNumId="3">
    <w:nsid w:val="486F1798"/>
    <w:multiLevelType w:val="multilevel"/>
    <w:tmpl w:val="486F1798"/>
    <w:lvl w:ilvl="0" w:tentative="0">
      <w:start w:val="4"/>
      <w:numFmt w:val="decimal"/>
      <w:lvlText w:val="%1、"/>
      <w:lvlJc w:val="left"/>
      <w:pPr>
        <w:ind w:left="3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9FF654"/>
    <w:multiLevelType w:val="singleLevel"/>
    <w:tmpl w:val="539FF654"/>
    <w:lvl w:ilvl="0" w:tentative="0">
      <w:start w:val="2"/>
      <w:numFmt w:val="decimal"/>
      <w:suff w:val="nothing"/>
      <w:lvlText w:val="%1、"/>
      <w:lvlJc w:val="left"/>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6EDD6596"/>
    <w:multiLevelType w:val="singleLevel"/>
    <w:tmpl w:val="6EDD6596"/>
    <w:lvl w:ilvl="0" w:tentative="0">
      <w:start w:val="1"/>
      <w:numFmt w:val="decimal"/>
      <w:suff w:val="space"/>
      <w:lvlText w:val="%1."/>
      <w:lvlJc w:val="left"/>
    </w:lvl>
  </w:abstractNum>
  <w:num w:numId="1">
    <w:abstractNumId w:val="4"/>
  </w:num>
  <w:num w:numId="2">
    <w:abstractNumId w:val="3"/>
  </w:num>
  <w:num w:numId="3">
    <w:abstractNumId w:val="5"/>
  </w:num>
  <w:num w:numId="4">
    <w:abstractNumId w:val="1"/>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embedTrueTypeFonts/>
  <w:saveSubsetFonts/>
  <w:bordersDoNotSurroundHeader w:val="0"/>
  <w:bordersDoNotSurroundFooter w:val="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622"/>
    <w:rsid w:val="00000890"/>
    <w:rsid w:val="00000AA0"/>
    <w:rsid w:val="000028E6"/>
    <w:rsid w:val="00002A82"/>
    <w:rsid w:val="00002ABD"/>
    <w:rsid w:val="00003E27"/>
    <w:rsid w:val="000041D9"/>
    <w:rsid w:val="0000458D"/>
    <w:rsid w:val="000055FC"/>
    <w:rsid w:val="00006780"/>
    <w:rsid w:val="00007241"/>
    <w:rsid w:val="000073FE"/>
    <w:rsid w:val="00010FE3"/>
    <w:rsid w:val="0001200D"/>
    <w:rsid w:val="0001228B"/>
    <w:rsid w:val="00012F36"/>
    <w:rsid w:val="00014246"/>
    <w:rsid w:val="00014DAC"/>
    <w:rsid w:val="0001555D"/>
    <w:rsid w:val="000169E6"/>
    <w:rsid w:val="000177F5"/>
    <w:rsid w:val="00020161"/>
    <w:rsid w:val="000212CE"/>
    <w:rsid w:val="00022002"/>
    <w:rsid w:val="00022224"/>
    <w:rsid w:val="000226E7"/>
    <w:rsid w:val="0002291E"/>
    <w:rsid w:val="0002394A"/>
    <w:rsid w:val="000243E1"/>
    <w:rsid w:val="00026487"/>
    <w:rsid w:val="00026A0B"/>
    <w:rsid w:val="00026FEB"/>
    <w:rsid w:val="00027721"/>
    <w:rsid w:val="000277DA"/>
    <w:rsid w:val="000278FD"/>
    <w:rsid w:val="0002793C"/>
    <w:rsid w:val="0003046B"/>
    <w:rsid w:val="00030CE6"/>
    <w:rsid w:val="00030D4B"/>
    <w:rsid w:val="0003222C"/>
    <w:rsid w:val="00032EF2"/>
    <w:rsid w:val="00033732"/>
    <w:rsid w:val="00034346"/>
    <w:rsid w:val="0003480A"/>
    <w:rsid w:val="00034AD8"/>
    <w:rsid w:val="000350EF"/>
    <w:rsid w:val="00035498"/>
    <w:rsid w:val="00036458"/>
    <w:rsid w:val="00037374"/>
    <w:rsid w:val="0003761E"/>
    <w:rsid w:val="000417B3"/>
    <w:rsid w:val="00042691"/>
    <w:rsid w:val="00043A27"/>
    <w:rsid w:val="00043D96"/>
    <w:rsid w:val="00045078"/>
    <w:rsid w:val="0004545D"/>
    <w:rsid w:val="0004547A"/>
    <w:rsid w:val="000466EE"/>
    <w:rsid w:val="0004796C"/>
    <w:rsid w:val="00047DA9"/>
    <w:rsid w:val="00047DC9"/>
    <w:rsid w:val="00051E1C"/>
    <w:rsid w:val="00051FB8"/>
    <w:rsid w:val="000521C8"/>
    <w:rsid w:val="00052B0B"/>
    <w:rsid w:val="00052F8C"/>
    <w:rsid w:val="00053C76"/>
    <w:rsid w:val="0005429B"/>
    <w:rsid w:val="000543E0"/>
    <w:rsid w:val="00054C5C"/>
    <w:rsid w:val="00054F2D"/>
    <w:rsid w:val="00056FDB"/>
    <w:rsid w:val="00057265"/>
    <w:rsid w:val="00057AEC"/>
    <w:rsid w:val="0006043B"/>
    <w:rsid w:val="00063CEE"/>
    <w:rsid w:val="00065B14"/>
    <w:rsid w:val="0006600F"/>
    <w:rsid w:val="000660D9"/>
    <w:rsid w:val="000665ED"/>
    <w:rsid w:val="00066C90"/>
    <w:rsid w:val="000670F4"/>
    <w:rsid w:val="000672C3"/>
    <w:rsid w:val="000700A9"/>
    <w:rsid w:val="0007159E"/>
    <w:rsid w:val="0007213E"/>
    <w:rsid w:val="00072764"/>
    <w:rsid w:val="0007293D"/>
    <w:rsid w:val="00073791"/>
    <w:rsid w:val="00073BE8"/>
    <w:rsid w:val="00077297"/>
    <w:rsid w:val="00077B14"/>
    <w:rsid w:val="00080A33"/>
    <w:rsid w:val="0008160A"/>
    <w:rsid w:val="00081F81"/>
    <w:rsid w:val="0008302E"/>
    <w:rsid w:val="0008431D"/>
    <w:rsid w:val="000849F5"/>
    <w:rsid w:val="00084DB8"/>
    <w:rsid w:val="0008524B"/>
    <w:rsid w:val="0008534A"/>
    <w:rsid w:val="00085707"/>
    <w:rsid w:val="00085C3A"/>
    <w:rsid w:val="00086D31"/>
    <w:rsid w:val="00087159"/>
    <w:rsid w:val="00087665"/>
    <w:rsid w:val="000877EA"/>
    <w:rsid w:val="0009014D"/>
    <w:rsid w:val="000904E1"/>
    <w:rsid w:val="000906B1"/>
    <w:rsid w:val="000908C9"/>
    <w:rsid w:val="000918BB"/>
    <w:rsid w:val="00091991"/>
    <w:rsid w:val="00091C53"/>
    <w:rsid w:val="00091D7E"/>
    <w:rsid w:val="0009380F"/>
    <w:rsid w:val="000938B4"/>
    <w:rsid w:val="0009478C"/>
    <w:rsid w:val="00094A80"/>
    <w:rsid w:val="00094E96"/>
    <w:rsid w:val="00096D46"/>
    <w:rsid w:val="000A019A"/>
    <w:rsid w:val="000A0C6B"/>
    <w:rsid w:val="000A7542"/>
    <w:rsid w:val="000A7DA2"/>
    <w:rsid w:val="000B088B"/>
    <w:rsid w:val="000B13AB"/>
    <w:rsid w:val="000B1BBF"/>
    <w:rsid w:val="000B3B85"/>
    <w:rsid w:val="000B4150"/>
    <w:rsid w:val="000B43BA"/>
    <w:rsid w:val="000B47FF"/>
    <w:rsid w:val="000B4C01"/>
    <w:rsid w:val="000B4CFE"/>
    <w:rsid w:val="000B4F13"/>
    <w:rsid w:val="000B61C8"/>
    <w:rsid w:val="000B66FB"/>
    <w:rsid w:val="000B7C46"/>
    <w:rsid w:val="000C00CE"/>
    <w:rsid w:val="000C1344"/>
    <w:rsid w:val="000C1A5D"/>
    <w:rsid w:val="000C1A94"/>
    <w:rsid w:val="000C42EA"/>
    <w:rsid w:val="000C432C"/>
    <w:rsid w:val="000C484F"/>
    <w:rsid w:val="000C4F03"/>
    <w:rsid w:val="000C618C"/>
    <w:rsid w:val="000D0219"/>
    <w:rsid w:val="000D023A"/>
    <w:rsid w:val="000D154D"/>
    <w:rsid w:val="000D1712"/>
    <w:rsid w:val="000D1958"/>
    <w:rsid w:val="000D2697"/>
    <w:rsid w:val="000D4203"/>
    <w:rsid w:val="000D4BE7"/>
    <w:rsid w:val="000D4C31"/>
    <w:rsid w:val="000D542C"/>
    <w:rsid w:val="000D6186"/>
    <w:rsid w:val="000D6932"/>
    <w:rsid w:val="000D79BF"/>
    <w:rsid w:val="000D7E45"/>
    <w:rsid w:val="000E0001"/>
    <w:rsid w:val="000E0657"/>
    <w:rsid w:val="000E0876"/>
    <w:rsid w:val="000E1354"/>
    <w:rsid w:val="000E208B"/>
    <w:rsid w:val="000E22BC"/>
    <w:rsid w:val="000E2597"/>
    <w:rsid w:val="000E29F4"/>
    <w:rsid w:val="000E370F"/>
    <w:rsid w:val="000E3BFB"/>
    <w:rsid w:val="000E4FE1"/>
    <w:rsid w:val="000E548A"/>
    <w:rsid w:val="000E5C67"/>
    <w:rsid w:val="000E5EDC"/>
    <w:rsid w:val="000E762E"/>
    <w:rsid w:val="000F03CB"/>
    <w:rsid w:val="000F071F"/>
    <w:rsid w:val="000F0B7F"/>
    <w:rsid w:val="000F10E7"/>
    <w:rsid w:val="000F1C52"/>
    <w:rsid w:val="000F205F"/>
    <w:rsid w:val="000F291C"/>
    <w:rsid w:val="000F304E"/>
    <w:rsid w:val="000F3749"/>
    <w:rsid w:val="000F53A6"/>
    <w:rsid w:val="000F53E7"/>
    <w:rsid w:val="000F5AA6"/>
    <w:rsid w:val="000F6618"/>
    <w:rsid w:val="000F6B68"/>
    <w:rsid w:val="000F6C51"/>
    <w:rsid w:val="000F7DA6"/>
    <w:rsid w:val="00101114"/>
    <w:rsid w:val="001011E5"/>
    <w:rsid w:val="001013C7"/>
    <w:rsid w:val="0010151E"/>
    <w:rsid w:val="00101DCD"/>
    <w:rsid w:val="00102A08"/>
    <w:rsid w:val="00104392"/>
    <w:rsid w:val="00104E7C"/>
    <w:rsid w:val="0010559F"/>
    <w:rsid w:val="001059BE"/>
    <w:rsid w:val="001060CA"/>
    <w:rsid w:val="0010661C"/>
    <w:rsid w:val="00106A31"/>
    <w:rsid w:val="00106D30"/>
    <w:rsid w:val="00107394"/>
    <w:rsid w:val="001076D5"/>
    <w:rsid w:val="00107885"/>
    <w:rsid w:val="00110799"/>
    <w:rsid w:val="00110FE5"/>
    <w:rsid w:val="00113CAA"/>
    <w:rsid w:val="0011459B"/>
    <w:rsid w:val="0011473A"/>
    <w:rsid w:val="0011562F"/>
    <w:rsid w:val="001175CB"/>
    <w:rsid w:val="0012008E"/>
    <w:rsid w:val="00120501"/>
    <w:rsid w:val="00120BCF"/>
    <w:rsid w:val="00121BC8"/>
    <w:rsid w:val="00122322"/>
    <w:rsid w:val="001238DD"/>
    <w:rsid w:val="0012400B"/>
    <w:rsid w:val="0012410A"/>
    <w:rsid w:val="001252FC"/>
    <w:rsid w:val="001255AC"/>
    <w:rsid w:val="00126476"/>
    <w:rsid w:val="00126E23"/>
    <w:rsid w:val="00127801"/>
    <w:rsid w:val="001278B0"/>
    <w:rsid w:val="00127AF6"/>
    <w:rsid w:val="00127F06"/>
    <w:rsid w:val="00127F78"/>
    <w:rsid w:val="00130097"/>
    <w:rsid w:val="001307CE"/>
    <w:rsid w:val="00132CBE"/>
    <w:rsid w:val="00135321"/>
    <w:rsid w:val="001357B4"/>
    <w:rsid w:val="00135E7A"/>
    <w:rsid w:val="001376DF"/>
    <w:rsid w:val="00140CBD"/>
    <w:rsid w:val="00141048"/>
    <w:rsid w:val="001410AB"/>
    <w:rsid w:val="001410CB"/>
    <w:rsid w:val="00142EBF"/>
    <w:rsid w:val="00143533"/>
    <w:rsid w:val="001435D8"/>
    <w:rsid w:val="00143E47"/>
    <w:rsid w:val="001445D5"/>
    <w:rsid w:val="0014505E"/>
    <w:rsid w:val="001456CA"/>
    <w:rsid w:val="00146C9F"/>
    <w:rsid w:val="00147D7A"/>
    <w:rsid w:val="00151003"/>
    <w:rsid w:val="001515F0"/>
    <w:rsid w:val="0015231E"/>
    <w:rsid w:val="001526E2"/>
    <w:rsid w:val="00152BC9"/>
    <w:rsid w:val="00152E3C"/>
    <w:rsid w:val="00152EC4"/>
    <w:rsid w:val="00153235"/>
    <w:rsid w:val="00153C22"/>
    <w:rsid w:val="00154355"/>
    <w:rsid w:val="00154B88"/>
    <w:rsid w:val="00154F7D"/>
    <w:rsid w:val="0015629C"/>
    <w:rsid w:val="00156931"/>
    <w:rsid w:val="00156BD8"/>
    <w:rsid w:val="00156DBB"/>
    <w:rsid w:val="00157654"/>
    <w:rsid w:val="001577B8"/>
    <w:rsid w:val="00160092"/>
    <w:rsid w:val="001606C2"/>
    <w:rsid w:val="00160EC7"/>
    <w:rsid w:val="00161121"/>
    <w:rsid w:val="001616B1"/>
    <w:rsid w:val="00161780"/>
    <w:rsid w:val="00162115"/>
    <w:rsid w:val="001622B6"/>
    <w:rsid w:val="00162531"/>
    <w:rsid w:val="00163334"/>
    <w:rsid w:val="00163613"/>
    <w:rsid w:val="00163C0F"/>
    <w:rsid w:val="00164A5C"/>
    <w:rsid w:val="001651F6"/>
    <w:rsid w:val="00165850"/>
    <w:rsid w:val="00165DA8"/>
    <w:rsid w:val="00166F4F"/>
    <w:rsid w:val="0017069E"/>
    <w:rsid w:val="00171561"/>
    <w:rsid w:val="001739AF"/>
    <w:rsid w:val="00174A3D"/>
    <w:rsid w:val="00175439"/>
    <w:rsid w:val="00176665"/>
    <w:rsid w:val="001776D2"/>
    <w:rsid w:val="001804C0"/>
    <w:rsid w:val="0018130E"/>
    <w:rsid w:val="00181DA0"/>
    <w:rsid w:val="00182D9E"/>
    <w:rsid w:val="0018435D"/>
    <w:rsid w:val="001846C2"/>
    <w:rsid w:val="0018516D"/>
    <w:rsid w:val="0018516F"/>
    <w:rsid w:val="00185628"/>
    <w:rsid w:val="001862F4"/>
    <w:rsid w:val="00187CAA"/>
    <w:rsid w:val="00190746"/>
    <w:rsid w:val="001919A5"/>
    <w:rsid w:val="00192423"/>
    <w:rsid w:val="001947DC"/>
    <w:rsid w:val="00194922"/>
    <w:rsid w:val="00194AFC"/>
    <w:rsid w:val="001966BE"/>
    <w:rsid w:val="00196952"/>
    <w:rsid w:val="00196A51"/>
    <w:rsid w:val="0019746F"/>
    <w:rsid w:val="001A029B"/>
    <w:rsid w:val="001A0717"/>
    <w:rsid w:val="001A07D4"/>
    <w:rsid w:val="001A0CBC"/>
    <w:rsid w:val="001A1D32"/>
    <w:rsid w:val="001A22A1"/>
    <w:rsid w:val="001A2321"/>
    <w:rsid w:val="001A285A"/>
    <w:rsid w:val="001A2F28"/>
    <w:rsid w:val="001A3720"/>
    <w:rsid w:val="001A38E1"/>
    <w:rsid w:val="001A3EE8"/>
    <w:rsid w:val="001A4363"/>
    <w:rsid w:val="001A43A1"/>
    <w:rsid w:val="001A54C9"/>
    <w:rsid w:val="001A5CA1"/>
    <w:rsid w:val="001A616E"/>
    <w:rsid w:val="001A6294"/>
    <w:rsid w:val="001A690F"/>
    <w:rsid w:val="001A6BD1"/>
    <w:rsid w:val="001A6EDC"/>
    <w:rsid w:val="001A6F1D"/>
    <w:rsid w:val="001A719A"/>
    <w:rsid w:val="001A73E5"/>
    <w:rsid w:val="001A7A08"/>
    <w:rsid w:val="001B07BA"/>
    <w:rsid w:val="001B12AE"/>
    <w:rsid w:val="001B1E60"/>
    <w:rsid w:val="001B25A7"/>
    <w:rsid w:val="001B3347"/>
    <w:rsid w:val="001B4F13"/>
    <w:rsid w:val="001B5C50"/>
    <w:rsid w:val="001B7000"/>
    <w:rsid w:val="001B7240"/>
    <w:rsid w:val="001B7883"/>
    <w:rsid w:val="001B7FE2"/>
    <w:rsid w:val="001C02AB"/>
    <w:rsid w:val="001C131F"/>
    <w:rsid w:val="001C2973"/>
    <w:rsid w:val="001C3161"/>
    <w:rsid w:val="001C386B"/>
    <w:rsid w:val="001C4407"/>
    <w:rsid w:val="001C5155"/>
    <w:rsid w:val="001C54D8"/>
    <w:rsid w:val="001C5819"/>
    <w:rsid w:val="001C6C97"/>
    <w:rsid w:val="001C6E47"/>
    <w:rsid w:val="001C74CD"/>
    <w:rsid w:val="001C7504"/>
    <w:rsid w:val="001C76AC"/>
    <w:rsid w:val="001D01EF"/>
    <w:rsid w:val="001D0599"/>
    <w:rsid w:val="001D0F60"/>
    <w:rsid w:val="001D1E85"/>
    <w:rsid w:val="001D1F7B"/>
    <w:rsid w:val="001D23E0"/>
    <w:rsid w:val="001D29C4"/>
    <w:rsid w:val="001D49FB"/>
    <w:rsid w:val="001D6DC9"/>
    <w:rsid w:val="001D6E9C"/>
    <w:rsid w:val="001D742C"/>
    <w:rsid w:val="001D7756"/>
    <w:rsid w:val="001E0571"/>
    <w:rsid w:val="001E08D3"/>
    <w:rsid w:val="001E091E"/>
    <w:rsid w:val="001E100F"/>
    <w:rsid w:val="001E14C7"/>
    <w:rsid w:val="001E1FB2"/>
    <w:rsid w:val="001E1FC3"/>
    <w:rsid w:val="001E25FD"/>
    <w:rsid w:val="001E393F"/>
    <w:rsid w:val="001E3943"/>
    <w:rsid w:val="001E42C2"/>
    <w:rsid w:val="001E5638"/>
    <w:rsid w:val="001E5F42"/>
    <w:rsid w:val="001E709F"/>
    <w:rsid w:val="001E73C0"/>
    <w:rsid w:val="001F165C"/>
    <w:rsid w:val="001F184B"/>
    <w:rsid w:val="001F1906"/>
    <w:rsid w:val="001F1E19"/>
    <w:rsid w:val="001F1E3C"/>
    <w:rsid w:val="001F22A4"/>
    <w:rsid w:val="001F2C2A"/>
    <w:rsid w:val="001F3152"/>
    <w:rsid w:val="001F31FF"/>
    <w:rsid w:val="001F48E5"/>
    <w:rsid w:val="001F50E2"/>
    <w:rsid w:val="001F5440"/>
    <w:rsid w:val="001F59C9"/>
    <w:rsid w:val="001F5AB7"/>
    <w:rsid w:val="001F6E22"/>
    <w:rsid w:val="001F75F9"/>
    <w:rsid w:val="002000C2"/>
    <w:rsid w:val="00200148"/>
    <w:rsid w:val="0020020E"/>
    <w:rsid w:val="002011CA"/>
    <w:rsid w:val="00201919"/>
    <w:rsid w:val="00201A35"/>
    <w:rsid w:val="0020258C"/>
    <w:rsid w:val="00202BC1"/>
    <w:rsid w:val="00202F22"/>
    <w:rsid w:val="00203458"/>
    <w:rsid w:val="00203D7A"/>
    <w:rsid w:val="002048CA"/>
    <w:rsid w:val="0020495E"/>
    <w:rsid w:val="00204EAA"/>
    <w:rsid w:val="002050B9"/>
    <w:rsid w:val="002054EA"/>
    <w:rsid w:val="0020641B"/>
    <w:rsid w:val="00206D38"/>
    <w:rsid w:val="00207DDB"/>
    <w:rsid w:val="00207E45"/>
    <w:rsid w:val="0021068C"/>
    <w:rsid w:val="00210880"/>
    <w:rsid w:val="00212856"/>
    <w:rsid w:val="00212E5D"/>
    <w:rsid w:val="0021371A"/>
    <w:rsid w:val="00213AB8"/>
    <w:rsid w:val="00213DAB"/>
    <w:rsid w:val="002141AC"/>
    <w:rsid w:val="002141DF"/>
    <w:rsid w:val="002146BA"/>
    <w:rsid w:val="00215960"/>
    <w:rsid w:val="00215B57"/>
    <w:rsid w:val="00215B6D"/>
    <w:rsid w:val="00216397"/>
    <w:rsid w:val="002169BB"/>
    <w:rsid w:val="00217E81"/>
    <w:rsid w:val="00217FB3"/>
    <w:rsid w:val="002201C2"/>
    <w:rsid w:val="0022042A"/>
    <w:rsid w:val="0022065E"/>
    <w:rsid w:val="0022239A"/>
    <w:rsid w:val="00222431"/>
    <w:rsid w:val="002226A5"/>
    <w:rsid w:val="002227F8"/>
    <w:rsid w:val="00222FD1"/>
    <w:rsid w:val="00223134"/>
    <w:rsid w:val="00223D80"/>
    <w:rsid w:val="00224B9F"/>
    <w:rsid w:val="00225EEC"/>
    <w:rsid w:val="00226E88"/>
    <w:rsid w:val="00226FA0"/>
    <w:rsid w:val="00227DAC"/>
    <w:rsid w:val="00230358"/>
    <w:rsid w:val="00231A79"/>
    <w:rsid w:val="0023235E"/>
    <w:rsid w:val="002332DF"/>
    <w:rsid w:val="002335BF"/>
    <w:rsid w:val="00233699"/>
    <w:rsid w:val="002345F7"/>
    <w:rsid w:val="00234A99"/>
    <w:rsid w:val="00234AC5"/>
    <w:rsid w:val="00234B45"/>
    <w:rsid w:val="00234D20"/>
    <w:rsid w:val="002353B1"/>
    <w:rsid w:val="00235659"/>
    <w:rsid w:val="00235AEB"/>
    <w:rsid w:val="00235FE6"/>
    <w:rsid w:val="00237108"/>
    <w:rsid w:val="002377FA"/>
    <w:rsid w:val="00240BCA"/>
    <w:rsid w:val="00242E7C"/>
    <w:rsid w:val="00243DD7"/>
    <w:rsid w:val="00244952"/>
    <w:rsid w:val="00244AFD"/>
    <w:rsid w:val="002458EB"/>
    <w:rsid w:val="00245F24"/>
    <w:rsid w:val="0024645D"/>
    <w:rsid w:val="00246589"/>
    <w:rsid w:val="002465B9"/>
    <w:rsid w:val="00250073"/>
    <w:rsid w:val="002505F2"/>
    <w:rsid w:val="00250B2D"/>
    <w:rsid w:val="00250C67"/>
    <w:rsid w:val="00251A09"/>
    <w:rsid w:val="0025207C"/>
    <w:rsid w:val="002523DE"/>
    <w:rsid w:val="00252A81"/>
    <w:rsid w:val="00252E2F"/>
    <w:rsid w:val="00253B4A"/>
    <w:rsid w:val="00254423"/>
    <w:rsid w:val="002544A5"/>
    <w:rsid w:val="00254DD9"/>
    <w:rsid w:val="00256624"/>
    <w:rsid w:val="00256BDB"/>
    <w:rsid w:val="00256C6E"/>
    <w:rsid w:val="00260297"/>
    <w:rsid w:val="002602D5"/>
    <w:rsid w:val="002610D4"/>
    <w:rsid w:val="0026114C"/>
    <w:rsid w:val="002618E5"/>
    <w:rsid w:val="00261E99"/>
    <w:rsid w:val="002621B4"/>
    <w:rsid w:val="00262A67"/>
    <w:rsid w:val="00262D48"/>
    <w:rsid w:val="00263DED"/>
    <w:rsid w:val="00265497"/>
    <w:rsid w:val="002659FD"/>
    <w:rsid w:val="00267421"/>
    <w:rsid w:val="002678B2"/>
    <w:rsid w:val="002703FD"/>
    <w:rsid w:val="002713A2"/>
    <w:rsid w:val="002716B8"/>
    <w:rsid w:val="00271BA3"/>
    <w:rsid w:val="002720C5"/>
    <w:rsid w:val="00272EF0"/>
    <w:rsid w:val="0027386E"/>
    <w:rsid w:val="00274380"/>
    <w:rsid w:val="00274E9A"/>
    <w:rsid w:val="00274EBF"/>
    <w:rsid w:val="00275E18"/>
    <w:rsid w:val="00275F48"/>
    <w:rsid w:val="0027618F"/>
    <w:rsid w:val="002773FF"/>
    <w:rsid w:val="002775A8"/>
    <w:rsid w:val="00281E23"/>
    <w:rsid w:val="0028264D"/>
    <w:rsid w:val="00282958"/>
    <w:rsid w:val="00282EA0"/>
    <w:rsid w:val="00286E82"/>
    <w:rsid w:val="00291754"/>
    <w:rsid w:val="00291A7D"/>
    <w:rsid w:val="002926CC"/>
    <w:rsid w:val="0029344B"/>
    <w:rsid w:val="00294054"/>
    <w:rsid w:val="00294438"/>
    <w:rsid w:val="00294817"/>
    <w:rsid w:val="00294F9F"/>
    <w:rsid w:val="0029536A"/>
    <w:rsid w:val="00295418"/>
    <w:rsid w:val="00295606"/>
    <w:rsid w:val="002967F0"/>
    <w:rsid w:val="00296ECC"/>
    <w:rsid w:val="00296FFF"/>
    <w:rsid w:val="002A1747"/>
    <w:rsid w:val="002A2E69"/>
    <w:rsid w:val="002A324C"/>
    <w:rsid w:val="002A3A59"/>
    <w:rsid w:val="002A3B57"/>
    <w:rsid w:val="002A451A"/>
    <w:rsid w:val="002A4F83"/>
    <w:rsid w:val="002A5CD5"/>
    <w:rsid w:val="002A65BC"/>
    <w:rsid w:val="002A7DC1"/>
    <w:rsid w:val="002B050B"/>
    <w:rsid w:val="002B06CE"/>
    <w:rsid w:val="002B1E0A"/>
    <w:rsid w:val="002B2F41"/>
    <w:rsid w:val="002B3411"/>
    <w:rsid w:val="002B38C7"/>
    <w:rsid w:val="002B3B06"/>
    <w:rsid w:val="002B3E8B"/>
    <w:rsid w:val="002B48E3"/>
    <w:rsid w:val="002B51E9"/>
    <w:rsid w:val="002B5C7D"/>
    <w:rsid w:val="002B6183"/>
    <w:rsid w:val="002B710E"/>
    <w:rsid w:val="002B7DE1"/>
    <w:rsid w:val="002C1D04"/>
    <w:rsid w:val="002C24B8"/>
    <w:rsid w:val="002C2949"/>
    <w:rsid w:val="002C3279"/>
    <w:rsid w:val="002D0270"/>
    <w:rsid w:val="002D2E4D"/>
    <w:rsid w:val="002D33F2"/>
    <w:rsid w:val="002D3A5F"/>
    <w:rsid w:val="002D41F5"/>
    <w:rsid w:val="002D48E5"/>
    <w:rsid w:val="002D50E1"/>
    <w:rsid w:val="002D680C"/>
    <w:rsid w:val="002D7CFD"/>
    <w:rsid w:val="002E0D9E"/>
    <w:rsid w:val="002E1B61"/>
    <w:rsid w:val="002E1D04"/>
    <w:rsid w:val="002E1F7A"/>
    <w:rsid w:val="002E2A56"/>
    <w:rsid w:val="002E309D"/>
    <w:rsid w:val="002E3E33"/>
    <w:rsid w:val="002E412F"/>
    <w:rsid w:val="002E4465"/>
    <w:rsid w:val="002E4823"/>
    <w:rsid w:val="002E4BDC"/>
    <w:rsid w:val="002E5F9E"/>
    <w:rsid w:val="002E62B1"/>
    <w:rsid w:val="002E67F8"/>
    <w:rsid w:val="002E6921"/>
    <w:rsid w:val="002E7702"/>
    <w:rsid w:val="002F0711"/>
    <w:rsid w:val="002F106A"/>
    <w:rsid w:val="002F216E"/>
    <w:rsid w:val="002F27FE"/>
    <w:rsid w:val="002F2BCB"/>
    <w:rsid w:val="002F2CA8"/>
    <w:rsid w:val="002F33C8"/>
    <w:rsid w:val="002F3922"/>
    <w:rsid w:val="002F3E9C"/>
    <w:rsid w:val="002F3F9C"/>
    <w:rsid w:val="002F4090"/>
    <w:rsid w:val="002F42FC"/>
    <w:rsid w:val="002F4D0E"/>
    <w:rsid w:val="002F5F79"/>
    <w:rsid w:val="002F6FDD"/>
    <w:rsid w:val="002F7620"/>
    <w:rsid w:val="002F77E4"/>
    <w:rsid w:val="003001B5"/>
    <w:rsid w:val="003013DC"/>
    <w:rsid w:val="003022FB"/>
    <w:rsid w:val="00302455"/>
    <w:rsid w:val="00303980"/>
    <w:rsid w:val="00303EA5"/>
    <w:rsid w:val="003040BA"/>
    <w:rsid w:val="00304C7D"/>
    <w:rsid w:val="00304E85"/>
    <w:rsid w:val="003050A5"/>
    <w:rsid w:val="003061E8"/>
    <w:rsid w:val="00306DEA"/>
    <w:rsid w:val="00310A06"/>
    <w:rsid w:val="00313AA1"/>
    <w:rsid w:val="00313AB7"/>
    <w:rsid w:val="0031417D"/>
    <w:rsid w:val="00314235"/>
    <w:rsid w:val="0031442A"/>
    <w:rsid w:val="00314C0A"/>
    <w:rsid w:val="0031516F"/>
    <w:rsid w:val="0031625A"/>
    <w:rsid w:val="003163CB"/>
    <w:rsid w:val="0031687C"/>
    <w:rsid w:val="00317648"/>
    <w:rsid w:val="00320061"/>
    <w:rsid w:val="00321FC1"/>
    <w:rsid w:val="00322595"/>
    <w:rsid w:val="003229AC"/>
    <w:rsid w:val="00323702"/>
    <w:rsid w:val="0032445C"/>
    <w:rsid w:val="003253D3"/>
    <w:rsid w:val="00325B04"/>
    <w:rsid w:val="00326131"/>
    <w:rsid w:val="003264F0"/>
    <w:rsid w:val="00327167"/>
    <w:rsid w:val="00327A06"/>
    <w:rsid w:val="0033033A"/>
    <w:rsid w:val="003304C8"/>
    <w:rsid w:val="00330A1A"/>
    <w:rsid w:val="00330AB3"/>
    <w:rsid w:val="0033114E"/>
    <w:rsid w:val="003313AC"/>
    <w:rsid w:val="0033167E"/>
    <w:rsid w:val="003317C3"/>
    <w:rsid w:val="003344B2"/>
    <w:rsid w:val="00334C10"/>
    <w:rsid w:val="00334CA6"/>
    <w:rsid w:val="00334F80"/>
    <w:rsid w:val="00335D80"/>
    <w:rsid w:val="003373EB"/>
    <w:rsid w:val="003375E3"/>
    <w:rsid w:val="0033779A"/>
    <w:rsid w:val="003409D3"/>
    <w:rsid w:val="00340A1C"/>
    <w:rsid w:val="00340A3E"/>
    <w:rsid w:val="00340A61"/>
    <w:rsid w:val="00340BBA"/>
    <w:rsid w:val="00342C95"/>
    <w:rsid w:val="00344478"/>
    <w:rsid w:val="00344C32"/>
    <w:rsid w:val="00344DCF"/>
    <w:rsid w:val="003454A1"/>
    <w:rsid w:val="00345EB6"/>
    <w:rsid w:val="003465E9"/>
    <w:rsid w:val="00346695"/>
    <w:rsid w:val="00346ACC"/>
    <w:rsid w:val="00347113"/>
    <w:rsid w:val="00347A09"/>
    <w:rsid w:val="003506B0"/>
    <w:rsid w:val="00350F31"/>
    <w:rsid w:val="003511ED"/>
    <w:rsid w:val="00352D1B"/>
    <w:rsid w:val="0035352E"/>
    <w:rsid w:val="003538D0"/>
    <w:rsid w:val="00353DE9"/>
    <w:rsid w:val="00353E6C"/>
    <w:rsid w:val="00354CCF"/>
    <w:rsid w:val="00355262"/>
    <w:rsid w:val="00355D6E"/>
    <w:rsid w:val="00355FE2"/>
    <w:rsid w:val="003561B1"/>
    <w:rsid w:val="003564FD"/>
    <w:rsid w:val="0035739F"/>
    <w:rsid w:val="0035759B"/>
    <w:rsid w:val="00357A6A"/>
    <w:rsid w:val="0036099A"/>
    <w:rsid w:val="00360AB7"/>
    <w:rsid w:val="003624E3"/>
    <w:rsid w:val="00362622"/>
    <w:rsid w:val="00362FE1"/>
    <w:rsid w:val="00363EDD"/>
    <w:rsid w:val="0036403C"/>
    <w:rsid w:val="003645D1"/>
    <w:rsid w:val="00365021"/>
    <w:rsid w:val="003670C6"/>
    <w:rsid w:val="003710DC"/>
    <w:rsid w:val="00371BBE"/>
    <w:rsid w:val="00371DFA"/>
    <w:rsid w:val="0037295A"/>
    <w:rsid w:val="00373BCE"/>
    <w:rsid w:val="00373DC8"/>
    <w:rsid w:val="00377B32"/>
    <w:rsid w:val="0038018F"/>
    <w:rsid w:val="00380FE7"/>
    <w:rsid w:val="003814B2"/>
    <w:rsid w:val="00382842"/>
    <w:rsid w:val="00382DF4"/>
    <w:rsid w:val="00382F2E"/>
    <w:rsid w:val="00383192"/>
    <w:rsid w:val="00383A1F"/>
    <w:rsid w:val="00383F75"/>
    <w:rsid w:val="0038447A"/>
    <w:rsid w:val="00384E26"/>
    <w:rsid w:val="003855DD"/>
    <w:rsid w:val="00385604"/>
    <w:rsid w:val="00386291"/>
    <w:rsid w:val="00386F68"/>
    <w:rsid w:val="0038777C"/>
    <w:rsid w:val="00387C0A"/>
    <w:rsid w:val="00387E32"/>
    <w:rsid w:val="00390B64"/>
    <w:rsid w:val="00390E5A"/>
    <w:rsid w:val="0039203D"/>
    <w:rsid w:val="00392695"/>
    <w:rsid w:val="003931C3"/>
    <w:rsid w:val="00393E9B"/>
    <w:rsid w:val="0039413B"/>
    <w:rsid w:val="003946C2"/>
    <w:rsid w:val="0039557D"/>
    <w:rsid w:val="00396634"/>
    <w:rsid w:val="00396F43"/>
    <w:rsid w:val="003979FB"/>
    <w:rsid w:val="00397B34"/>
    <w:rsid w:val="003A0213"/>
    <w:rsid w:val="003A05AE"/>
    <w:rsid w:val="003A0EBB"/>
    <w:rsid w:val="003A221C"/>
    <w:rsid w:val="003A2A2D"/>
    <w:rsid w:val="003A2F6E"/>
    <w:rsid w:val="003A3300"/>
    <w:rsid w:val="003A4538"/>
    <w:rsid w:val="003A4EB2"/>
    <w:rsid w:val="003A51BA"/>
    <w:rsid w:val="003A5410"/>
    <w:rsid w:val="003A620F"/>
    <w:rsid w:val="003A6452"/>
    <w:rsid w:val="003B0392"/>
    <w:rsid w:val="003B1080"/>
    <w:rsid w:val="003B43D4"/>
    <w:rsid w:val="003B45C4"/>
    <w:rsid w:val="003B48B8"/>
    <w:rsid w:val="003B4D9E"/>
    <w:rsid w:val="003B5751"/>
    <w:rsid w:val="003B57D1"/>
    <w:rsid w:val="003B66A2"/>
    <w:rsid w:val="003B6862"/>
    <w:rsid w:val="003B6F27"/>
    <w:rsid w:val="003B7755"/>
    <w:rsid w:val="003B794F"/>
    <w:rsid w:val="003B7B63"/>
    <w:rsid w:val="003C0002"/>
    <w:rsid w:val="003C1DFE"/>
    <w:rsid w:val="003C28D3"/>
    <w:rsid w:val="003C3C06"/>
    <w:rsid w:val="003C5840"/>
    <w:rsid w:val="003C5ACC"/>
    <w:rsid w:val="003C61C4"/>
    <w:rsid w:val="003C6346"/>
    <w:rsid w:val="003C6AFD"/>
    <w:rsid w:val="003D134E"/>
    <w:rsid w:val="003D2239"/>
    <w:rsid w:val="003D235F"/>
    <w:rsid w:val="003D3238"/>
    <w:rsid w:val="003D326E"/>
    <w:rsid w:val="003D3C2C"/>
    <w:rsid w:val="003D65F6"/>
    <w:rsid w:val="003D6DF7"/>
    <w:rsid w:val="003D7B4A"/>
    <w:rsid w:val="003D7BF9"/>
    <w:rsid w:val="003E0261"/>
    <w:rsid w:val="003E0A0A"/>
    <w:rsid w:val="003E115E"/>
    <w:rsid w:val="003E188A"/>
    <w:rsid w:val="003E1E3A"/>
    <w:rsid w:val="003E20DC"/>
    <w:rsid w:val="003E2178"/>
    <w:rsid w:val="003E350D"/>
    <w:rsid w:val="003E3697"/>
    <w:rsid w:val="003E37CD"/>
    <w:rsid w:val="003E3B98"/>
    <w:rsid w:val="003E432E"/>
    <w:rsid w:val="003E4AE5"/>
    <w:rsid w:val="003E4C38"/>
    <w:rsid w:val="003E572A"/>
    <w:rsid w:val="003E58C0"/>
    <w:rsid w:val="003E5AD6"/>
    <w:rsid w:val="003E5F2F"/>
    <w:rsid w:val="003E6117"/>
    <w:rsid w:val="003E6AA0"/>
    <w:rsid w:val="003E6F94"/>
    <w:rsid w:val="003E71D1"/>
    <w:rsid w:val="003F0902"/>
    <w:rsid w:val="003F113C"/>
    <w:rsid w:val="003F130C"/>
    <w:rsid w:val="003F150A"/>
    <w:rsid w:val="003F1EAF"/>
    <w:rsid w:val="003F1EDE"/>
    <w:rsid w:val="003F26A4"/>
    <w:rsid w:val="003F335B"/>
    <w:rsid w:val="003F4BB3"/>
    <w:rsid w:val="003F52F3"/>
    <w:rsid w:val="003F57B1"/>
    <w:rsid w:val="003F598E"/>
    <w:rsid w:val="003F59A1"/>
    <w:rsid w:val="003F6328"/>
    <w:rsid w:val="003F69B3"/>
    <w:rsid w:val="003F7B0B"/>
    <w:rsid w:val="00400564"/>
    <w:rsid w:val="004009FF"/>
    <w:rsid w:val="00400D9B"/>
    <w:rsid w:val="0040250A"/>
    <w:rsid w:val="00402915"/>
    <w:rsid w:val="00403B7A"/>
    <w:rsid w:val="00404136"/>
    <w:rsid w:val="004056AF"/>
    <w:rsid w:val="00406C64"/>
    <w:rsid w:val="00406DBF"/>
    <w:rsid w:val="00407169"/>
    <w:rsid w:val="004077CB"/>
    <w:rsid w:val="0041026C"/>
    <w:rsid w:val="00410604"/>
    <w:rsid w:val="00410DB1"/>
    <w:rsid w:val="00412438"/>
    <w:rsid w:val="004129C3"/>
    <w:rsid w:val="00414E78"/>
    <w:rsid w:val="00415683"/>
    <w:rsid w:val="00415D29"/>
    <w:rsid w:val="004167D7"/>
    <w:rsid w:val="00416BA9"/>
    <w:rsid w:val="00416C09"/>
    <w:rsid w:val="004177CE"/>
    <w:rsid w:val="00420484"/>
    <w:rsid w:val="004206C3"/>
    <w:rsid w:val="0042082D"/>
    <w:rsid w:val="00422CA6"/>
    <w:rsid w:val="004234B8"/>
    <w:rsid w:val="00424AF6"/>
    <w:rsid w:val="00424D16"/>
    <w:rsid w:val="00424FFB"/>
    <w:rsid w:val="004260FF"/>
    <w:rsid w:val="004264E8"/>
    <w:rsid w:val="004266B9"/>
    <w:rsid w:val="00426750"/>
    <w:rsid w:val="00427130"/>
    <w:rsid w:val="00427EAC"/>
    <w:rsid w:val="00430CD5"/>
    <w:rsid w:val="00430EA2"/>
    <w:rsid w:val="00431BCC"/>
    <w:rsid w:val="00431E5F"/>
    <w:rsid w:val="00431FA9"/>
    <w:rsid w:val="004322C3"/>
    <w:rsid w:val="00433746"/>
    <w:rsid w:val="004346A7"/>
    <w:rsid w:val="00435E6A"/>
    <w:rsid w:val="004369A9"/>
    <w:rsid w:val="00437091"/>
    <w:rsid w:val="00440715"/>
    <w:rsid w:val="004407BA"/>
    <w:rsid w:val="00440C7F"/>
    <w:rsid w:val="00440CE5"/>
    <w:rsid w:val="00441D98"/>
    <w:rsid w:val="00442176"/>
    <w:rsid w:val="004427FC"/>
    <w:rsid w:val="0044331B"/>
    <w:rsid w:val="0044363F"/>
    <w:rsid w:val="00443711"/>
    <w:rsid w:val="00443BAE"/>
    <w:rsid w:val="00444130"/>
    <w:rsid w:val="00444959"/>
    <w:rsid w:val="0044679C"/>
    <w:rsid w:val="00446EA7"/>
    <w:rsid w:val="00447786"/>
    <w:rsid w:val="00452172"/>
    <w:rsid w:val="00452E45"/>
    <w:rsid w:val="00452F30"/>
    <w:rsid w:val="00453365"/>
    <w:rsid w:val="0045385C"/>
    <w:rsid w:val="00453AAE"/>
    <w:rsid w:val="004544B1"/>
    <w:rsid w:val="00454CD4"/>
    <w:rsid w:val="00454F78"/>
    <w:rsid w:val="00456456"/>
    <w:rsid w:val="004565DE"/>
    <w:rsid w:val="004568D7"/>
    <w:rsid w:val="004577BB"/>
    <w:rsid w:val="00457C59"/>
    <w:rsid w:val="00457E86"/>
    <w:rsid w:val="0046156C"/>
    <w:rsid w:val="00461E34"/>
    <w:rsid w:val="00462752"/>
    <w:rsid w:val="0046312C"/>
    <w:rsid w:val="00464307"/>
    <w:rsid w:val="00464FE6"/>
    <w:rsid w:val="00465521"/>
    <w:rsid w:val="00465871"/>
    <w:rsid w:val="004678C9"/>
    <w:rsid w:val="00470304"/>
    <w:rsid w:val="00470D84"/>
    <w:rsid w:val="00470FD1"/>
    <w:rsid w:val="00472491"/>
    <w:rsid w:val="0047293C"/>
    <w:rsid w:val="0047338B"/>
    <w:rsid w:val="00473AF2"/>
    <w:rsid w:val="00473C65"/>
    <w:rsid w:val="00474441"/>
    <w:rsid w:val="00474558"/>
    <w:rsid w:val="00474635"/>
    <w:rsid w:val="00475144"/>
    <w:rsid w:val="00475CF6"/>
    <w:rsid w:val="00475D7A"/>
    <w:rsid w:val="00476032"/>
    <w:rsid w:val="00477B12"/>
    <w:rsid w:val="0048036C"/>
    <w:rsid w:val="00480D60"/>
    <w:rsid w:val="004825F1"/>
    <w:rsid w:val="00482AA9"/>
    <w:rsid w:val="00482B85"/>
    <w:rsid w:val="00483C3E"/>
    <w:rsid w:val="004850F1"/>
    <w:rsid w:val="00485876"/>
    <w:rsid w:val="004864BA"/>
    <w:rsid w:val="0048689E"/>
    <w:rsid w:val="00486B9F"/>
    <w:rsid w:val="00487902"/>
    <w:rsid w:val="00487A49"/>
    <w:rsid w:val="00490BBC"/>
    <w:rsid w:val="00491D36"/>
    <w:rsid w:val="00493627"/>
    <w:rsid w:val="004936FF"/>
    <w:rsid w:val="00494DB1"/>
    <w:rsid w:val="00494DF4"/>
    <w:rsid w:val="00495856"/>
    <w:rsid w:val="004958A3"/>
    <w:rsid w:val="00495A6C"/>
    <w:rsid w:val="004960E2"/>
    <w:rsid w:val="004A016C"/>
    <w:rsid w:val="004A0E53"/>
    <w:rsid w:val="004A20B6"/>
    <w:rsid w:val="004A3487"/>
    <w:rsid w:val="004A39A4"/>
    <w:rsid w:val="004A457B"/>
    <w:rsid w:val="004A7A2A"/>
    <w:rsid w:val="004A7D5E"/>
    <w:rsid w:val="004B1447"/>
    <w:rsid w:val="004B1683"/>
    <w:rsid w:val="004B238C"/>
    <w:rsid w:val="004B2443"/>
    <w:rsid w:val="004B2A89"/>
    <w:rsid w:val="004B2B3A"/>
    <w:rsid w:val="004B369E"/>
    <w:rsid w:val="004B4961"/>
    <w:rsid w:val="004B526A"/>
    <w:rsid w:val="004B54EA"/>
    <w:rsid w:val="004B59F5"/>
    <w:rsid w:val="004B649B"/>
    <w:rsid w:val="004B6F6B"/>
    <w:rsid w:val="004B7094"/>
    <w:rsid w:val="004B73BD"/>
    <w:rsid w:val="004C125F"/>
    <w:rsid w:val="004C2248"/>
    <w:rsid w:val="004C2744"/>
    <w:rsid w:val="004C33FA"/>
    <w:rsid w:val="004C3F4A"/>
    <w:rsid w:val="004C5147"/>
    <w:rsid w:val="004C758A"/>
    <w:rsid w:val="004D0103"/>
    <w:rsid w:val="004D0760"/>
    <w:rsid w:val="004D15D2"/>
    <w:rsid w:val="004D19CA"/>
    <w:rsid w:val="004D31BD"/>
    <w:rsid w:val="004D38BB"/>
    <w:rsid w:val="004D40FA"/>
    <w:rsid w:val="004D450A"/>
    <w:rsid w:val="004D4609"/>
    <w:rsid w:val="004D4A49"/>
    <w:rsid w:val="004D5643"/>
    <w:rsid w:val="004D57C3"/>
    <w:rsid w:val="004D5FA0"/>
    <w:rsid w:val="004D6ED7"/>
    <w:rsid w:val="004D6FFD"/>
    <w:rsid w:val="004D716A"/>
    <w:rsid w:val="004D7C55"/>
    <w:rsid w:val="004D7FA6"/>
    <w:rsid w:val="004E0642"/>
    <w:rsid w:val="004E131A"/>
    <w:rsid w:val="004E1BAF"/>
    <w:rsid w:val="004E1D9B"/>
    <w:rsid w:val="004E2E7F"/>
    <w:rsid w:val="004E4323"/>
    <w:rsid w:val="004E4CB4"/>
    <w:rsid w:val="004E4DDA"/>
    <w:rsid w:val="004E5DBD"/>
    <w:rsid w:val="004E74D5"/>
    <w:rsid w:val="004F002D"/>
    <w:rsid w:val="004F035C"/>
    <w:rsid w:val="004F2142"/>
    <w:rsid w:val="004F2369"/>
    <w:rsid w:val="004F46DF"/>
    <w:rsid w:val="004F4F84"/>
    <w:rsid w:val="004F50E0"/>
    <w:rsid w:val="004F55B4"/>
    <w:rsid w:val="004F5EC9"/>
    <w:rsid w:val="004F610C"/>
    <w:rsid w:val="004F646E"/>
    <w:rsid w:val="004F6DB3"/>
    <w:rsid w:val="004F7408"/>
    <w:rsid w:val="004F7ACC"/>
    <w:rsid w:val="004F7FCE"/>
    <w:rsid w:val="005003F3"/>
    <w:rsid w:val="00500564"/>
    <w:rsid w:val="00503C4C"/>
    <w:rsid w:val="00503E3F"/>
    <w:rsid w:val="00505170"/>
    <w:rsid w:val="00506145"/>
    <w:rsid w:val="00507600"/>
    <w:rsid w:val="0050799C"/>
    <w:rsid w:val="005103AC"/>
    <w:rsid w:val="0051067D"/>
    <w:rsid w:val="00510828"/>
    <w:rsid w:val="0051197A"/>
    <w:rsid w:val="005123B5"/>
    <w:rsid w:val="005124A2"/>
    <w:rsid w:val="0051284A"/>
    <w:rsid w:val="00513538"/>
    <w:rsid w:val="00513E78"/>
    <w:rsid w:val="0051455B"/>
    <w:rsid w:val="00515B2B"/>
    <w:rsid w:val="00516F72"/>
    <w:rsid w:val="005171BC"/>
    <w:rsid w:val="00520B3D"/>
    <w:rsid w:val="00520D19"/>
    <w:rsid w:val="00521C00"/>
    <w:rsid w:val="005224EF"/>
    <w:rsid w:val="0052379F"/>
    <w:rsid w:val="00523ED8"/>
    <w:rsid w:val="00524386"/>
    <w:rsid w:val="00524CD6"/>
    <w:rsid w:val="005270A2"/>
    <w:rsid w:val="00527146"/>
    <w:rsid w:val="0053030E"/>
    <w:rsid w:val="00530551"/>
    <w:rsid w:val="00530E21"/>
    <w:rsid w:val="005324B5"/>
    <w:rsid w:val="005326BC"/>
    <w:rsid w:val="00534235"/>
    <w:rsid w:val="00534A59"/>
    <w:rsid w:val="00535197"/>
    <w:rsid w:val="00535696"/>
    <w:rsid w:val="00540F7C"/>
    <w:rsid w:val="0054122E"/>
    <w:rsid w:val="00541B36"/>
    <w:rsid w:val="00541DCE"/>
    <w:rsid w:val="0054209F"/>
    <w:rsid w:val="00543BF5"/>
    <w:rsid w:val="0054408B"/>
    <w:rsid w:val="00545505"/>
    <w:rsid w:val="005456C2"/>
    <w:rsid w:val="005464E6"/>
    <w:rsid w:val="005466CE"/>
    <w:rsid w:val="00546CA6"/>
    <w:rsid w:val="005475CF"/>
    <w:rsid w:val="0054780A"/>
    <w:rsid w:val="0054798D"/>
    <w:rsid w:val="00547B1E"/>
    <w:rsid w:val="00547B49"/>
    <w:rsid w:val="00550401"/>
    <w:rsid w:val="005508FC"/>
    <w:rsid w:val="005515CB"/>
    <w:rsid w:val="00551AA1"/>
    <w:rsid w:val="00552DD0"/>
    <w:rsid w:val="00553472"/>
    <w:rsid w:val="005534D5"/>
    <w:rsid w:val="00553906"/>
    <w:rsid w:val="00553EC4"/>
    <w:rsid w:val="00554A83"/>
    <w:rsid w:val="00555925"/>
    <w:rsid w:val="00555D8C"/>
    <w:rsid w:val="005577EF"/>
    <w:rsid w:val="00560C8E"/>
    <w:rsid w:val="00562C34"/>
    <w:rsid w:val="00563432"/>
    <w:rsid w:val="00563945"/>
    <w:rsid w:val="005650ED"/>
    <w:rsid w:val="005656F3"/>
    <w:rsid w:val="00566180"/>
    <w:rsid w:val="00570175"/>
    <w:rsid w:val="005707BF"/>
    <w:rsid w:val="00570C23"/>
    <w:rsid w:val="005712E2"/>
    <w:rsid w:val="005713FC"/>
    <w:rsid w:val="005724B4"/>
    <w:rsid w:val="00573832"/>
    <w:rsid w:val="00574326"/>
    <w:rsid w:val="005747D0"/>
    <w:rsid w:val="00574AAC"/>
    <w:rsid w:val="005755DD"/>
    <w:rsid w:val="0057567A"/>
    <w:rsid w:val="00575994"/>
    <w:rsid w:val="00575B08"/>
    <w:rsid w:val="00576A99"/>
    <w:rsid w:val="0058365D"/>
    <w:rsid w:val="005842A9"/>
    <w:rsid w:val="00585A84"/>
    <w:rsid w:val="0058692B"/>
    <w:rsid w:val="00586988"/>
    <w:rsid w:val="00587338"/>
    <w:rsid w:val="00587411"/>
    <w:rsid w:val="00590D79"/>
    <w:rsid w:val="00591142"/>
    <w:rsid w:val="00591442"/>
    <w:rsid w:val="00591597"/>
    <w:rsid w:val="00592A77"/>
    <w:rsid w:val="00592FCD"/>
    <w:rsid w:val="00593702"/>
    <w:rsid w:val="00593D46"/>
    <w:rsid w:val="005941F7"/>
    <w:rsid w:val="00595B97"/>
    <w:rsid w:val="00595C8A"/>
    <w:rsid w:val="0059699E"/>
    <w:rsid w:val="00596DC6"/>
    <w:rsid w:val="00596F1F"/>
    <w:rsid w:val="005973B9"/>
    <w:rsid w:val="005A07DD"/>
    <w:rsid w:val="005A12E1"/>
    <w:rsid w:val="005A1450"/>
    <w:rsid w:val="005A20D1"/>
    <w:rsid w:val="005A27AA"/>
    <w:rsid w:val="005A2A4C"/>
    <w:rsid w:val="005A3589"/>
    <w:rsid w:val="005A35AB"/>
    <w:rsid w:val="005A3EA8"/>
    <w:rsid w:val="005A4023"/>
    <w:rsid w:val="005A4240"/>
    <w:rsid w:val="005A5575"/>
    <w:rsid w:val="005A6FD0"/>
    <w:rsid w:val="005A7CBE"/>
    <w:rsid w:val="005B0CC7"/>
    <w:rsid w:val="005B0F19"/>
    <w:rsid w:val="005B10E0"/>
    <w:rsid w:val="005B1316"/>
    <w:rsid w:val="005B1488"/>
    <w:rsid w:val="005B2B92"/>
    <w:rsid w:val="005B349E"/>
    <w:rsid w:val="005B5080"/>
    <w:rsid w:val="005B59A7"/>
    <w:rsid w:val="005B758B"/>
    <w:rsid w:val="005B792B"/>
    <w:rsid w:val="005C0F32"/>
    <w:rsid w:val="005C13F4"/>
    <w:rsid w:val="005C1452"/>
    <w:rsid w:val="005C1578"/>
    <w:rsid w:val="005C15A7"/>
    <w:rsid w:val="005C2D39"/>
    <w:rsid w:val="005C2F0F"/>
    <w:rsid w:val="005C3358"/>
    <w:rsid w:val="005C42F7"/>
    <w:rsid w:val="005C442D"/>
    <w:rsid w:val="005C4782"/>
    <w:rsid w:val="005C4FE9"/>
    <w:rsid w:val="005C51E6"/>
    <w:rsid w:val="005C65A2"/>
    <w:rsid w:val="005C667B"/>
    <w:rsid w:val="005C775A"/>
    <w:rsid w:val="005C7C27"/>
    <w:rsid w:val="005D0211"/>
    <w:rsid w:val="005D1F3E"/>
    <w:rsid w:val="005D2003"/>
    <w:rsid w:val="005D226F"/>
    <w:rsid w:val="005D3EDC"/>
    <w:rsid w:val="005D40D1"/>
    <w:rsid w:val="005D45DD"/>
    <w:rsid w:val="005D526D"/>
    <w:rsid w:val="005D6926"/>
    <w:rsid w:val="005D6C54"/>
    <w:rsid w:val="005D6FB5"/>
    <w:rsid w:val="005E1060"/>
    <w:rsid w:val="005E22FE"/>
    <w:rsid w:val="005E4473"/>
    <w:rsid w:val="005E45A3"/>
    <w:rsid w:val="005E57CE"/>
    <w:rsid w:val="005E63E3"/>
    <w:rsid w:val="005E6A14"/>
    <w:rsid w:val="005E7D61"/>
    <w:rsid w:val="005E7F9A"/>
    <w:rsid w:val="005F1213"/>
    <w:rsid w:val="005F1E22"/>
    <w:rsid w:val="005F3F8D"/>
    <w:rsid w:val="005F736B"/>
    <w:rsid w:val="005F73B0"/>
    <w:rsid w:val="005F7D14"/>
    <w:rsid w:val="006008A8"/>
    <w:rsid w:val="00600A5C"/>
    <w:rsid w:val="006012FE"/>
    <w:rsid w:val="0060201C"/>
    <w:rsid w:val="0060213D"/>
    <w:rsid w:val="0060238D"/>
    <w:rsid w:val="00602705"/>
    <w:rsid w:val="00602891"/>
    <w:rsid w:val="00602B1E"/>
    <w:rsid w:val="006045FD"/>
    <w:rsid w:val="00610107"/>
    <w:rsid w:val="006102F0"/>
    <w:rsid w:val="00610D12"/>
    <w:rsid w:val="00611391"/>
    <w:rsid w:val="00611963"/>
    <w:rsid w:val="00612E2D"/>
    <w:rsid w:val="0061325F"/>
    <w:rsid w:val="00613AE6"/>
    <w:rsid w:val="00613FCE"/>
    <w:rsid w:val="00614DE6"/>
    <w:rsid w:val="00614EBE"/>
    <w:rsid w:val="00615624"/>
    <w:rsid w:val="00615CD7"/>
    <w:rsid w:val="0062002D"/>
    <w:rsid w:val="006209F8"/>
    <w:rsid w:val="00620BD2"/>
    <w:rsid w:val="00620CE5"/>
    <w:rsid w:val="00621CBA"/>
    <w:rsid w:val="00621F2C"/>
    <w:rsid w:val="006233CB"/>
    <w:rsid w:val="00623572"/>
    <w:rsid w:val="00623B01"/>
    <w:rsid w:val="00626A38"/>
    <w:rsid w:val="00627A3A"/>
    <w:rsid w:val="00630854"/>
    <w:rsid w:val="00631147"/>
    <w:rsid w:val="00631F41"/>
    <w:rsid w:val="00632345"/>
    <w:rsid w:val="00632626"/>
    <w:rsid w:val="006329AA"/>
    <w:rsid w:val="00634FDA"/>
    <w:rsid w:val="0063622B"/>
    <w:rsid w:val="00637041"/>
    <w:rsid w:val="0063705E"/>
    <w:rsid w:val="00637A65"/>
    <w:rsid w:val="00637D1C"/>
    <w:rsid w:val="00640884"/>
    <w:rsid w:val="00640D6D"/>
    <w:rsid w:val="00641DDF"/>
    <w:rsid w:val="00644677"/>
    <w:rsid w:val="00644D58"/>
    <w:rsid w:val="006451B4"/>
    <w:rsid w:val="00645BC3"/>
    <w:rsid w:val="00645C7A"/>
    <w:rsid w:val="0064602D"/>
    <w:rsid w:val="0064752C"/>
    <w:rsid w:val="00647D63"/>
    <w:rsid w:val="00647E14"/>
    <w:rsid w:val="006510CE"/>
    <w:rsid w:val="006515D6"/>
    <w:rsid w:val="006530F0"/>
    <w:rsid w:val="0065336F"/>
    <w:rsid w:val="006534F7"/>
    <w:rsid w:val="00653CC6"/>
    <w:rsid w:val="00653D0B"/>
    <w:rsid w:val="00653D21"/>
    <w:rsid w:val="00654BC5"/>
    <w:rsid w:val="00654CA1"/>
    <w:rsid w:val="00655560"/>
    <w:rsid w:val="00655AFB"/>
    <w:rsid w:val="00655F91"/>
    <w:rsid w:val="00657005"/>
    <w:rsid w:val="00657D71"/>
    <w:rsid w:val="006613B0"/>
    <w:rsid w:val="006629D5"/>
    <w:rsid w:val="00662C93"/>
    <w:rsid w:val="00662E0E"/>
    <w:rsid w:val="00663F42"/>
    <w:rsid w:val="00664427"/>
    <w:rsid w:val="00664A03"/>
    <w:rsid w:val="00664CF0"/>
    <w:rsid w:val="00665C44"/>
    <w:rsid w:val="00665ECB"/>
    <w:rsid w:val="00666663"/>
    <w:rsid w:val="00666716"/>
    <w:rsid w:val="00667282"/>
    <w:rsid w:val="00670758"/>
    <w:rsid w:val="00670D66"/>
    <w:rsid w:val="00670EC2"/>
    <w:rsid w:val="00671CC6"/>
    <w:rsid w:val="006727F8"/>
    <w:rsid w:val="00672903"/>
    <w:rsid w:val="00673679"/>
    <w:rsid w:val="00674946"/>
    <w:rsid w:val="00675450"/>
    <w:rsid w:val="00675AF0"/>
    <w:rsid w:val="00675D45"/>
    <w:rsid w:val="00675F00"/>
    <w:rsid w:val="0067609C"/>
    <w:rsid w:val="0067640D"/>
    <w:rsid w:val="0067742E"/>
    <w:rsid w:val="0067754E"/>
    <w:rsid w:val="0067789E"/>
    <w:rsid w:val="00677EDB"/>
    <w:rsid w:val="006808D0"/>
    <w:rsid w:val="0068129D"/>
    <w:rsid w:val="00682DCC"/>
    <w:rsid w:val="006849C9"/>
    <w:rsid w:val="00685045"/>
    <w:rsid w:val="006856FB"/>
    <w:rsid w:val="00685CF9"/>
    <w:rsid w:val="00686712"/>
    <w:rsid w:val="006870FC"/>
    <w:rsid w:val="006872D3"/>
    <w:rsid w:val="00687D3B"/>
    <w:rsid w:val="00690402"/>
    <w:rsid w:val="0069051C"/>
    <w:rsid w:val="00690F4E"/>
    <w:rsid w:val="00691679"/>
    <w:rsid w:val="006920B3"/>
    <w:rsid w:val="00692413"/>
    <w:rsid w:val="00692CBC"/>
    <w:rsid w:val="00692D5C"/>
    <w:rsid w:val="00693E05"/>
    <w:rsid w:val="00695108"/>
    <w:rsid w:val="00695AC1"/>
    <w:rsid w:val="0069680D"/>
    <w:rsid w:val="006969CA"/>
    <w:rsid w:val="00697209"/>
    <w:rsid w:val="0069756B"/>
    <w:rsid w:val="006A033F"/>
    <w:rsid w:val="006A1469"/>
    <w:rsid w:val="006A16E8"/>
    <w:rsid w:val="006A17B3"/>
    <w:rsid w:val="006A235C"/>
    <w:rsid w:val="006A246E"/>
    <w:rsid w:val="006A2812"/>
    <w:rsid w:val="006A282D"/>
    <w:rsid w:val="006A334E"/>
    <w:rsid w:val="006A3C22"/>
    <w:rsid w:val="006A466B"/>
    <w:rsid w:val="006A53DC"/>
    <w:rsid w:val="006A5745"/>
    <w:rsid w:val="006A59E5"/>
    <w:rsid w:val="006A6014"/>
    <w:rsid w:val="006A7086"/>
    <w:rsid w:val="006A7609"/>
    <w:rsid w:val="006B04D6"/>
    <w:rsid w:val="006B09A3"/>
    <w:rsid w:val="006B0BF9"/>
    <w:rsid w:val="006B10A8"/>
    <w:rsid w:val="006B18EA"/>
    <w:rsid w:val="006B2ED8"/>
    <w:rsid w:val="006B3077"/>
    <w:rsid w:val="006B320F"/>
    <w:rsid w:val="006B3E0B"/>
    <w:rsid w:val="006C16BF"/>
    <w:rsid w:val="006C1F7F"/>
    <w:rsid w:val="006C22D9"/>
    <w:rsid w:val="006C2464"/>
    <w:rsid w:val="006C2A7E"/>
    <w:rsid w:val="006C3375"/>
    <w:rsid w:val="006C359C"/>
    <w:rsid w:val="006C4CFD"/>
    <w:rsid w:val="006C5BE8"/>
    <w:rsid w:val="006C615B"/>
    <w:rsid w:val="006C676D"/>
    <w:rsid w:val="006C6D9F"/>
    <w:rsid w:val="006C6E54"/>
    <w:rsid w:val="006C6FF8"/>
    <w:rsid w:val="006C70C5"/>
    <w:rsid w:val="006C7E58"/>
    <w:rsid w:val="006C7E7D"/>
    <w:rsid w:val="006D031F"/>
    <w:rsid w:val="006D1719"/>
    <w:rsid w:val="006D188F"/>
    <w:rsid w:val="006D1FDF"/>
    <w:rsid w:val="006D32F4"/>
    <w:rsid w:val="006D3AFD"/>
    <w:rsid w:val="006D3EE0"/>
    <w:rsid w:val="006D446E"/>
    <w:rsid w:val="006D4C28"/>
    <w:rsid w:val="006D4F8B"/>
    <w:rsid w:val="006D56FB"/>
    <w:rsid w:val="006D5B81"/>
    <w:rsid w:val="006D5E44"/>
    <w:rsid w:val="006D6AAF"/>
    <w:rsid w:val="006D7044"/>
    <w:rsid w:val="006D73B0"/>
    <w:rsid w:val="006D773C"/>
    <w:rsid w:val="006E01D8"/>
    <w:rsid w:val="006E04A5"/>
    <w:rsid w:val="006E05CC"/>
    <w:rsid w:val="006E075A"/>
    <w:rsid w:val="006E15E2"/>
    <w:rsid w:val="006E1969"/>
    <w:rsid w:val="006E2607"/>
    <w:rsid w:val="006E272F"/>
    <w:rsid w:val="006E28BE"/>
    <w:rsid w:val="006E2B20"/>
    <w:rsid w:val="006E2DE1"/>
    <w:rsid w:val="006E2E38"/>
    <w:rsid w:val="006E391A"/>
    <w:rsid w:val="006E3D2D"/>
    <w:rsid w:val="006E3D7B"/>
    <w:rsid w:val="006E4C41"/>
    <w:rsid w:val="006E6373"/>
    <w:rsid w:val="006E64E9"/>
    <w:rsid w:val="006E793C"/>
    <w:rsid w:val="006E7F76"/>
    <w:rsid w:val="006F08B5"/>
    <w:rsid w:val="006F0E38"/>
    <w:rsid w:val="006F0FDC"/>
    <w:rsid w:val="006F2231"/>
    <w:rsid w:val="006F2452"/>
    <w:rsid w:val="006F262B"/>
    <w:rsid w:val="006F2FB6"/>
    <w:rsid w:val="006F359F"/>
    <w:rsid w:val="006F3836"/>
    <w:rsid w:val="006F45DD"/>
    <w:rsid w:val="006F54A9"/>
    <w:rsid w:val="006F56A7"/>
    <w:rsid w:val="006F58D9"/>
    <w:rsid w:val="006F59BA"/>
    <w:rsid w:val="006F60BB"/>
    <w:rsid w:val="006F6E45"/>
    <w:rsid w:val="006F7478"/>
    <w:rsid w:val="006F7865"/>
    <w:rsid w:val="00700BCE"/>
    <w:rsid w:val="00700EA0"/>
    <w:rsid w:val="00701A22"/>
    <w:rsid w:val="00701DF7"/>
    <w:rsid w:val="00702041"/>
    <w:rsid w:val="007026CE"/>
    <w:rsid w:val="00702A0F"/>
    <w:rsid w:val="007039D1"/>
    <w:rsid w:val="00703EFC"/>
    <w:rsid w:val="00705110"/>
    <w:rsid w:val="00705247"/>
    <w:rsid w:val="00707582"/>
    <w:rsid w:val="00707C54"/>
    <w:rsid w:val="00707EFF"/>
    <w:rsid w:val="007104B5"/>
    <w:rsid w:val="00712580"/>
    <w:rsid w:val="00712697"/>
    <w:rsid w:val="00712FC1"/>
    <w:rsid w:val="0071301C"/>
    <w:rsid w:val="007132CE"/>
    <w:rsid w:val="0071380C"/>
    <w:rsid w:val="00713B17"/>
    <w:rsid w:val="00713B6C"/>
    <w:rsid w:val="007156CF"/>
    <w:rsid w:val="00715783"/>
    <w:rsid w:val="007159C5"/>
    <w:rsid w:val="007161F1"/>
    <w:rsid w:val="007162A3"/>
    <w:rsid w:val="00716C36"/>
    <w:rsid w:val="00717442"/>
    <w:rsid w:val="00717B68"/>
    <w:rsid w:val="00717DA2"/>
    <w:rsid w:val="007209AA"/>
    <w:rsid w:val="007236F3"/>
    <w:rsid w:val="00723D54"/>
    <w:rsid w:val="00723F46"/>
    <w:rsid w:val="0072469E"/>
    <w:rsid w:val="007253AB"/>
    <w:rsid w:val="007258AA"/>
    <w:rsid w:val="0072611C"/>
    <w:rsid w:val="00726510"/>
    <w:rsid w:val="00726B3C"/>
    <w:rsid w:val="00727D9D"/>
    <w:rsid w:val="0073151A"/>
    <w:rsid w:val="0073184C"/>
    <w:rsid w:val="007329D3"/>
    <w:rsid w:val="0073395C"/>
    <w:rsid w:val="007348FC"/>
    <w:rsid w:val="0073599A"/>
    <w:rsid w:val="00735A6E"/>
    <w:rsid w:val="00735E5F"/>
    <w:rsid w:val="00735E9E"/>
    <w:rsid w:val="0073653F"/>
    <w:rsid w:val="00736CDC"/>
    <w:rsid w:val="00741372"/>
    <w:rsid w:val="00742060"/>
    <w:rsid w:val="00742185"/>
    <w:rsid w:val="007422BC"/>
    <w:rsid w:val="0074273C"/>
    <w:rsid w:val="00743087"/>
    <w:rsid w:val="007438C9"/>
    <w:rsid w:val="00743D16"/>
    <w:rsid w:val="007444CC"/>
    <w:rsid w:val="0074508C"/>
    <w:rsid w:val="00745D07"/>
    <w:rsid w:val="007462D1"/>
    <w:rsid w:val="007465A6"/>
    <w:rsid w:val="00750BAD"/>
    <w:rsid w:val="007512FD"/>
    <w:rsid w:val="007517BF"/>
    <w:rsid w:val="00752434"/>
    <w:rsid w:val="00752982"/>
    <w:rsid w:val="00753885"/>
    <w:rsid w:val="00753BF9"/>
    <w:rsid w:val="00754FCA"/>
    <w:rsid w:val="007553D5"/>
    <w:rsid w:val="0075597D"/>
    <w:rsid w:val="00755F38"/>
    <w:rsid w:val="00756CCD"/>
    <w:rsid w:val="00757652"/>
    <w:rsid w:val="00760C26"/>
    <w:rsid w:val="007611AF"/>
    <w:rsid w:val="00761764"/>
    <w:rsid w:val="007631F9"/>
    <w:rsid w:val="00763AF9"/>
    <w:rsid w:val="00763D7E"/>
    <w:rsid w:val="00764971"/>
    <w:rsid w:val="00764BDF"/>
    <w:rsid w:val="00765F77"/>
    <w:rsid w:val="0076656D"/>
    <w:rsid w:val="007676D9"/>
    <w:rsid w:val="0077082F"/>
    <w:rsid w:val="00771204"/>
    <w:rsid w:val="00771446"/>
    <w:rsid w:val="007722B2"/>
    <w:rsid w:val="007725F3"/>
    <w:rsid w:val="007731C6"/>
    <w:rsid w:val="0077526D"/>
    <w:rsid w:val="007752E1"/>
    <w:rsid w:val="00775916"/>
    <w:rsid w:val="00775969"/>
    <w:rsid w:val="0077608B"/>
    <w:rsid w:val="007762C6"/>
    <w:rsid w:val="00776738"/>
    <w:rsid w:val="00776A60"/>
    <w:rsid w:val="00780786"/>
    <w:rsid w:val="00781084"/>
    <w:rsid w:val="007813A1"/>
    <w:rsid w:val="00782483"/>
    <w:rsid w:val="00783071"/>
    <w:rsid w:val="00783D17"/>
    <w:rsid w:val="007848F3"/>
    <w:rsid w:val="00785B56"/>
    <w:rsid w:val="00785DA0"/>
    <w:rsid w:val="00786E3F"/>
    <w:rsid w:val="00787CF8"/>
    <w:rsid w:val="00790A60"/>
    <w:rsid w:val="00790E5F"/>
    <w:rsid w:val="00791617"/>
    <w:rsid w:val="00791B17"/>
    <w:rsid w:val="00791B2F"/>
    <w:rsid w:val="00791BA7"/>
    <w:rsid w:val="00793B41"/>
    <w:rsid w:val="00794A2B"/>
    <w:rsid w:val="0079512E"/>
    <w:rsid w:val="00795E6B"/>
    <w:rsid w:val="00796871"/>
    <w:rsid w:val="007971C7"/>
    <w:rsid w:val="007A0B8E"/>
    <w:rsid w:val="007A4036"/>
    <w:rsid w:val="007A40C5"/>
    <w:rsid w:val="007A41F3"/>
    <w:rsid w:val="007A4582"/>
    <w:rsid w:val="007A4E3D"/>
    <w:rsid w:val="007A565B"/>
    <w:rsid w:val="007A590F"/>
    <w:rsid w:val="007B0785"/>
    <w:rsid w:val="007B08D3"/>
    <w:rsid w:val="007B2AD8"/>
    <w:rsid w:val="007B313F"/>
    <w:rsid w:val="007B398D"/>
    <w:rsid w:val="007B3F66"/>
    <w:rsid w:val="007B40B0"/>
    <w:rsid w:val="007B47AC"/>
    <w:rsid w:val="007B4EEA"/>
    <w:rsid w:val="007B5580"/>
    <w:rsid w:val="007B6067"/>
    <w:rsid w:val="007B6551"/>
    <w:rsid w:val="007B7265"/>
    <w:rsid w:val="007C0C8E"/>
    <w:rsid w:val="007C1EF1"/>
    <w:rsid w:val="007C24C9"/>
    <w:rsid w:val="007C2579"/>
    <w:rsid w:val="007C30C7"/>
    <w:rsid w:val="007C3942"/>
    <w:rsid w:val="007C3A6B"/>
    <w:rsid w:val="007C3F39"/>
    <w:rsid w:val="007C4230"/>
    <w:rsid w:val="007C47E9"/>
    <w:rsid w:val="007C5C35"/>
    <w:rsid w:val="007C667E"/>
    <w:rsid w:val="007C6F47"/>
    <w:rsid w:val="007C735C"/>
    <w:rsid w:val="007C7897"/>
    <w:rsid w:val="007C7CB3"/>
    <w:rsid w:val="007C7E4E"/>
    <w:rsid w:val="007D0146"/>
    <w:rsid w:val="007D03D4"/>
    <w:rsid w:val="007D0DEA"/>
    <w:rsid w:val="007D1282"/>
    <w:rsid w:val="007D15E0"/>
    <w:rsid w:val="007D1810"/>
    <w:rsid w:val="007D1D34"/>
    <w:rsid w:val="007D3F12"/>
    <w:rsid w:val="007D4D91"/>
    <w:rsid w:val="007D5621"/>
    <w:rsid w:val="007D5F3F"/>
    <w:rsid w:val="007D6204"/>
    <w:rsid w:val="007D6333"/>
    <w:rsid w:val="007D749A"/>
    <w:rsid w:val="007D7D57"/>
    <w:rsid w:val="007E0118"/>
    <w:rsid w:val="007E04FB"/>
    <w:rsid w:val="007E16D2"/>
    <w:rsid w:val="007E1AF2"/>
    <w:rsid w:val="007E1F75"/>
    <w:rsid w:val="007E2387"/>
    <w:rsid w:val="007E2510"/>
    <w:rsid w:val="007E2D25"/>
    <w:rsid w:val="007E346D"/>
    <w:rsid w:val="007E5334"/>
    <w:rsid w:val="007E5986"/>
    <w:rsid w:val="007E6ED0"/>
    <w:rsid w:val="007E7840"/>
    <w:rsid w:val="007F0736"/>
    <w:rsid w:val="007F18DF"/>
    <w:rsid w:val="007F1946"/>
    <w:rsid w:val="007F2840"/>
    <w:rsid w:val="007F2E17"/>
    <w:rsid w:val="007F3987"/>
    <w:rsid w:val="007F4524"/>
    <w:rsid w:val="007F4A8B"/>
    <w:rsid w:val="007F4DD7"/>
    <w:rsid w:val="007F5196"/>
    <w:rsid w:val="007F574A"/>
    <w:rsid w:val="007F5A59"/>
    <w:rsid w:val="007F73B5"/>
    <w:rsid w:val="00801E7F"/>
    <w:rsid w:val="00802600"/>
    <w:rsid w:val="00803DE0"/>
    <w:rsid w:val="00803F5D"/>
    <w:rsid w:val="00805D95"/>
    <w:rsid w:val="00805E0E"/>
    <w:rsid w:val="00805E66"/>
    <w:rsid w:val="00806C69"/>
    <w:rsid w:val="00806E0E"/>
    <w:rsid w:val="0081007F"/>
    <w:rsid w:val="00810198"/>
    <w:rsid w:val="008108E3"/>
    <w:rsid w:val="00810AF8"/>
    <w:rsid w:val="00810E0D"/>
    <w:rsid w:val="0081140A"/>
    <w:rsid w:val="008118A5"/>
    <w:rsid w:val="008120CA"/>
    <w:rsid w:val="00812136"/>
    <w:rsid w:val="0081218F"/>
    <w:rsid w:val="008121C5"/>
    <w:rsid w:val="008123F2"/>
    <w:rsid w:val="0081283B"/>
    <w:rsid w:val="00812F58"/>
    <w:rsid w:val="008133A4"/>
    <w:rsid w:val="008135D6"/>
    <w:rsid w:val="00813D2B"/>
    <w:rsid w:val="00815F43"/>
    <w:rsid w:val="00815F57"/>
    <w:rsid w:val="0081709D"/>
    <w:rsid w:val="008179C9"/>
    <w:rsid w:val="00817FBB"/>
    <w:rsid w:val="008206F0"/>
    <w:rsid w:val="00820B88"/>
    <w:rsid w:val="00822B0F"/>
    <w:rsid w:val="00823437"/>
    <w:rsid w:val="0082538A"/>
    <w:rsid w:val="008255EB"/>
    <w:rsid w:val="00826DEC"/>
    <w:rsid w:val="00827794"/>
    <w:rsid w:val="00831212"/>
    <w:rsid w:val="00831AE8"/>
    <w:rsid w:val="008333EE"/>
    <w:rsid w:val="00833E06"/>
    <w:rsid w:val="00834574"/>
    <w:rsid w:val="00834BA9"/>
    <w:rsid w:val="00834FCD"/>
    <w:rsid w:val="008368BC"/>
    <w:rsid w:val="00837892"/>
    <w:rsid w:val="00840621"/>
    <w:rsid w:val="00840C47"/>
    <w:rsid w:val="00841BC0"/>
    <w:rsid w:val="00842E98"/>
    <w:rsid w:val="008432A4"/>
    <w:rsid w:val="008437B2"/>
    <w:rsid w:val="008454C0"/>
    <w:rsid w:val="00845F83"/>
    <w:rsid w:val="00846080"/>
    <w:rsid w:val="00846EAE"/>
    <w:rsid w:val="008502F2"/>
    <w:rsid w:val="00852B84"/>
    <w:rsid w:val="00852CE3"/>
    <w:rsid w:val="00853B6F"/>
    <w:rsid w:val="008548CB"/>
    <w:rsid w:val="00854D92"/>
    <w:rsid w:val="00855CFE"/>
    <w:rsid w:val="00857DAA"/>
    <w:rsid w:val="00860497"/>
    <w:rsid w:val="00860B0B"/>
    <w:rsid w:val="00860BE7"/>
    <w:rsid w:val="00860CC4"/>
    <w:rsid w:val="00861F30"/>
    <w:rsid w:val="00862075"/>
    <w:rsid w:val="00863F3A"/>
    <w:rsid w:val="008640D4"/>
    <w:rsid w:val="00864D29"/>
    <w:rsid w:val="008650AA"/>
    <w:rsid w:val="00865B05"/>
    <w:rsid w:val="00867B08"/>
    <w:rsid w:val="008708DF"/>
    <w:rsid w:val="00870F9A"/>
    <w:rsid w:val="0087107C"/>
    <w:rsid w:val="0087108B"/>
    <w:rsid w:val="00873524"/>
    <w:rsid w:val="0087357A"/>
    <w:rsid w:val="00873589"/>
    <w:rsid w:val="008736C7"/>
    <w:rsid w:val="00873EF0"/>
    <w:rsid w:val="0087405F"/>
    <w:rsid w:val="008741E5"/>
    <w:rsid w:val="00874636"/>
    <w:rsid w:val="008749F6"/>
    <w:rsid w:val="00874A1F"/>
    <w:rsid w:val="0087513D"/>
    <w:rsid w:val="008752EF"/>
    <w:rsid w:val="00875CDF"/>
    <w:rsid w:val="00877043"/>
    <w:rsid w:val="0087778F"/>
    <w:rsid w:val="00880133"/>
    <w:rsid w:val="008805FC"/>
    <w:rsid w:val="0088105F"/>
    <w:rsid w:val="00881F49"/>
    <w:rsid w:val="00883803"/>
    <w:rsid w:val="00883F27"/>
    <w:rsid w:val="00884FA9"/>
    <w:rsid w:val="00887DC2"/>
    <w:rsid w:val="00890683"/>
    <w:rsid w:val="00890E64"/>
    <w:rsid w:val="008926B7"/>
    <w:rsid w:val="00893270"/>
    <w:rsid w:val="0089357B"/>
    <w:rsid w:val="00893692"/>
    <w:rsid w:val="008936B3"/>
    <w:rsid w:val="00893E6E"/>
    <w:rsid w:val="00895910"/>
    <w:rsid w:val="008967AF"/>
    <w:rsid w:val="00896FB2"/>
    <w:rsid w:val="008979D4"/>
    <w:rsid w:val="008A064D"/>
    <w:rsid w:val="008A06F7"/>
    <w:rsid w:val="008A0EFC"/>
    <w:rsid w:val="008A16E1"/>
    <w:rsid w:val="008A1DBB"/>
    <w:rsid w:val="008A29FF"/>
    <w:rsid w:val="008A2CE4"/>
    <w:rsid w:val="008A3DA9"/>
    <w:rsid w:val="008A3FE0"/>
    <w:rsid w:val="008A45D4"/>
    <w:rsid w:val="008A47AE"/>
    <w:rsid w:val="008A5340"/>
    <w:rsid w:val="008A543B"/>
    <w:rsid w:val="008A5D58"/>
    <w:rsid w:val="008A6C1F"/>
    <w:rsid w:val="008A6F99"/>
    <w:rsid w:val="008A7217"/>
    <w:rsid w:val="008A7475"/>
    <w:rsid w:val="008A747A"/>
    <w:rsid w:val="008A7489"/>
    <w:rsid w:val="008B2112"/>
    <w:rsid w:val="008B6705"/>
    <w:rsid w:val="008B7B0A"/>
    <w:rsid w:val="008C0067"/>
    <w:rsid w:val="008C03C7"/>
    <w:rsid w:val="008C36A6"/>
    <w:rsid w:val="008C3713"/>
    <w:rsid w:val="008C39A2"/>
    <w:rsid w:val="008C3F75"/>
    <w:rsid w:val="008C407E"/>
    <w:rsid w:val="008C4BC2"/>
    <w:rsid w:val="008C5773"/>
    <w:rsid w:val="008C5E74"/>
    <w:rsid w:val="008C66B2"/>
    <w:rsid w:val="008C7203"/>
    <w:rsid w:val="008C7648"/>
    <w:rsid w:val="008D1558"/>
    <w:rsid w:val="008D2B6D"/>
    <w:rsid w:val="008D37C2"/>
    <w:rsid w:val="008D3809"/>
    <w:rsid w:val="008D4B14"/>
    <w:rsid w:val="008D4B87"/>
    <w:rsid w:val="008D4F77"/>
    <w:rsid w:val="008D5B48"/>
    <w:rsid w:val="008D5CB4"/>
    <w:rsid w:val="008D6075"/>
    <w:rsid w:val="008D61DF"/>
    <w:rsid w:val="008D7F99"/>
    <w:rsid w:val="008E032F"/>
    <w:rsid w:val="008E1CE4"/>
    <w:rsid w:val="008E27D4"/>
    <w:rsid w:val="008E341E"/>
    <w:rsid w:val="008E350F"/>
    <w:rsid w:val="008E3F9B"/>
    <w:rsid w:val="008E4001"/>
    <w:rsid w:val="008E45E3"/>
    <w:rsid w:val="008E4A75"/>
    <w:rsid w:val="008E4E30"/>
    <w:rsid w:val="008E585E"/>
    <w:rsid w:val="008E690B"/>
    <w:rsid w:val="008E6C00"/>
    <w:rsid w:val="008E6F5F"/>
    <w:rsid w:val="008E7ED5"/>
    <w:rsid w:val="008F0AA4"/>
    <w:rsid w:val="008F0BE4"/>
    <w:rsid w:val="008F1557"/>
    <w:rsid w:val="008F166F"/>
    <w:rsid w:val="008F1F4F"/>
    <w:rsid w:val="008F210F"/>
    <w:rsid w:val="008F2371"/>
    <w:rsid w:val="008F361F"/>
    <w:rsid w:val="008F399F"/>
    <w:rsid w:val="008F3D4B"/>
    <w:rsid w:val="008F4ACA"/>
    <w:rsid w:val="008F4E5D"/>
    <w:rsid w:val="008F556B"/>
    <w:rsid w:val="008F573A"/>
    <w:rsid w:val="008F580D"/>
    <w:rsid w:val="008F5C05"/>
    <w:rsid w:val="008F5D12"/>
    <w:rsid w:val="008F7AD0"/>
    <w:rsid w:val="009008B8"/>
    <w:rsid w:val="00900BA2"/>
    <w:rsid w:val="009023FC"/>
    <w:rsid w:val="0090345C"/>
    <w:rsid w:val="00905B35"/>
    <w:rsid w:val="009063DA"/>
    <w:rsid w:val="0090666D"/>
    <w:rsid w:val="0090679D"/>
    <w:rsid w:val="00906A9E"/>
    <w:rsid w:val="00906F1A"/>
    <w:rsid w:val="009072FF"/>
    <w:rsid w:val="00910B31"/>
    <w:rsid w:val="009112E9"/>
    <w:rsid w:val="00911CCC"/>
    <w:rsid w:val="00911DFB"/>
    <w:rsid w:val="00913FA4"/>
    <w:rsid w:val="00914426"/>
    <w:rsid w:val="00915BDE"/>
    <w:rsid w:val="00916D24"/>
    <w:rsid w:val="0092030B"/>
    <w:rsid w:val="00920907"/>
    <w:rsid w:val="00920DD8"/>
    <w:rsid w:val="0092248E"/>
    <w:rsid w:val="009232A0"/>
    <w:rsid w:val="00923B55"/>
    <w:rsid w:val="00924884"/>
    <w:rsid w:val="009259EB"/>
    <w:rsid w:val="00925F79"/>
    <w:rsid w:val="00926915"/>
    <w:rsid w:val="0093000A"/>
    <w:rsid w:val="009309CF"/>
    <w:rsid w:val="00932217"/>
    <w:rsid w:val="00932A84"/>
    <w:rsid w:val="0093308D"/>
    <w:rsid w:val="00933DCF"/>
    <w:rsid w:val="00933EB6"/>
    <w:rsid w:val="00934429"/>
    <w:rsid w:val="009349BF"/>
    <w:rsid w:val="00935D82"/>
    <w:rsid w:val="00936144"/>
    <w:rsid w:val="00936436"/>
    <w:rsid w:val="00936A12"/>
    <w:rsid w:val="00937CB8"/>
    <w:rsid w:val="00937F11"/>
    <w:rsid w:val="0094033A"/>
    <w:rsid w:val="009407E6"/>
    <w:rsid w:val="00941592"/>
    <w:rsid w:val="0094373D"/>
    <w:rsid w:val="009440ED"/>
    <w:rsid w:val="009443C6"/>
    <w:rsid w:val="00944A1D"/>
    <w:rsid w:val="00944CA7"/>
    <w:rsid w:val="00944EC8"/>
    <w:rsid w:val="0094710F"/>
    <w:rsid w:val="00950453"/>
    <w:rsid w:val="00950900"/>
    <w:rsid w:val="009515F3"/>
    <w:rsid w:val="00951F8D"/>
    <w:rsid w:val="00952247"/>
    <w:rsid w:val="00953B0D"/>
    <w:rsid w:val="00955413"/>
    <w:rsid w:val="009559CD"/>
    <w:rsid w:val="00955D3D"/>
    <w:rsid w:val="00956161"/>
    <w:rsid w:val="00956247"/>
    <w:rsid w:val="009577BE"/>
    <w:rsid w:val="00957E64"/>
    <w:rsid w:val="009601A8"/>
    <w:rsid w:val="009609BA"/>
    <w:rsid w:val="009610F1"/>
    <w:rsid w:val="00961779"/>
    <w:rsid w:val="00961784"/>
    <w:rsid w:val="00962D29"/>
    <w:rsid w:val="009637BC"/>
    <w:rsid w:val="00963DC7"/>
    <w:rsid w:val="0096623F"/>
    <w:rsid w:val="00970DE4"/>
    <w:rsid w:val="009713EA"/>
    <w:rsid w:val="009716A5"/>
    <w:rsid w:val="00972292"/>
    <w:rsid w:val="00972BA4"/>
    <w:rsid w:val="009733B6"/>
    <w:rsid w:val="00973F02"/>
    <w:rsid w:val="009744CD"/>
    <w:rsid w:val="00974681"/>
    <w:rsid w:val="0097540A"/>
    <w:rsid w:val="009754C3"/>
    <w:rsid w:val="00975971"/>
    <w:rsid w:val="00977598"/>
    <w:rsid w:val="00977E0D"/>
    <w:rsid w:val="0098077E"/>
    <w:rsid w:val="00982234"/>
    <w:rsid w:val="0098245F"/>
    <w:rsid w:val="00982718"/>
    <w:rsid w:val="00983145"/>
    <w:rsid w:val="00984669"/>
    <w:rsid w:val="009851CF"/>
    <w:rsid w:val="00986A32"/>
    <w:rsid w:val="009872D8"/>
    <w:rsid w:val="0098734F"/>
    <w:rsid w:val="00987689"/>
    <w:rsid w:val="00987D07"/>
    <w:rsid w:val="00987F41"/>
    <w:rsid w:val="00991426"/>
    <w:rsid w:val="009914DC"/>
    <w:rsid w:val="00991DED"/>
    <w:rsid w:val="0099230E"/>
    <w:rsid w:val="009940E4"/>
    <w:rsid w:val="00996FAA"/>
    <w:rsid w:val="0099758F"/>
    <w:rsid w:val="009A04B8"/>
    <w:rsid w:val="009A0ACD"/>
    <w:rsid w:val="009A1589"/>
    <w:rsid w:val="009A1EE0"/>
    <w:rsid w:val="009A233F"/>
    <w:rsid w:val="009A2454"/>
    <w:rsid w:val="009A36CA"/>
    <w:rsid w:val="009A3D7D"/>
    <w:rsid w:val="009A3F2A"/>
    <w:rsid w:val="009A42B1"/>
    <w:rsid w:val="009A499D"/>
    <w:rsid w:val="009A4BFA"/>
    <w:rsid w:val="009A4EE6"/>
    <w:rsid w:val="009A5EF7"/>
    <w:rsid w:val="009A640A"/>
    <w:rsid w:val="009A6B8A"/>
    <w:rsid w:val="009A73BD"/>
    <w:rsid w:val="009A766E"/>
    <w:rsid w:val="009A7B5D"/>
    <w:rsid w:val="009B0264"/>
    <w:rsid w:val="009B0BCB"/>
    <w:rsid w:val="009B146C"/>
    <w:rsid w:val="009B1FAA"/>
    <w:rsid w:val="009B231D"/>
    <w:rsid w:val="009B2D15"/>
    <w:rsid w:val="009B36A0"/>
    <w:rsid w:val="009B62D8"/>
    <w:rsid w:val="009B6561"/>
    <w:rsid w:val="009B7955"/>
    <w:rsid w:val="009C0101"/>
    <w:rsid w:val="009C0C0D"/>
    <w:rsid w:val="009C29BF"/>
    <w:rsid w:val="009C4FFE"/>
    <w:rsid w:val="009C56FA"/>
    <w:rsid w:val="009C7325"/>
    <w:rsid w:val="009C7695"/>
    <w:rsid w:val="009C7CB9"/>
    <w:rsid w:val="009D0B80"/>
    <w:rsid w:val="009D1B46"/>
    <w:rsid w:val="009D1D89"/>
    <w:rsid w:val="009D1E4E"/>
    <w:rsid w:val="009D2B0A"/>
    <w:rsid w:val="009D2CE1"/>
    <w:rsid w:val="009D3317"/>
    <w:rsid w:val="009D3D95"/>
    <w:rsid w:val="009D4381"/>
    <w:rsid w:val="009D50B5"/>
    <w:rsid w:val="009D5425"/>
    <w:rsid w:val="009D6FE9"/>
    <w:rsid w:val="009D7037"/>
    <w:rsid w:val="009D7670"/>
    <w:rsid w:val="009E012F"/>
    <w:rsid w:val="009E03D5"/>
    <w:rsid w:val="009E05E6"/>
    <w:rsid w:val="009E07AC"/>
    <w:rsid w:val="009E07FA"/>
    <w:rsid w:val="009E1071"/>
    <w:rsid w:val="009E15EC"/>
    <w:rsid w:val="009E2FC8"/>
    <w:rsid w:val="009E3990"/>
    <w:rsid w:val="009E5851"/>
    <w:rsid w:val="009E6561"/>
    <w:rsid w:val="009E66AD"/>
    <w:rsid w:val="009E797A"/>
    <w:rsid w:val="009E79CC"/>
    <w:rsid w:val="009F07F9"/>
    <w:rsid w:val="009F0A7B"/>
    <w:rsid w:val="009F0DFE"/>
    <w:rsid w:val="009F11BD"/>
    <w:rsid w:val="009F11E3"/>
    <w:rsid w:val="009F18E8"/>
    <w:rsid w:val="009F19F1"/>
    <w:rsid w:val="009F1D62"/>
    <w:rsid w:val="009F33A7"/>
    <w:rsid w:val="009F4D31"/>
    <w:rsid w:val="009F4E97"/>
    <w:rsid w:val="009F5FF8"/>
    <w:rsid w:val="009F6DF4"/>
    <w:rsid w:val="009F6F4B"/>
    <w:rsid w:val="009F7064"/>
    <w:rsid w:val="009F7AEC"/>
    <w:rsid w:val="009F7F97"/>
    <w:rsid w:val="00A023ED"/>
    <w:rsid w:val="00A0255A"/>
    <w:rsid w:val="00A04483"/>
    <w:rsid w:val="00A052A6"/>
    <w:rsid w:val="00A05615"/>
    <w:rsid w:val="00A06735"/>
    <w:rsid w:val="00A0691E"/>
    <w:rsid w:val="00A072F2"/>
    <w:rsid w:val="00A076AC"/>
    <w:rsid w:val="00A10365"/>
    <w:rsid w:val="00A104AA"/>
    <w:rsid w:val="00A13A90"/>
    <w:rsid w:val="00A140E0"/>
    <w:rsid w:val="00A14123"/>
    <w:rsid w:val="00A143D6"/>
    <w:rsid w:val="00A15354"/>
    <w:rsid w:val="00A153F0"/>
    <w:rsid w:val="00A1578F"/>
    <w:rsid w:val="00A15B37"/>
    <w:rsid w:val="00A15B56"/>
    <w:rsid w:val="00A1726A"/>
    <w:rsid w:val="00A20BBD"/>
    <w:rsid w:val="00A2101E"/>
    <w:rsid w:val="00A211B5"/>
    <w:rsid w:val="00A21259"/>
    <w:rsid w:val="00A2147E"/>
    <w:rsid w:val="00A23F70"/>
    <w:rsid w:val="00A24E0B"/>
    <w:rsid w:val="00A25112"/>
    <w:rsid w:val="00A25788"/>
    <w:rsid w:val="00A2602D"/>
    <w:rsid w:val="00A26739"/>
    <w:rsid w:val="00A279F8"/>
    <w:rsid w:val="00A27EB5"/>
    <w:rsid w:val="00A27F04"/>
    <w:rsid w:val="00A30BA7"/>
    <w:rsid w:val="00A30F75"/>
    <w:rsid w:val="00A3133B"/>
    <w:rsid w:val="00A315D2"/>
    <w:rsid w:val="00A320BB"/>
    <w:rsid w:val="00A33AA6"/>
    <w:rsid w:val="00A34816"/>
    <w:rsid w:val="00A34827"/>
    <w:rsid w:val="00A34836"/>
    <w:rsid w:val="00A349E3"/>
    <w:rsid w:val="00A34A85"/>
    <w:rsid w:val="00A3555B"/>
    <w:rsid w:val="00A35A32"/>
    <w:rsid w:val="00A35CE4"/>
    <w:rsid w:val="00A360DC"/>
    <w:rsid w:val="00A3671A"/>
    <w:rsid w:val="00A36780"/>
    <w:rsid w:val="00A367AC"/>
    <w:rsid w:val="00A3680C"/>
    <w:rsid w:val="00A36DF5"/>
    <w:rsid w:val="00A36F2F"/>
    <w:rsid w:val="00A374EB"/>
    <w:rsid w:val="00A3793C"/>
    <w:rsid w:val="00A406DF"/>
    <w:rsid w:val="00A40B59"/>
    <w:rsid w:val="00A418F1"/>
    <w:rsid w:val="00A42543"/>
    <w:rsid w:val="00A431B3"/>
    <w:rsid w:val="00A43926"/>
    <w:rsid w:val="00A440E8"/>
    <w:rsid w:val="00A44D55"/>
    <w:rsid w:val="00A453CE"/>
    <w:rsid w:val="00A45E6F"/>
    <w:rsid w:val="00A47202"/>
    <w:rsid w:val="00A477DE"/>
    <w:rsid w:val="00A4793A"/>
    <w:rsid w:val="00A50134"/>
    <w:rsid w:val="00A5031C"/>
    <w:rsid w:val="00A51B64"/>
    <w:rsid w:val="00A53D27"/>
    <w:rsid w:val="00A53D46"/>
    <w:rsid w:val="00A5579B"/>
    <w:rsid w:val="00A55915"/>
    <w:rsid w:val="00A55BA1"/>
    <w:rsid w:val="00A55C33"/>
    <w:rsid w:val="00A55EB4"/>
    <w:rsid w:val="00A57815"/>
    <w:rsid w:val="00A57B03"/>
    <w:rsid w:val="00A57B50"/>
    <w:rsid w:val="00A57D02"/>
    <w:rsid w:val="00A6081D"/>
    <w:rsid w:val="00A60B14"/>
    <w:rsid w:val="00A61E6A"/>
    <w:rsid w:val="00A634BF"/>
    <w:rsid w:val="00A63EF2"/>
    <w:rsid w:val="00A64526"/>
    <w:rsid w:val="00A65E25"/>
    <w:rsid w:val="00A6678A"/>
    <w:rsid w:val="00A66FD0"/>
    <w:rsid w:val="00A6706B"/>
    <w:rsid w:val="00A67873"/>
    <w:rsid w:val="00A70611"/>
    <w:rsid w:val="00A706C8"/>
    <w:rsid w:val="00A70CA9"/>
    <w:rsid w:val="00A726DE"/>
    <w:rsid w:val="00A72B43"/>
    <w:rsid w:val="00A72B68"/>
    <w:rsid w:val="00A743A6"/>
    <w:rsid w:val="00A74CA5"/>
    <w:rsid w:val="00A752B6"/>
    <w:rsid w:val="00A75EEA"/>
    <w:rsid w:val="00A75F10"/>
    <w:rsid w:val="00A76124"/>
    <w:rsid w:val="00A7722B"/>
    <w:rsid w:val="00A77924"/>
    <w:rsid w:val="00A77FB5"/>
    <w:rsid w:val="00A800C0"/>
    <w:rsid w:val="00A808B8"/>
    <w:rsid w:val="00A80F65"/>
    <w:rsid w:val="00A81711"/>
    <w:rsid w:val="00A81956"/>
    <w:rsid w:val="00A823C2"/>
    <w:rsid w:val="00A83248"/>
    <w:rsid w:val="00A8420C"/>
    <w:rsid w:val="00A8456E"/>
    <w:rsid w:val="00A84776"/>
    <w:rsid w:val="00A856F0"/>
    <w:rsid w:val="00A86812"/>
    <w:rsid w:val="00A871CB"/>
    <w:rsid w:val="00A878A2"/>
    <w:rsid w:val="00A878BD"/>
    <w:rsid w:val="00A87AF2"/>
    <w:rsid w:val="00A9009A"/>
    <w:rsid w:val="00A91A98"/>
    <w:rsid w:val="00A91C55"/>
    <w:rsid w:val="00A92A36"/>
    <w:rsid w:val="00A92C3A"/>
    <w:rsid w:val="00A92D03"/>
    <w:rsid w:val="00A93D70"/>
    <w:rsid w:val="00A957E4"/>
    <w:rsid w:val="00A95ECC"/>
    <w:rsid w:val="00A96447"/>
    <w:rsid w:val="00A9676B"/>
    <w:rsid w:val="00A97227"/>
    <w:rsid w:val="00A974C7"/>
    <w:rsid w:val="00AA0424"/>
    <w:rsid w:val="00AA12CE"/>
    <w:rsid w:val="00AA43D2"/>
    <w:rsid w:val="00AA51AB"/>
    <w:rsid w:val="00AA538B"/>
    <w:rsid w:val="00AA6487"/>
    <w:rsid w:val="00AA6B01"/>
    <w:rsid w:val="00AA6F3A"/>
    <w:rsid w:val="00AB0618"/>
    <w:rsid w:val="00AB17FD"/>
    <w:rsid w:val="00AB28CB"/>
    <w:rsid w:val="00AB2AFF"/>
    <w:rsid w:val="00AB5EA9"/>
    <w:rsid w:val="00AB5FA9"/>
    <w:rsid w:val="00AB6882"/>
    <w:rsid w:val="00AB6E3A"/>
    <w:rsid w:val="00AB7818"/>
    <w:rsid w:val="00AB79FB"/>
    <w:rsid w:val="00AC181B"/>
    <w:rsid w:val="00AC3377"/>
    <w:rsid w:val="00AC39AB"/>
    <w:rsid w:val="00AC3D0E"/>
    <w:rsid w:val="00AC3DD7"/>
    <w:rsid w:val="00AC3EBE"/>
    <w:rsid w:val="00AC40F9"/>
    <w:rsid w:val="00AC41FD"/>
    <w:rsid w:val="00AC4340"/>
    <w:rsid w:val="00AC4FA1"/>
    <w:rsid w:val="00AC56DA"/>
    <w:rsid w:val="00AC5C1F"/>
    <w:rsid w:val="00AC6DB9"/>
    <w:rsid w:val="00AC7086"/>
    <w:rsid w:val="00AC72C9"/>
    <w:rsid w:val="00AC73FC"/>
    <w:rsid w:val="00AC7FD7"/>
    <w:rsid w:val="00AD04B1"/>
    <w:rsid w:val="00AD0954"/>
    <w:rsid w:val="00AD0B62"/>
    <w:rsid w:val="00AD0E89"/>
    <w:rsid w:val="00AD1B62"/>
    <w:rsid w:val="00AD203A"/>
    <w:rsid w:val="00AD218C"/>
    <w:rsid w:val="00AD2A1C"/>
    <w:rsid w:val="00AD33A7"/>
    <w:rsid w:val="00AD3F4B"/>
    <w:rsid w:val="00AD5E49"/>
    <w:rsid w:val="00AD5E87"/>
    <w:rsid w:val="00AD60AB"/>
    <w:rsid w:val="00AD614C"/>
    <w:rsid w:val="00AE1413"/>
    <w:rsid w:val="00AE1683"/>
    <w:rsid w:val="00AE210B"/>
    <w:rsid w:val="00AE217C"/>
    <w:rsid w:val="00AE3BDD"/>
    <w:rsid w:val="00AE3F8F"/>
    <w:rsid w:val="00AE400B"/>
    <w:rsid w:val="00AE43B4"/>
    <w:rsid w:val="00AE44FA"/>
    <w:rsid w:val="00AE48A5"/>
    <w:rsid w:val="00AE58C3"/>
    <w:rsid w:val="00AE5D60"/>
    <w:rsid w:val="00AE688A"/>
    <w:rsid w:val="00AF022C"/>
    <w:rsid w:val="00AF09AB"/>
    <w:rsid w:val="00AF0F70"/>
    <w:rsid w:val="00AF197D"/>
    <w:rsid w:val="00AF1BB0"/>
    <w:rsid w:val="00AF2C97"/>
    <w:rsid w:val="00AF4705"/>
    <w:rsid w:val="00AF475B"/>
    <w:rsid w:val="00AF4E3A"/>
    <w:rsid w:val="00AF6123"/>
    <w:rsid w:val="00AF6876"/>
    <w:rsid w:val="00B00213"/>
    <w:rsid w:val="00B00424"/>
    <w:rsid w:val="00B00613"/>
    <w:rsid w:val="00B00BC9"/>
    <w:rsid w:val="00B016D1"/>
    <w:rsid w:val="00B01F98"/>
    <w:rsid w:val="00B02007"/>
    <w:rsid w:val="00B026F0"/>
    <w:rsid w:val="00B04D85"/>
    <w:rsid w:val="00B054B6"/>
    <w:rsid w:val="00B05544"/>
    <w:rsid w:val="00B105F0"/>
    <w:rsid w:val="00B10707"/>
    <w:rsid w:val="00B10EBE"/>
    <w:rsid w:val="00B120AA"/>
    <w:rsid w:val="00B12893"/>
    <w:rsid w:val="00B137EC"/>
    <w:rsid w:val="00B13840"/>
    <w:rsid w:val="00B13A15"/>
    <w:rsid w:val="00B14608"/>
    <w:rsid w:val="00B14655"/>
    <w:rsid w:val="00B1478E"/>
    <w:rsid w:val="00B14F3B"/>
    <w:rsid w:val="00B1536F"/>
    <w:rsid w:val="00B15783"/>
    <w:rsid w:val="00B162CE"/>
    <w:rsid w:val="00B168B8"/>
    <w:rsid w:val="00B1709D"/>
    <w:rsid w:val="00B17C45"/>
    <w:rsid w:val="00B20546"/>
    <w:rsid w:val="00B2066E"/>
    <w:rsid w:val="00B208D3"/>
    <w:rsid w:val="00B21A0D"/>
    <w:rsid w:val="00B223E0"/>
    <w:rsid w:val="00B226C6"/>
    <w:rsid w:val="00B228B3"/>
    <w:rsid w:val="00B22982"/>
    <w:rsid w:val="00B22B91"/>
    <w:rsid w:val="00B22D31"/>
    <w:rsid w:val="00B22EFD"/>
    <w:rsid w:val="00B23AF6"/>
    <w:rsid w:val="00B23CF6"/>
    <w:rsid w:val="00B245EE"/>
    <w:rsid w:val="00B24989"/>
    <w:rsid w:val="00B25B95"/>
    <w:rsid w:val="00B26829"/>
    <w:rsid w:val="00B26C2B"/>
    <w:rsid w:val="00B26C82"/>
    <w:rsid w:val="00B27168"/>
    <w:rsid w:val="00B27AC9"/>
    <w:rsid w:val="00B27FA6"/>
    <w:rsid w:val="00B301E3"/>
    <w:rsid w:val="00B307E8"/>
    <w:rsid w:val="00B30CAC"/>
    <w:rsid w:val="00B3142B"/>
    <w:rsid w:val="00B31553"/>
    <w:rsid w:val="00B32EBB"/>
    <w:rsid w:val="00B33057"/>
    <w:rsid w:val="00B34267"/>
    <w:rsid w:val="00B35B2A"/>
    <w:rsid w:val="00B37713"/>
    <w:rsid w:val="00B37B83"/>
    <w:rsid w:val="00B37C65"/>
    <w:rsid w:val="00B40337"/>
    <w:rsid w:val="00B40391"/>
    <w:rsid w:val="00B40647"/>
    <w:rsid w:val="00B40EE2"/>
    <w:rsid w:val="00B42570"/>
    <w:rsid w:val="00B426C4"/>
    <w:rsid w:val="00B43C58"/>
    <w:rsid w:val="00B44804"/>
    <w:rsid w:val="00B45C46"/>
    <w:rsid w:val="00B45E1F"/>
    <w:rsid w:val="00B46023"/>
    <w:rsid w:val="00B46256"/>
    <w:rsid w:val="00B4664F"/>
    <w:rsid w:val="00B46BE5"/>
    <w:rsid w:val="00B46CB0"/>
    <w:rsid w:val="00B4764F"/>
    <w:rsid w:val="00B47803"/>
    <w:rsid w:val="00B508A9"/>
    <w:rsid w:val="00B520A4"/>
    <w:rsid w:val="00B52B52"/>
    <w:rsid w:val="00B5303C"/>
    <w:rsid w:val="00B5344F"/>
    <w:rsid w:val="00B534D2"/>
    <w:rsid w:val="00B53B90"/>
    <w:rsid w:val="00B55C96"/>
    <w:rsid w:val="00B56BFE"/>
    <w:rsid w:val="00B56F44"/>
    <w:rsid w:val="00B56FCD"/>
    <w:rsid w:val="00B571B7"/>
    <w:rsid w:val="00B572D6"/>
    <w:rsid w:val="00B60766"/>
    <w:rsid w:val="00B61BC7"/>
    <w:rsid w:val="00B6201F"/>
    <w:rsid w:val="00B62E21"/>
    <w:rsid w:val="00B637FA"/>
    <w:rsid w:val="00B64697"/>
    <w:rsid w:val="00B65E07"/>
    <w:rsid w:val="00B661A4"/>
    <w:rsid w:val="00B66D5B"/>
    <w:rsid w:val="00B6700F"/>
    <w:rsid w:val="00B700E1"/>
    <w:rsid w:val="00B70246"/>
    <w:rsid w:val="00B71048"/>
    <w:rsid w:val="00B73195"/>
    <w:rsid w:val="00B74171"/>
    <w:rsid w:val="00B741E4"/>
    <w:rsid w:val="00B742FA"/>
    <w:rsid w:val="00B7560A"/>
    <w:rsid w:val="00B767EF"/>
    <w:rsid w:val="00B775E9"/>
    <w:rsid w:val="00B8015A"/>
    <w:rsid w:val="00B80247"/>
    <w:rsid w:val="00B809A0"/>
    <w:rsid w:val="00B818C4"/>
    <w:rsid w:val="00B818CC"/>
    <w:rsid w:val="00B82208"/>
    <w:rsid w:val="00B82662"/>
    <w:rsid w:val="00B83377"/>
    <w:rsid w:val="00B847E4"/>
    <w:rsid w:val="00B84809"/>
    <w:rsid w:val="00B85E4F"/>
    <w:rsid w:val="00B86A03"/>
    <w:rsid w:val="00B87829"/>
    <w:rsid w:val="00B87A55"/>
    <w:rsid w:val="00B901D2"/>
    <w:rsid w:val="00B9027B"/>
    <w:rsid w:val="00B91085"/>
    <w:rsid w:val="00B916EF"/>
    <w:rsid w:val="00B91810"/>
    <w:rsid w:val="00B91BE7"/>
    <w:rsid w:val="00B9250B"/>
    <w:rsid w:val="00B926D6"/>
    <w:rsid w:val="00B935B6"/>
    <w:rsid w:val="00B935FB"/>
    <w:rsid w:val="00B94191"/>
    <w:rsid w:val="00B945E0"/>
    <w:rsid w:val="00B9502F"/>
    <w:rsid w:val="00B95A7C"/>
    <w:rsid w:val="00B963EB"/>
    <w:rsid w:val="00B97863"/>
    <w:rsid w:val="00B9790E"/>
    <w:rsid w:val="00BA00E1"/>
    <w:rsid w:val="00BA05B7"/>
    <w:rsid w:val="00BA0822"/>
    <w:rsid w:val="00BA08FF"/>
    <w:rsid w:val="00BA13E8"/>
    <w:rsid w:val="00BA13F0"/>
    <w:rsid w:val="00BA2279"/>
    <w:rsid w:val="00BA2C2E"/>
    <w:rsid w:val="00BA3CA0"/>
    <w:rsid w:val="00BA3E17"/>
    <w:rsid w:val="00BA66F6"/>
    <w:rsid w:val="00BA6A9F"/>
    <w:rsid w:val="00BB1441"/>
    <w:rsid w:val="00BB263C"/>
    <w:rsid w:val="00BB2BE8"/>
    <w:rsid w:val="00BB2E63"/>
    <w:rsid w:val="00BB301B"/>
    <w:rsid w:val="00BB6207"/>
    <w:rsid w:val="00BB6891"/>
    <w:rsid w:val="00BB6B45"/>
    <w:rsid w:val="00BC004F"/>
    <w:rsid w:val="00BC02FF"/>
    <w:rsid w:val="00BC045D"/>
    <w:rsid w:val="00BC0CA4"/>
    <w:rsid w:val="00BC174E"/>
    <w:rsid w:val="00BC2831"/>
    <w:rsid w:val="00BC2E48"/>
    <w:rsid w:val="00BC2F01"/>
    <w:rsid w:val="00BC340D"/>
    <w:rsid w:val="00BC379F"/>
    <w:rsid w:val="00BC37DD"/>
    <w:rsid w:val="00BC418C"/>
    <w:rsid w:val="00BC57B8"/>
    <w:rsid w:val="00BC5869"/>
    <w:rsid w:val="00BC5CFB"/>
    <w:rsid w:val="00BC6207"/>
    <w:rsid w:val="00BC7686"/>
    <w:rsid w:val="00BC79F9"/>
    <w:rsid w:val="00BC7FCA"/>
    <w:rsid w:val="00BD0943"/>
    <w:rsid w:val="00BD0B3B"/>
    <w:rsid w:val="00BD0CA8"/>
    <w:rsid w:val="00BD329D"/>
    <w:rsid w:val="00BD3B8A"/>
    <w:rsid w:val="00BD3D0A"/>
    <w:rsid w:val="00BD50BA"/>
    <w:rsid w:val="00BD6862"/>
    <w:rsid w:val="00BD7E58"/>
    <w:rsid w:val="00BD7E86"/>
    <w:rsid w:val="00BE0628"/>
    <w:rsid w:val="00BE0F44"/>
    <w:rsid w:val="00BE1198"/>
    <w:rsid w:val="00BE1A30"/>
    <w:rsid w:val="00BE1D84"/>
    <w:rsid w:val="00BE24EC"/>
    <w:rsid w:val="00BE28C0"/>
    <w:rsid w:val="00BE2B55"/>
    <w:rsid w:val="00BE2E57"/>
    <w:rsid w:val="00BE342E"/>
    <w:rsid w:val="00BE3F11"/>
    <w:rsid w:val="00BE4496"/>
    <w:rsid w:val="00BE4733"/>
    <w:rsid w:val="00BE5631"/>
    <w:rsid w:val="00BE6EEB"/>
    <w:rsid w:val="00BE7106"/>
    <w:rsid w:val="00BF103A"/>
    <w:rsid w:val="00BF144F"/>
    <w:rsid w:val="00BF1D46"/>
    <w:rsid w:val="00BF32A7"/>
    <w:rsid w:val="00BF45E7"/>
    <w:rsid w:val="00BF5A0A"/>
    <w:rsid w:val="00BF69B3"/>
    <w:rsid w:val="00BF7D0A"/>
    <w:rsid w:val="00C000FD"/>
    <w:rsid w:val="00C00677"/>
    <w:rsid w:val="00C008A5"/>
    <w:rsid w:val="00C00EF9"/>
    <w:rsid w:val="00C012FF"/>
    <w:rsid w:val="00C0135B"/>
    <w:rsid w:val="00C01434"/>
    <w:rsid w:val="00C014AC"/>
    <w:rsid w:val="00C01BA6"/>
    <w:rsid w:val="00C027A8"/>
    <w:rsid w:val="00C030FC"/>
    <w:rsid w:val="00C03780"/>
    <w:rsid w:val="00C047A2"/>
    <w:rsid w:val="00C059EC"/>
    <w:rsid w:val="00C06C54"/>
    <w:rsid w:val="00C06FD5"/>
    <w:rsid w:val="00C10010"/>
    <w:rsid w:val="00C10230"/>
    <w:rsid w:val="00C107D1"/>
    <w:rsid w:val="00C112DB"/>
    <w:rsid w:val="00C117C2"/>
    <w:rsid w:val="00C11AB6"/>
    <w:rsid w:val="00C13823"/>
    <w:rsid w:val="00C15C06"/>
    <w:rsid w:val="00C15F69"/>
    <w:rsid w:val="00C15FA3"/>
    <w:rsid w:val="00C16759"/>
    <w:rsid w:val="00C17F68"/>
    <w:rsid w:val="00C21D4E"/>
    <w:rsid w:val="00C21E08"/>
    <w:rsid w:val="00C22EFF"/>
    <w:rsid w:val="00C22F01"/>
    <w:rsid w:val="00C23CB4"/>
    <w:rsid w:val="00C2424F"/>
    <w:rsid w:val="00C24BBA"/>
    <w:rsid w:val="00C255AD"/>
    <w:rsid w:val="00C26C2D"/>
    <w:rsid w:val="00C271B4"/>
    <w:rsid w:val="00C27C6A"/>
    <w:rsid w:val="00C30742"/>
    <w:rsid w:val="00C3141A"/>
    <w:rsid w:val="00C3189B"/>
    <w:rsid w:val="00C3189F"/>
    <w:rsid w:val="00C32537"/>
    <w:rsid w:val="00C32773"/>
    <w:rsid w:val="00C32D9D"/>
    <w:rsid w:val="00C33082"/>
    <w:rsid w:val="00C33168"/>
    <w:rsid w:val="00C3345D"/>
    <w:rsid w:val="00C3489D"/>
    <w:rsid w:val="00C35206"/>
    <w:rsid w:val="00C35334"/>
    <w:rsid w:val="00C36AD7"/>
    <w:rsid w:val="00C36E7D"/>
    <w:rsid w:val="00C37804"/>
    <w:rsid w:val="00C37DAD"/>
    <w:rsid w:val="00C40023"/>
    <w:rsid w:val="00C410A8"/>
    <w:rsid w:val="00C411B1"/>
    <w:rsid w:val="00C42841"/>
    <w:rsid w:val="00C42F98"/>
    <w:rsid w:val="00C433F1"/>
    <w:rsid w:val="00C436D6"/>
    <w:rsid w:val="00C4495A"/>
    <w:rsid w:val="00C45C09"/>
    <w:rsid w:val="00C46038"/>
    <w:rsid w:val="00C46E45"/>
    <w:rsid w:val="00C47D95"/>
    <w:rsid w:val="00C503A2"/>
    <w:rsid w:val="00C50E34"/>
    <w:rsid w:val="00C51170"/>
    <w:rsid w:val="00C51B5E"/>
    <w:rsid w:val="00C534A2"/>
    <w:rsid w:val="00C55136"/>
    <w:rsid w:val="00C55AC4"/>
    <w:rsid w:val="00C5695B"/>
    <w:rsid w:val="00C56CBA"/>
    <w:rsid w:val="00C57644"/>
    <w:rsid w:val="00C57E59"/>
    <w:rsid w:val="00C601FB"/>
    <w:rsid w:val="00C618E3"/>
    <w:rsid w:val="00C61BC5"/>
    <w:rsid w:val="00C61DA6"/>
    <w:rsid w:val="00C634A1"/>
    <w:rsid w:val="00C653EA"/>
    <w:rsid w:val="00C65655"/>
    <w:rsid w:val="00C657FD"/>
    <w:rsid w:val="00C65BFC"/>
    <w:rsid w:val="00C66DED"/>
    <w:rsid w:val="00C679A6"/>
    <w:rsid w:val="00C67A59"/>
    <w:rsid w:val="00C70500"/>
    <w:rsid w:val="00C717DE"/>
    <w:rsid w:val="00C71CDB"/>
    <w:rsid w:val="00C7218B"/>
    <w:rsid w:val="00C72E81"/>
    <w:rsid w:val="00C72F72"/>
    <w:rsid w:val="00C73B49"/>
    <w:rsid w:val="00C7405C"/>
    <w:rsid w:val="00C74BD5"/>
    <w:rsid w:val="00C750B1"/>
    <w:rsid w:val="00C75B9E"/>
    <w:rsid w:val="00C7680C"/>
    <w:rsid w:val="00C76D67"/>
    <w:rsid w:val="00C76D73"/>
    <w:rsid w:val="00C777F1"/>
    <w:rsid w:val="00C77D59"/>
    <w:rsid w:val="00C811C7"/>
    <w:rsid w:val="00C82207"/>
    <w:rsid w:val="00C82634"/>
    <w:rsid w:val="00C82D6D"/>
    <w:rsid w:val="00C852F6"/>
    <w:rsid w:val="00C86088"/>
    <w:rsid w:val="00C8673E"/>
    <w:rsid w:val="00C86747"/>
    <w:rsid w:val="00C8677E"/>
    <w:rsid w:val="00C8793B"/>
    <w:rsid w:val="00C900CE"/>
    <w:rsid w:val="00C909DA"/>
    <w:rsid w:val="00C924C2"/>
    <w:rsid w:val="00C93456"/>
    <w:rsid w:val="00C95159"/>
    <w:rsid w:val="00C95301"/>
    <w:rsid w:val="00C955CB"/>
    <w:rsid w:val="00C95EF4"/>
    <w:rsid w:val="00C96B3A"/>
    <w:rsid w:val="00C96C88"/>
    <w:rsid w:val="00CA14B1"/>
    <w:rsid w:val="00CA3A53"/>
    <w:rsid w:val="00CA52AD"/>
    <w:rsid w:val="00CA5879"/>
    <w:rsid w:val="00CA6145"/>
    <w:rsid w:val="00CA73FC"/>
    <w:rsid w:val="00CB1506"/>
    <w:rsid w:val="00CB16F5"/>
    <w:rsid w:val="00CB1C8D"/>
    <w:rsid w:val="00CB2217"/>
    <w:rsid w:val="00CB28E1"/>
    <w:rsid w:val="00CB3A23"/>
    <w:rsid w:val="00CB6059"/>
    <w:rsid w:val="00CB6454"/>
    <w:rsid w:val="00CB64E8"/>
    <w:rsid w:val="00CB6843"/>
    <w:rsid w:val="00CB6B52"/>
    <w:rsid w:val="00CB6C0A"/>
    <w:rsid w:val="00CB746C"/>
    <w:rsid w:val="00CC035E"/>
    <w:rsid w:val="00CC0FBB"/>
    <w:rsid w:val="00CC1905"/>
    <w:rsid w:val="00CC3CAF"/>
    <w:rsid w:val="00CC4D14"/>
    <w:rsid w:val="00CC556D"/>
    <w:rsid w:val="00CC5E0E"/>
    <w:rsid w:val="00CC759F"/>
    <w:rsid w:val="00CC77A1"/>
    <w:rsid w:val="00CD213C"/>
    <w:rsid w:val="00CD27C9"/>
    <w:rsid w:val="00CD2972"/>
    <w:rsid w:val="00CD2D71"/>
    <w:rsid w:val="00CD3940"/>
    <w:rsid w:val="00CD6050"/>
    <w:rsid w:val="00CD6487"/>
    <w:rsid w:val="00CD655B"/>
    <w:rsid w:val="00CD7582"/>
    <w:rsid w:val="00CD7A85"/>
    <w:rsid w:val="00CE0B0A"/>
    <w:rsid w:val="00CE0D08"/>
    <w:rsid w:val="00CE1367"/>
    <w:rsid w:val="00CE175B"/>
    <w:rsid w:val="00CE1B3E"/>
    <w:rsid w:val="00CE2478"/>
    <w:rsid w:val="00CE3374"/>
    <w:rsid w:val="00CE437F"/>
    <w:rsid w:val="00CE4E67"/>
    <w:rsid w:val="00CE55F3"/>
    <w:rsid w:val="00CE771D"/>
    <w:rsid w:val="00CE7954"/>
    <w:rsid w:val="00CE7D08"/>
    <w:rsid w:val="00CF0723"/>
    <w:rsid w:val="00CF0B28"/>
    <w:rsid w:val="00CF0B84"/>
    <w:rsid w:val="00CF103A"/>
    <w:rsid w:val="00CF19E7"/>
    <w:rsid w:val="00CF1C8F"/>
    <w:rsid w:val="00CF1E5C"/>
    <w:rsid w:val="00CF27AF"/>
    <w:rsid w:val="00CF2D35"/>
    <w:rsid w:val="00CF2D5F"/>
    <w:rsid w:val="00CF2DC2"/>
    <w:rsid w:val="00CF3A50"/>
    <w:rsid w:val="00CF3A65"/>
    <w:rsid w:val="00CF4A5D"/>
    <w:rsid w:val="00CF4A74"/>
    <w:rsid w:val="00CF51BA"/>
    <w:rsid w:val="00CF63C9"/>
    <w:rsid w:val="00CF7B8D"/>
    <w:rsid w:val="00D01AA7"/>
    <w:rsid w:val="00D01D52"/>
    <w:rsid w:val="00D04723"/>
    <w:rsid w:val="00D047EA"/>
    <w:rsid w:val="00D04A1B"/>
    <w:rsid w:val="00D065D9"/>
    <w:rsid w:val="00D06B7A"/>
    <w:rsid w:val="00D076FA"/>
    <w:rsid w:val="00D07B68"/>
    <w:rsid w:val="00D07E14"/>
    <w:rsid w:val="00D1086E"/>
    <w:rsid w:val="00D11AAB"/>
    <w:rsid w:val="00D11BC9"/>
    <w:rsid w:val="00D1215F"/>
    <w:rsid w:val="00D14DA5"/>
    <w:rsid w:val="00D156F3"/>
    <w:rsid w:val="00D17AEB"/>
    <w:rsid w:val="00D205FC"/>
    <w:rsid w:val="00D21C71"/>
    <w:rsid w:val="00D227E9"/>
    <w:rsid w:val="00D2307B"/>
    <w:rsid w:val="00D231E0"/>
    <w:rsid w:val="00D23E67"/>
    <w:rsid w:val="00D259D3"/>
    <w:rsid w:val="00D25BE6"/>
    <w:rsid w:val="00D261F5"/>
    <w:rsid w:val="00D27635"/>
    <w:rsid w:val="00D2764C"/>
    <w:rsid w:val="00D300AA"/>
    <w:rsid w:val="00D31C39"/>
    <w:rsid w:val="00D3215F"/>
    <w:rsid w:val="00D32E19"/>
    <w:rsid w:val="00D35788"/>
    <w:rsid w:val="00D362C8"/>
    <w:rsid w:val="00D36CF2"/>
    <w:rsid w:val="00D36D76"/>
    <w:rsid w:val="00D36EBC"/>
    <w:rsid w:val="00D375E7"/>
    <w:rsid w:val="00D37DCB"/>
    <w:rsid w:val="00D37E74"/>
    <w:rsid w:val="00D43BBB"/>
    <w:rsid w:val="00D43CF9"/>
    <w:rsid w:val="00D443B5"/>
    <w:rsid w:val="00D4476D"/>
    <w:rsid w:val="00D4519D"/>
    <w:rsid w:val="00D46339"/>
    <w:rsid w:val="00D471B9"/>
    <w:rsid w:val="00D50503"/>
    <w:rsid w:val="00D50D1A"/>
    <w:rsid w:val="00D51BC9"/>
    <w:rsid w:val="00D525DF"/>
    <w:rsid w:val="00D54F52"/>
    <w:rsid w:val="00D56B79"/>
    <w:rsid w:val="00D57289"/>
    <w:rsid w:val="00D5748B"/>
    <w:rsid w:val="00D578B9"/>
    <w:rsid w:val="00D57C8E"/>
    <w:rsid w:val="00D60C05"/>
    <w:rsid w:val="00D60CEB"/>
    <w:rsid w:val="00D62A72"/>
    <w:rsid w:val="00D62FF6"/>
    <w:rsid w:val="00D635EC"/>
    <w:rsid w:val="00D67159"/>
    <w:rsid w:val="00D67270"/>
    <w:rsid w:val="00D71AAA"/>
    <w:rsid w:val="00D72232"/>
    <w:rsid w:val="00D727F6"/>
    <w:rsid w:val="00D72F39"/>
    <w:rsid w:val="00D7371F"/>
    <w:rsid w:val="00D73AFD"/>
    <w:rsid w:val="00D74091"/>
    <w:rsid w:val="00D751A7"/>
    <w:rsid w:val="00D761BC"/>
    <w:rsid w:val="00D76A41"/>
    <w:rsid w:val="00D76DD9"/>
    <w:rsid w:val="00D76ED5"/>
    <w:rsid w:val="00D76ED9"/>
    <w:rsid w:val="00D77BB0"/>
    <w:rsid w:val="00D77C17"/>
    <w:rsid w:val="00D77D85"/>
    <w:rsid w:val="00D77F94"/>
    <w:rsid w:val="00D8063E"/>
    <w:rsid w:val="00D807BF"/>
    <w:rsid w:val="00D80E50"/>
    <w:rsid w:val="00D81D64"/>
    <w:rsid w:val="00D8348F"/>
    <w:rsid w:val="00D83CC0"/>
    <w:rsid w:val="00D83E4B"/>
    <w:rsid w:val="00D8445B"/>
    <w:rsid w:val="00D86146"/>
    <w:rsid w:val="00D862D7"/>
    <w:rsid w:val="00D86366"/>
    <w:rsid w:val="00D8648F"/>
    <w:rsid w:val="00D8664B"/>
    <w:rsid w:val="00D86A62"/>
    <w:rsid w:val="00D86D98"/>
    <w:rsid w:val="00D870BE"/>
    <w:rsid w:val="00D91AA9"/>
    <w:rsid w:val="00D925C4"/>
    <w:rsid w:val="00D92FF3"/>
    <w:rsid w:val="00D93279"/>
    <w:rsid w:val="00D938C6"/>
    <w:rsid w:val="00D93CB9"/>
    <w:rsid w:val="00D94142"/>
    <w:rsid w:val="00D96890"/>
    <w:rsid w:val="00D96979"/>
    <w:rsid w:val="00D96C03"/>
    <w:rsid w:val="00D974AC"/>
    <w:rsid w:val="00DA0C93"/>
    <w:rsid w:val="00DA0CBB"/>
    <w:rsid w:val="00DA1CDB"/>
    <w:rsid w:val="00DA2DDE"/>
    <w:rsid w:val="00DA37FB"/>
    <w:rsid w:val="00DA4A7F"/>
    <w:rsid w:val="00DA4AED"/>
    <w:rsid w:val="00DA5AC3"/>
    <w:rsid w:val="00DA6094"/>
    <w:rsid w:val="00DA7D4C"/>
    <w:rsid w:val="00DB029B"/>
    <w:rsid w:val="00DB15AA"/>
    <w:rsid w:val="00DB200E"/>
    <w:rsid w:val="00DB29BE"/>
    <w:rsid w:val="00DB3BC3"/>
    <w:rsid w:val="00DB5A0E"/>
    <w:rsid w:val="00DB5C90"/>
    <w:rsid w:val="00DB6F32"/>
    <w:rsid w:val="00DC12E6"/>
    <w:rsid w:val="00DC15F1"/>
    <w:rsid w:val="00DC1674"/>
    <w:rsid w:val="00DC2678"/>
    <w:rsid w:val="00DC2772"/>
    <w:rsid w:val="00DC282D"/>
    <w:rsid w:val="00DC2B3C"/>
    <w:rsid w:val="00DC397C"/>
    <w:rsid w:val="00DC3CC0"/>
    <w:rsid w:val="00DC3D12"/>
    <w:rsid w:val="00DC4CA5"/>
    <w:rsid w:val="00DC4D3B"/>
    <w:rsid w:val="00DC593D"/>
    <w:rsid w:val="00DC5BF0"/>
    <w:rsid w:val="00DC7C33"/>
    <w:rsid w:val="00DC7D40"/>
    <w:rsid w:val="00DD0F87"/>
    <w:rsid w:val="00DD1BB0"/>
    <w:rsid w:val="00DD259F"/>
    <w:rsid w:val="00DD2951"/>
    <w:rsid w:val="00DD389D"/>
    <w:rsid w:val="00DD3F5A"/>
    <w:rsid w:val="00DD4503"/>
    <w:rsid w:val="00DD48E8"/>
    <w:rsid w:val="00DD4B23"/>
    <w:rsid w:val="00DD4F20"/>
    <w:rsid w:val="00DD4FC3"/>
    <w:rsid w:val="00DD529D"/>
    <w:rsid w:val="00DD6932"/>
    <w:rsid w:val="00DD719B"/>
    <w:rsid w:val="00DD74A1"/>
    <w:rsid w:val="00DE0F7D"/>
    <w:rsid w:val="00DE23FD"/>
    <w:rsid w:val="00DE26F7"/>
    <w:rsid w:val="00DE284D"/>
    <w:rsid w:val="00DE2A4B"/>
    <w:rsid w:val="00DE38A7"/>
    <w:rsid w:val="00DE3967"/>
    <w:rsid w:val="00DE3C4E"/>
    <w:rsid w:val="00DE3F3D"/>
    <w:rsid w:val="00DE4153"/>
    <w:rsid w:val="00DE4239"/>
    <w:rsid w:val="00DE61AF"/>
    <w:rsid w:val="00DE7217"/>
    <w:rsid w:val="00DE781A"/>
    <w:rsid w:val="00DE788A"/>
    <w:rsid w:val="00DE7CDD"/>
    <w:rsid w:val="00DF04D2"/>
    <w:rsid w:val="00DF0BC3"/>
    <w:rsid w:val="00DF2732"/>
    <w:rsid w:val="00DF3382"/>
    <w:rsid w:val="00DF440D"/>
    <w:rsid w:val="00DF45BD"/>
    <w:rsid w:val="00DF51A6"/>
    <w:rsid w:val="00DF532A"/>
    <w:rsid w:val="00DF6AC5"/>
    <w:rsid w:val="00DF715B"/>
    <w:rsid w:val="00DF7A51"/>
    <w:rsid w:val="00E009BD"/>
    <w:rsid w:val="00E01034"/>
    <w:rsid w:val="00E020F8"/>
    <w:rsid w:val="00E028C2"/>
    <w:rsid w:val="00E0303A"/>
    <w:rsid w:val="00E0303B"/>
    <w:rsid w:val="00E033F0"/>
    <w:rsid w:val="00E03670"/>
    <w:rsid w:val="00E03F63"/>
    <w:rsid w:val="00E04996"/>
    <w:rsid w:val="00E0508B"/>
    <w:rsid w:val="00E05D7E"/>
    <w:rsid w:val="00E07F52"/>
    <w:rsid w:val="00E10478"/>
    <w:rsid w:val="00E10A26"/>
    <w:rsid w:val="00E11AF4"/>
    <w:rsid w:val="00E12005"/>
    <w:rsid w:val="00E13006"/>
    <w:rsid w:val="00E139BF"/>
    <w:rsid w:val="00E143A3"/>
    <w:rsid w:val="00E1462B"/>
    <w:rsid w:val="00E14DEE"/>
    <w:rsid w:val="00E15C6E"/>
    <w:rsid w:val="00E15EB9"/>
    <w:rsid w:val="00E168F6"/>
    <w:rsid w:val="00E17343"/>
    <w:rsid w:val="00E177A9"/>
    <w:rsid w:val="00E202EE"/>
    <w:rsid w:val="00E20AC2"/>
    <w:rsid w:val="00E23382"/>
    <w:rsid w:val="00E234CF"/>
    <w:rsid w:val="00E238FD"/>
    <w:rsid w:val="00E24593"/>
    <w:rsid w:val="00E2490E"/>
    <w:rsid w:val="00E24959"/>
    <w:rsid w:val="00E2522A"/>
    <w:rsid w:val="00E256E5"/>
    <w:rsid w:val="00E25A12"/>
    <w:rsid w:val="00E25E83"/>
    <w:rsid w:val="00E26FC8"/>
    <w:rsid w:val="00E27852"/>
    <w:rsid w:val="00E27E27"/>
    <w:rsid w:val="00E27FAF"/>
    <w:rsid w:val="00E304A4"/>
    <w:rsid w:val="00E31245"/>
    <w:rsid w:val="00E315D4"/>
    <w:rsid w:val="00E3189D"/>
    <w:rsid w:val="00E321A7"/>
    <w:rsid w:val="00E338F1"/>
    <w:rsid w:val="00E36731"/>
    <w:rsid w:val="00E37392"/>
    <w:rsid w:val="00E37A69"/>
    <w:rsid w:val="00E405A3"/>
    <w:rsid w:val="00E41BFC"/>
    <w:rsid w:val="00E43223"/>
    <w:rsid w:val="00E43A85"/>
    <w:rsid w:val="00E442EC"/>
    <w:rsid w:val="00E44534"/>
    <w:rsid w:val="00E44AB3"/>
    <w:rsid w:val="00E45793"/>
    <w:rsid w:val="00E45A3F"/>
    <w:rsid w:val="00E4696E"/>
    <w:rsid w:val="00E509F4"/>
    <w:rsid w:val="00E50AFC"/>
    <w:rsid w:val="00E513E0"/>
    <w:rsid w:val="00E52DE0"/>
    <w:rsid w:val="00E55E5C"/>
    <w:rsid w:val="00E56343"/>
    <w:rsid w:val="00E60152"/>
    <w:rsid w:val="00E60246"/>
    <w:rsid w:val="00E612E0"/>
    <w:rsid w:val="00E61447"/>
    <w:rsid w:val="00E61829"/>
    <w:rsid w:val="00E61A2E"/>
    <w:rsid w:val="00E61DEB"/>
    <w:rsid w:val="00E639F5"/>
    <w:rsid w:val="00E63A6F"/>
    <w:rsid w:val="00E63E1D"/>
    <w:rsid w:val="00E64D80"/>
    <w:rsid w:val="00E65193"/>
    <w:rsid w:val="00E65200"/>
    <w:rsid w:val="00E65581"/>
    <w:rsid w:val="00E65A86"/>
    <w:rsid w:val="00E67DE7"/>
    <w:rsid w:val="00E7068B"/>
    <w:rsid w:val="00E70A4F"/>
    <w:rsid w:val="00E70EB7"/>
    <w:rsid w:val="00E7127B"/>
    <w:rsid w:val="00E7222D"/>
    <w:rsid w:val="00E725B8"/>
    <w:rsid w:val="00E7317E"/>
    <w:rsid w:val="00E73303"/>
    <w:rsid w:val="00E73E7E"/>
    <w:rsid w:val="00E74CCD"/>
    <w:rsid w:val="00E750CD"/>
    <w:rsid w:val="00E7514E"/>
    <w:rsid w:val="00E758B4"/>
    <w:rsid w:val="00E75CC9"/>
    <w:rsid w:val="00E774BE"/>
    <w:rsid w:val="00E80E5C"/>
    <w:rsid w:val="00E80F95"/>
    <w:rsid w:val="00E81F68"/>
    <w:rsid w:val="00E8230C"/>
    <w:rsid w:val="00E8374C"/>
    <w:rsid w:val="00E84E1F"/>
    <w:rsid w:val="00E85FE8"/>
    <w:rsid w:val="00E8626F"/>
    <w:rsid w:val="00E868D9"/>
    <w:rsid w:val="00E87815"/>
    <w:rsid w:val="00E90357"/>
    <w:rsid w:val="00E90372"/>
    <w:rsid w:val="00E913C9"/>
    <w:rsid w:val="00E91A1F"/>
    <w:rsid w:val="00E92322"/>
    <w:rsid w:val="00E92606"/>
    <w:rsid w:val="00E9299F"/>
    <w:rsid w:val="00E93442"/>
    <w:rsid w:val="00E934BC"/>
    <w:rsid w:val="00E94104"/>
    <w:rsid w:val="00E9437E"/>
    <w:rsid w:val="00E95234"/>
    <w:rsid w:val="00E95F6F"/>
    <w:rsid w:val="00E96FD2"/>
    <w:rsid w:val="00E975E6"/>
    <w:rsid w:val="00E977B0"/>
    <w:rsid w:val="00EA0598"/>
    <w:rsid w:val="00EA1408"/>
    <w:rsid w:val="00EA16E0"/>
    <w:rsid w:val="00EA216C"/>
    <w:rsid w:val="00EA2887"/>
    <w:rsid w:val="00EA38D0"/>
    <w:rsid w:val="00EA46B4"/>
    <w:rsid w:val="00EA4947"/>
    <w:rsid w:val="00EA512E"/>
    <w:rsid w:val="00EA564D"/>
    <w:rsid w:val="00EA5FC1"/>
    <w:rsid w:val="00EA6C3D"/>
    <w:rsid w:val="00EA6CA5"/>
    <w:rsid w:val="00EA6CCE"/>
    <w:rsid w:val="00EA7009"/>
    <w:rsid w:val="00EA7117"/>
    <w:rsid w:val="00EB2BAB"/>
    <w:rsid w:val="00EB3225"/>
    <w:rsid w:val="00EB3D87"/>
    <w:rsid w:val="00EB3E64"/>
    <w:rsid w:val="00EB4C53"/>
    <w:rsid w:val="00EB5382"/>
    <w:rsid w:val="00EB548F"/>
    <w:rsid w:val="00EB550F"/>
    <w:rsid w:val="00EB60EF"/>
    <w:rsid w:val="00EC0504"/>
    <w:rsid w:val="00EC0791"/>
    <w:rsid w:val="00EC07A6"/>
    <w:rsid w:val="00EC1069"/>
    <w:rsid w:val="00EC10B9"/>
    <w:rsid w:val="00EC119C"/>
    <w:rsid w:val="00EC164E"/>
    <w:rsid w:val="00EC2AB6"/>
    <w:rsid w:val="00EC3109"/>
    <w:rsid w:val="00EC3431"/>
    <w:rsid w:val="00EC5136"/>
    <w:rsid w:val="00EC53C0"/>
    <w:rsid w:val="00EC54B7"/>
    <w:rsid w:val="00EC5AED"/>
    <w:rsid w:val="00EC6387"/>
    <w:rsid w:val="00EC6DC9"/>
    <w:rsid w:val="00EC6E14"/>
    <w:rsid w:val="00EC6F48"/>
    <w:rsid w:val="00EC7B4D"/>
    <w:rsid w:val="00ED07CF"/>
    <w:rsid w:val="00ED1B45"/>
    <w:rsid w:val="00ED236B"/>
    <w:rsid w:val="00ED2B51"/>
    <w:rsid w:val="00ED3697"/>
    <w:rsid w:val="00ED3ADE"/>
    <w:rsid w:val="00ED3C05"/>
    <w:rsid w:val="00ED3C07"/>
    <w:rsid w:val="00ED4D65"/>
    <w:rsid w:val="00ED73A1"/>
    <w:rsid w:val="00ED7403"/>
    <w:rsid w:val="00ED757A"/>
    <w:rsid w:val="00ED775E"/>
    <w:rsid w:val="00EE001C"/>
    <w:rsid w:val="00EE0349"/>
    <w:rsid w:val="00EE12BF"/>
    <w:rsid w:val="00EE15B6"/>
    <w:rsid w:val="00EE17AE"/>
    <w:rsid w:val="00EE26CB"/>
    <w:rsid w:val="00EE2C0C"/>
    <w:rsid w:val="00EE3912"/>
    <w:rsid w:val="00EE3CEE"/>
    <w:rsid w:val="00EE3E72"/>
    <w:rsid w:val="00EE41EC"/>
    <w:rsid w:val="00EE420C"/>
    <w:rsid w:val="00EE49C2"/>
    <w:rsid w:val="00EE4E72"/>
    <w:rsid w:val="00EE4ED0"/>
    <w:rsid w:val="00EE611B"/>
    <w:rsid w:val="00EE6DEC"/>
    <w:rsid w:val="00EE6E55"/>
    <w:rsid w:val="00EE76AD"/>
    <w:rsid w:val="00EE7D99"/>
    <w:rsid w:val="00EF03ED"/>
    <w:rsid w:val="00EF05C5"/>
    <w:rsid w:val="00EF05FD"/>
    <w:rsid w:val="00EF09D6"/>
    <w:rsid w:val="00EF0B40"/>
    <w:rsid w:val="00EF1054"/>
    <w:rsid w:val="00EF1316"/>
    <w:rsid w:val="00EF27E7"/>
    <w:rsid w:val="00EF35E0"/>
    <w:rsid w:val="00EF43B0"/>
    <w:rsid w:val="00EF43F0"/>
    <w:rsid w:val="00EF45FC"/>
    <w:rsid w:val="00EF6440"/>
    <w:rsid w:val="00EF6A61"/>
    <w:rsid w:val="00EF6D8B"/>
    <w:rsid w:val="00EF6F11"/>
    <w:rsid w:val="00EF7030"/>
    <w:rsid w:val="00EF7587"/>
    <w:rsid w:val="00EF7C3C"/>
    <w:rsid w:val="00F00549"/>
    <w:rsid w:val="00F00BBE"/>
    <w:rsid w:val="00F00BE1"/>
    <w:rsid w:val="00F0175C"/>
    <w:rsid w:val="00F01A83"/>
    <w:rsid w:val="00F02799"/>
    <w:rsid w:val="00F02A6F"/>
    <w:rsid w:val="00F03BD6"/>
    <w:rsid w:val="00F03C9F"/>
    <w:rsid w:val="00F03F79"/>
    <w:rsid w:val="00F040AC"/>
    <w:rsid w:val="00F04180"/>
    <w:rsid w:val="00F0587F"/>
    <w:rsid w:val="00F05C12"/>
    <w:rsid w:val="00F066D9"/>
    <w:rsid w:val="00F06708"/>
    <w:rsid w:val="00F0736A"/>
    <w:rsid w:val="00F0767A"/>
    <w:rsid w:val="00F07972"/>
    <w:rsid w:val="00F07990"/>
    <w:rsid w:val="00F079D3"/>
    <w:rsid w:val="00F103DD"/>
    <w:rsid w:val="00F106B0"/>
    <w:rsid w:val="00F1096C"/>
    <w:rsid w:val="00F117F1"/>
    <w:rsid w:val="00F11E97"/>
    <w:rsid w:val="00F12301"/>
    <w:rsid w:val="00F12880"/>
    <w:rsid w:val="00F12B85"/>
    <w:rsid w:val="00F13623"/>
    <w:rsid w:val="00F142A5"/>
    <w:rsid w:val="00F1550A"/>
    <w:rsid w:val="00F1634A"/>
    <w:rsid w:val="00F172FA"/>
    <w:rsid w:val="00F17D1A"/>
    <w:rsid w:val="00F20AB8"/>
    <w:rsid w:val="00F218A3"/>
    <w:rsid w:val="00F22011"/>
    <w:rsid w:val="00F220EB"/>
    <w:rsid w:val="00F23055"/>
    <w:rsid w:val="00F25E4B"/>
    <w:rsid w:val="00F25E85"/>
    <w:rsid w:val="00F25F1B"/>
    <w:rsid w:val="00F262CC"/>
    <w:rsid w:val="00F30B62"/>
    <w:rsid w:val="00F317E0"/>
    <w:rsid w:val="00F34617"/>
    <w:rsid w:val="00F349FB"/>
    <w:rsid w:val="00F34D29"/>
    <w:rsid w:val="00F35BE1"/>
    <w:rsid w:val="00F366AE"/>
    <w:rsid w:val="00F42083"/>
    <w:rsid w:val="00F42186"/>
    <w:rsid w:val="00F42951"/>
    <w:rsid w:val="00F42CBB"/>
    <w:rsid w:val="00F430E0"/>
    <w:rsid w:val="00F4325D"/>
    <w:rsid w:val="00F4408E"/>
    <w:rsid w:val="00F44A41"/>
    <w:rsid w:val="00F4616A"/>
    <w:rsid w:val="00F46A47"/>
    <w:rsid w:val="00F4714F"/>
    <w:rsid w:val="00F47F2E"/>
    <w:rsid w:val="00F5011A"/>
    <w:rsid w:val="00F5031B"/>
    <w:rsid w:val="00F50C25"/>
    <w:rsid w:val="00F51255"/>
    <w:rsid w:val="00F52533"/>
    <w:rsid w:val="00F5282A"/>
    <w:rsid w:val="00F52A19"/>
    <w:rsid w:val="00F52BA3"/>
    <w:rsid w:val="00F52D04"/>
    <w:rsid w:val="00F52ED5"/>
    <w:rsid w:val="00F54ED9"/>
    <w:rsid w:val="00F55284"/>
    <w:rsid w:val="00F55926"/>
    <w:rsid w:val="00F56833"/>
    <w:rsid w:val="00F56D18"/>
    <w:rsid w:val="00F5750F"/>
    <w:rsid w:val="00F60836"/>
    <w:rsid w:val="00F60B4A"/>
    <w:rsid w:val="00F60D74"/>
    <w:rsid w:val="00F61604"/>
    <w:rsid w:val="00F61B61"/>
    <w:rsid w:val="00F622FA"/>
    <w:rsid w:val="00F643FB"/>
    <w:rsid w:val="00F654B8"/>
    <w:rsid w:val="00F65C24"/>
    <w:rsid w:val="00F66BC7"/>
    <w:rsid w:val="00F67613"/>
    <w:rsid w:val="00F6774F"/>
    <w:rsid w:val="00F70CCC"/>
    <w:rsid w:val="00F71140"/>
    <w:rsid w:val="00F72389"/>
    <w:rsid w:val="00F73191"/>
    <w:rsid w:val="00F7362E"/>
    <w:rsid w:val="00F74A2E"/>
    <w:rsid w:val="00F74FF1"/>
    <w:rsid w:val="00F75495"/>
    <w:rsid w:val="00F7593E"/>
    <w:rsid w:val="00F8042A"/>
    <w:rsid w:val="00F80430"/>
    <w:rsid w:val="00F8046F"/>
    <w:rsid w:val="00F81F11"/>
    <w:rsid w:val="00F82938"/>
    <w:rsid w:val="00F829A6"/>
    <w:rsid w:val="00F82E51"/>
    <w:rsid w:val="00F830A9"/>
    <w:rsid w:val="00F8327C"/>
    <w:rsid w:val="00F83394"/>
    <w:rsid w:val="00F84A7C"/>
    <w:rsid w:val="00F857C8"/>
    <w:rsid w:val="00F86601"/>
    <w:rsid w:val="00F869D5"/>
    <w:rsid w:val="00F8779C"/>
    <w:rsid w:val="00F90A69"/>
    <w:rsid w:val="00F9187E"/>
    <w:rsid w:val="00F91A96"/>
    <w:rsid w:val="00F92CE0"/>
    <w:rsid w:val="00F92EDD"/>
    <w:rsid w:val="00F9343C"/>
    <w:rsid w:val="00F94DFE"/>
    <w:rsid w:val="00F95234"/>
    <w:rsid w:val="00F95530"/>
    <w:rsid w:val="00F95F21"/>
    <w:rsid w:val="00F9641E"/>
    <w:rsid w:val="00F9683E"/>
    <w:rsid w:val="00F97576"/>
    <w:rsid w:val="00F975A4"/>
    <w:rsid w:val="00FA17F9"/>
    <w:rsid w:val="00FA1DD1"/>
    <w:rsid w:val="00FA1DF1"/>
    <w:rsid w:val="00FA1F32"/>
    <w:rsid w:val="00FA202D"/>
    <w:rsid w:val="00FA2451"/>
    <w:rsid w:val="00FA309A"/>
    <w:rsid w:val="00FA3B53"/>
    <w:rsid w:val="00FA3E1E"/>
    <w:rsid w:val="00FA4B5C"/>
    <w:rsid w:val="00FA4CD0"/>
    <w:rsid w:val="00FA4FCF"/>
    <w:rsid w:val="00FA530F"/>
    <w:rsid w:val="00FA5331"/>
    <w:rsid w:val="00FA5359"/>
    <w:rsid w:val="00FA55FF"/>
    <w:rsid w:val="00FA6073"/>
    <w:rsid w:val="00FA6192"/>
    <w:rsid w:val="00FA7416"/>
    <w:rsid w:val="00FB0D2E"/>
    <w:rsid w:val="00FB0DF7"/>
    <w:rsid w:val="00FB1F74"/>
    <w:rsid w:val="00FB2AB7"/>
    <w:rsid w:val="00FB3896"/>
    <w:rsid w:val="00FB5739"/>
    <w:rsid w:val="00FB5983"/>
    <w:rsid w:val="00FB671B"/>
    <w:rsid w:val="00FB730D"/>
    <w:rsid w:val="00FB734D"/>
    <w:rsid w:val="00FC187C"/>
    <w:rsid w:val="00FC1B34"/>
    <w:rsid w:val="00FC1FF2"/>
    <w:rsid w:val="00FC2352"/>
    <w:rsid w:val="00FC2857"/>
    <w:rsid w:val="00FC44C8"/>
    <w:rsid w:val="00FC4B67"/>
    <w:rsid w:val="00FC506F"/>
    <w:rsid w:val="00FC68A2"/>
    <w:rsid w:val="00FC7796"/>
    <w:rsid w:val="00FC7FD7"/>
    <w:rsid w:val="00FD0308"/>
    <w:rsid w:val="00FD10FB"/>
    <w:rsid w:val="00FD13F1"/>
    <w:rsid w:val="00FD1D17"/>
    <w:rsid w:val="00FD2E1C"/>
    <w:rsid w:val="00FD3237"/>
    <w:rsid w:val="00FD367B"/>
    <w:rsid w:val="00FD445D"/>
    <w:rsid w:val="00FD46CC"/>
    <w:rsid w:val="00FD5694"/>
    <w:rsid w:val="00FD5F73"/>
    <w:rsid w:val="00FD70B9"/>
    <w:rsid w:val="00FD77DF"/>
    <w:rsid w:val="00FE0077"/>
    <w:rsid w:val="00FE0870"/>
    <w:rsid w:val="00FE08CE"/>
    <w:rsid w:val="00FE0AAB"/>
    <w:rsid w:val="00FE14F1"/>
    <w:rsid w:val="00FE16B8"/>
    <w:rsid w:val="00FE2038"/>
    <w:rsid w:val="00FE3B3A"/>
    <w:rsid w:val="00FE50E0"/>
    <w:rsid w:val="00FE6746"/>
    <w:rsid w:val="00FE6FF4"/>
    <w:rsid w:val="00FE7AA5"/>
    <w:rsid w:val="00FF017A"/>
    <w:rsid w:val="00FF09F7"/>
    <w:rsid w:val="00FF14EC"/>
    <w:rsid w:val="00FF1AAB"/>
    <w:rsid w:val="00FF460B"/>
    <w:rsid w:val="00FF4A00"/>
    <w:rsid w:val="00FF4D67"/>
    <w:rsid w:val="00FF4F02"/>
    <w:rsid w:val="00FF5A97"/>
    <w:rsid w:val="00FF6C5F"/>
    <w:rsid w:val="00FF6DCB"/>
    <w:rsid w:val="00FF72E2"/>
    <w:rsid w:val="01252596"/>
    <w:rsid w:val="0127005B"/>
    <w:rsid w:val="019C1747"/>
    <w:rsid w:val="01A3073B"/>
    <w:rsid w:val="01A42338"/>
    <w:rsid w:val="01D15662"/>
    <w:rsid w:val="01FB7405"/>
    <w:rsid w:val="025A30A1"/>
    <w:rsid w:val="02ED7EC0"/>
    <w:rsid w:val="034F8A89"/>
    <w:rsid w:val="035B1C14"/>
    <w:rsid w:val="04185C5A"/>
    <w:rsid w:val="04772312"/>
    <w:rsid w:val="048D4CCA"/>
    <w:rsid w:val="04AC0F3D"/>
    <w:rsid w:val="04B844FD"/>
    <w:rsid w:val="05E97064"/>
    <w:rsid w:val="06584CF4"/>
    <w:rsid w:val="068121B9"/>
    <w:rsid w:val="06B45433"/>
    <w:rsid w:val="075F7AB0"/>
    <w:rsid w:val="07682834"/>
    <w:rsid w:val="0776079D"/>
    <w:rsid w:val="07C02047"/>
    <w:rsid w:val="07C338E5"/>
    <w:rsid w:val="07DF4068"/>
    <w:rsid w:val="07E57FE6"/>
    <w:rsid w:val="08730DDD"/>
    <w:rsid w:val="097109FA"/>
    <w:rsid w:val="098D4ADB"/>
    <w:rsid w:val="09ACAF99"/>
    <w:rsid w:val="0A026A65"/>
    <w:rsid w:val="0A778E3D"/>
    <w:rsid w:val="0AB9189F"/>
    <w:rsid w:val="0ACED0CA"/>
    <w:rsid w:val="0B4567BD"/>
    <w:rsid w:val="0C7358DA"/>
    <w:rsid w:val="0CCE03D1"/>
    <w:rsid w:val="0D446EB6"/>
    <w:rsid w:val="0D61347A"/>
    <w:rsid w:val="0D8853B5"/>
    <w:rsid w:val="0DAC1D86"/>
    <w:rsid w:val="0DD56B37"/>
    <w:rsid w:val="0DEC750A"/>
    <w:rsid w:val="0DF30C3A"/>
    <w:rsid w:val="0EA6555D"/>
    <w:rsid w:val="0FAC6263"/>
    <w:rsid w:val="0FBC0357"/>
    <w:rsid w:val="0FD93FE2"/>
    <w:rsid w:val="0FED4AAD"/>
    <w:rsid w:val="0FFFFBA3"/>
    <w:rsid w:val="101B7AB2"/>
    <w:rsid w:val="10DE7762"/>
    <w:rsid w:val="111E7AB5"/>
    <w:rsid w:val="1144354C"/>
    <w:rsid w:val="11BA4F3F"/>
    <w:rsid w:val="11BC20E5"/>
    <w:rsid w:val="11DC5BBB"/>
    <w:rsid w:val="11ED01E2"/>
    <w:rsid w:val="12092BBC"/>
    <w:rsid w:val="127B38BB"/>
    <w:rsid w:val="12842A49"/>
    <w:rsid w:val="12BE0FEC"/>
    <w:rsid w:val="12DF7137"/>
    <w:rsid w:val="132A2CAA"/>
    <w:rsid w:val="136878BA"/>
    <w:rsid w:val="138122FB"/>
    <w:rsid w:val="138F574F"/>
    <w:rsid w:val="139D47F6"/>
    <w:rsid w:val="13BB48C5"/>
    <w:rsid w:val="13BB6627"/>
    <w:rsid w:val="13D23B69"/>
    <w:rsid w:val="13F75067"/>
    <w:rsid w:val="1435044C"/>
    <w:rsid w:val="14BFEFEB"/>
    <w:rsid w:val="14C42A04"/>
    <w:rsid w:val="153A78AA"/>
    <w:rsid w:val="158367AD"/>
    <w:rsid w:val="15913BF2"/>
    <w:rsid w:val="15BE7BD2"/>
    <w:rsid w:val="15E15F88"/>
    <w:rsid w:val="15FD0A54"/>
    <w:rsid w:val="1650232C"/>
    <w:rsid w:val="168242D0"/>
    <w:rsid w:val="16892DFD"/>
    <w:rsid w:val="16974971"/>
    <w:rsid w:val="16D03928"/>
    <w:rsid w:val="16DF0259"/>
    <w:rsid w:val="17015611"/>
    <w:rsid w:val="171C1D97"/>
    <w:rsid w:val="17280BA1"/>
    <w:rsid w:val="1768DFCE"/>
    <w:rsid w:val="177AB474"/>
    <w:rsid w:val="177BE373"/>
    <w:rsid w:val="17A13024"/>
    <w:rsid w:val="17D23CE0"/>
    <w:rsid w:val="17F31746"/>
    <w:rsid w:val="17F75848"/>
    <w:rsid w:val="183913F8"/>
    <w:rsid w:val="188E5AA8"/>
    <w:rsid w:val="18CC632C"/>
    <w:rsid w:val="18FA190A"/>
    <w:rsid w:val="1954106F"/>
    <w:rsid w:val="19615DF7"/>
    <w:rsid w:val="19E10F33"/>
    <w:rsid w:val="19EFCAEC"/>
    <w:rsid w:val="1A1764DA"/>
    <w:rsid w:val="1A513872"/>
    <w:rsid w:val="1A732E73"/>
    <w:rsid w:val="1AA502B7"/>
    <w:rsid w:val="1AAB7F76"/>
    <w:rsid w:val="1AB30AE7"/>
    <w:rsid w:val="1ADA3CB2"/>
    <w:rsid w:val="1AEB2EA1"/>
    <w:rsid w:val="1AF9A983"/>
    <w:rsid w:val="1B570046"/>
    <w:rsid w:val="1B833CD3"/>
    <w:rsid w:val="1B886BE4"/>
    <w:rsid w:val="1B97627A"/>
    <w:rsid w:val="1B9A4493"/>
    <w:rsid w:val="1BB326D4"/>
    <w:rsid w:val="1BB35766"/>
    <w:rsid w:val="1BEC4B29"/>
    <w:rsid w:val="1BFF40FA"/>
    <w:rsid w:val="1C0302FC"/>
    <w:rsid w:val="1C1E3E82"/>
    <w:rsid w:val="1C213F43"/>
    <w:rsid w:val="1C881643"/>
    <w:rsid w:val="1CE046C9"/>
    <w:rsid w:val="1CE935AE"/>
    <w:rsid w:val="1D097B94"/>
    <w:rsid w:val="1D4110DC"/>
    <w:rsid w:val="1D9A259A"/>
    <w:rsid w:val="1D9FB8BE"/>
    <w:rsid w:val="1DF4614E"/>
    <w:rsid w:val="1E6B7C58"/>
    <w:rsid w:val="1EAD69C5"/>
    <w:rsid w:val="1EC21026"/>
    <w:rsid w:val="1F041421"/>
    <w:rsid w:val="1FDF6135"/>
    <w:rsid w:val="1FDF6E5F"/>
    <w:rsid w:val="1FF57F5C"/>
    <w:rsid w:val="1FFB3093"/>
    <w:rsid w:val="1FFBDFF6"/>
    <w:rsid w:val="1FFEE88E"/>
    <w:rsid w:val="1FFFB6BC"/>
    <w:rsid w:val="20083391"/>
    <w:rsid w:val="201B3E66"/>
    <w:rsid w:val="203767C6"/>
    <w:rsid w:val="2129610F"/>
    <w:rsid w:val="21827B08"/>
    <w:rsid w:val="21DE514B"/>
    <w:rsid w:val="21E67A1C"/>
    <w:rsid w:val="21EF21DE"/>
    <w:rsid w:val="225706F9"/>
    <w:rsid w:val="22924451"/>
    <w:rsid w:val="22D402FC"/>
    <w:rsid w:val="231D1B70"/>
    <w:rsid w:val="2341520E"/>
    <w:rsid w:val="237C4C1C"/>
    <w:rsid w:val="23B20EC4"/>
    <w:rsid w:val="23CB6360"/>
    <w:rsid w:val="23FA2EE7"/>
    <w:rsid w:val="241E382B"/>
    <w:rsid w:val="24596400"/>
    <w:rsid w:val="249473FB"/>
    <w:rsid w:val="24BD42ED"/>
    <w:rsid w:val="25637566"/>
    <w:rsid w:val="256829D4"/>
    <w:rsid w:val="25753ECD"/>
    <w:rsid w:val="259B7A1F"/>
    <w:rsid w:val="25A44AA0"/>
    <w:rsid w:val="25C92B9A"/>
    <w:rsid w:val="261F068E"/>
    <w:rsid w:val="26393E58"/>
    <w:rsid w:val="263A327F"/>
    <w:rsid w:val="265E3DEC"/>
    <w:rsid w:val="268867E9"/>
    <w:rsid w:val="26CC2AAD"/>
    <w:rsid w:val="27AE6476"/>
    <w:rsid w:val="287064F9"/>
    <w:rsid w:val="28B3B712"/>
    <w:rsid w:val="28BD5F53"/>
    <w:rsid w:val="28CF13A2"/>
    <w:rsid w:val="28EE5003"/>
    <w:rsid w:val="29557CEF"/>
    <w:rsid w:val="299D4C62"/>
    <w:rsid w:val="2A1F430E"/>
    <w:rsid w:val="2A365B3B"/>
    <w:rsid w:val="2AA3C098"/>
    <w:rsid w:val="2AAE4234"/>
    <w:rsid w:val="2BB05E97"/>
    <w:rsid w:val="2C513168"/>
    <w:rsid w:val="2C7726B2"/>
    <w:rsid w:val="2CC73FC4"/>
    <w:rsid w:val="2CD61049"/>
    <w:rsid w:val="2CF402D6"/>
    <w:rsid w:val="2CFF0D37"/>
    <w:rsid w:val="2D0126B9"/>
    <w:rsid w:val="2D470BCC"/>
    <w:rsid w:val="2D6D7CCB"/>
    <w:rsid w:val="2D6FAAA5"/>
    <w:rsid w:val="2D79A66E"/>
    <w:rsid w:val="2D8B719C"/>
    <w:rsid w:val="2D967500"/>
    <w:rsid w:val="2DD582DC"/>
    <w:rsid w:val="2DD97E9D"/>
    <w:rsid w:val="2DFFBE4F"/>
    <w:rsid w:val="2E093237"/>
    <w:rsid w:val="2E187333"/>
    <w:rsid w:val="2E4E7EAF"/>
    <w:rsid w:val="2E784366"/>
    <w:rsid w:val="2EB858F6"/>
    <w:rsid w:val="2EE5452B"/>
    <w:rsid w:val="2EEC0315"/>
    <w:rsid w:val="2EED715E"/>
    <w:rsid w:val="2F39F598"/>
    <w:rsid w:val="2F586AF2"/>
    <w:rsid w:val="2F7F5040"/>
    <w:rsid w:val="2F85425A"/>
    <w:rsid w:val="2FB54C0D"/>
    <w:rsid w:val="2FBEBBC3"/>
    <w:rsid w:val="2FBFB995"/>
    <w:rsid w:val="2FEE3940"/>
    <w:rsid w:val="2FFD6DBD"/>
    <w:rsid w:val="2FFDDB18"/>
    <w:rsid w:val="304548FE"/>
    <w:rsid w:val="30516C15"/>
    <w:rsid w:val="305546BC"/>
    <w:rsid w:val="30566D3E"/>
    <w:rsid w:val="305F601E"/>
    <w:rsid w:val="30707007"/>
    <w:rsid w:val="30E27A8B"/>
    <w:rsid w:val="31883779"/>
    <w:rsid w:val="321355A2"/>
    <w:rsid w:val="323A6B43"/>
    <w:rsid w:val="325D5B08"/>
    <w:rsid w:val="32BC532F"/>
    <w:rsid w:val="32F07F7D"/>
    <w:rsid w:val="33017E02"/>
    <w:rsid w:val="331A0A10"/>
    <w:rsid w:val="331A2928"/>
    <w:rsid w:val="336A0262"/>
    <w:rsid w:val="33E555DD"/>
    <w:rsid w:val="33FF9859"/>
    <w:rsid w:val="341A61F4"/>
    <w:rsid w:val="343D2BD3"/>
    <w:rsid w:val="34C259F3"/>
    <w:rsid w:val="34DE5679"/>
    <w:rsid w:val="34E726F7"/>
    <w:rsid w:val="34FA4206"/>
    <w:rsid w:val="361D38FD"/>
    <w:rsid w:val="362C3C78"/>
    <w:rsid w:val="365CA251"/>
    <w:rsid w:val="366E74D3"/>
    <w:rsid w:val="36C7657B"/>
    <w:rsid w:val="36CC15BF"/>
    <w:rsid w:val="36F93C80"/>
    <w:rsid w:val="36FEDD01"/>
    <w:rsid w:val="376835F9"/>
    <w:rsid w:val="377D9C44"/>
    <w:rsid w:val="377F8B0E"/>
    <w:rsid w:val="377FDAE6"/>
    <w:rsid w:val="379231C8"/>
    <w:rsid w:val="3795CA70"/>
    <w:rsid w:val="379D444E"/>
    <w:rsid w:val="37BDF962"/>
    <w:rsid w:val="37BF9C25"/>
    <w:rsid w:val="37CC7CAB"/>
    <w:rsid w:val="37D40026"/>
    <w:rsid w:val="37FB8E92"/>
    <w:rsid w:val="385D6FF1"/>
    <w:rsid w:val="38AC7B91"/>
    <w:rsid w:val="38FDFD96"/>
    <w:rsid w:val="39464ED3"/>
    <w:rsid w:val="397E21DC"/>
    <w:rsid w:val="39B36522"/>
    <w:rsid w:val="39EE5DE7"/>
    <w:rsid w:val="3AB86FEC"/>
    <w:rsid w:val="3ADFEF8E"/>
    <w:rsid w:val="3AE004B5"/>
    <w:rsid w:val="3AFD528E"/>
    <w:rsid w:val="3B3D27C7"/>
    <w:rsid w:val="3B3F453C"/>
    <w:rsid w:val="3B524141"/>
    <w:rsid w:val="3B524FBF"/>
    <w:rsid w:val="3B5FAC48"/>
    <w:rsid w:val="3B7C7865"/>
    <w:rsid w:val="3B7D37B9"/>
    <w:rsid w:val="3B7D78DC"/>
    <w:rsid w:val="3B7EEC56"/>
    <w:rsid w:val="3B7F7A27"/>
    <w:rsid w:val="3B950068"/>
    <w:rsid w:val="3B9A2326"/>
    <w:rsid w:val="3BBCE281"/>
    <w:rsid w:val="3BCF4245"/>
    <w:rsid w:val="3BDE11CB"/>
    <w:rsid w:val="3BEDE8EF"/>
    <w:rsid w:val="3BF9BEA4"/>
    <w:rsid w:val="3BFBED8D"/>
    <w:rsid w:val="3BFF6BE4"/>
    <w:rsid w:val="3C025A83"/>
    <w:rsid w:val="3C3CBC23"/>
    <w:rsid w:val="3CD20476"/>
    <w:rsid w:val="3D5F2584"/>
    <w:rsid w:val="3D6573A8"/>
    <w:rsid w:val="3D7FD273"/>
    <w:rsid w:val="3D8373B3"/>
    <w:rsid w:val="3DB716FE"/>
    <w:rsid w:val="3DBB27A3"/>
    <w:rsid w:val="3DC4085D"/>
    <w:rsid w:val="3DDF06D2"/>
    <w:rsid w:val="3DDF6ADF"/>
    <w:rsid w:val="3DE218CD"/>
    <w:rsid w:val="3DE535AD"/>
    <w:rsid w:val="3DF46F01"/>
    <w:rsid w:val="3DF7295B"/>
    <w:rsid w:val="3DFA5986"/>
    <w:rsid w:val="3DFF1E24"/>
    <w:rsid w:val="3DFF241E"/>
    <w:rsid w:val="3E173A67"/>
    <w:rsid w:val="3E9D4A8A"/>
    <w:rsid w:val="3EB70541"/>
    <w:rsid w:val="3EBF6EDF"/>
    <w:rsid w:val="3EBFC3F7"/>
    <w:rsid w:val="3EC958C6"/>
    <w:rsid w:val="3EDF51B0"/>
    <w:rsid w:val="3EECE3AA"/>
    <w:rsid w:val="3EEF13C3"/>
    <w:rsid w:val="3EFBE249"/>
    <w:rsid w:val="3EFE713F"/>
    <w:rsid w:val="3F5B62E9"/>
    <w:rsid w:val="3F5E7B73"/>
    <w:rsid w:val="3F6BEAA1"/>
    <w:rsid w:val="3F7396D6"/>
    <w:rsid w:val="3F7B0026"/>
    <w:rsid w:val="3F7FB7AB"/>
    <w:rsid w:val="3FAC2870"/>
    <w:rsid w:val="3FB62D48"/>
    <w:rsid w:val="3FBA3BA3"/>
    <w:rsid w:val="3FBE5D23"/>
    <w:rsid w:val="3FCA1B56"/>
    <w:rsid w:val="3FCEFA1D"/>
    <w:rsid w:val="3FD45463"/>
    <w:rsid w:val="3FD6AE0E"/>
    <w:rsid w:val="3FDAEB8B"/>
    <w:rsid w:val="3FDD474A"/>
    <w:rsid w:val="3FEEB4EC"/>
    <w:rsid w:val="3FF441BA"/>
    <w:rsid w:val="3FF73C44"/>
    <w:rsid w:val="3FF99BAE"/>
    <w:rsid w:val="3FFB51E8"/>
    <w:rsid w:val="3FFEAE14"/>
    <w:rsid w:val="3FFF2B7C"/>
    <w:rsid w:val="3FFF3B86"/>
    <w:rsid w:val="3FFF3E76"/>
    <w:rsid w:val="400B187F"/>
    <w:rsid w:val="40546A8A"/>
    <w:rsid w:val="40845C79"/>
    <w:rsid w:val="40F710B2"/>
    <w:rsid w:val="41480657"/>
    <w:rsid w:val="42A94EAA"/>
    <w:rsid w:val="42D533CC"/>
    <w:rsid w:val="42EE2006"/>
    <w:rsid w:val="430F4E6C"/>
    <w:rsid w:val="433D29BE"/>
    <w:rsid w:val="434857AB"/>
    <w:rsid w:val="43BA05BC"/>
    <w:rsid w:val="43E94AC7"/>
    <w:rsid w:val="44C8579D"/>
    <w:rsid w:val="44DB6D96"/>
    <w:rsid w:val="45146BA5"/>
    <w:rsid w:val="453227BC"/>
    <w:rsid w:val="454F77FB"/>
    <w:rsid w:val="455D266D"/>
    <w:rsid w:val="45B5AF8D"/>
    <w:rsid w:val="45F80D1D"/>
    <w:rsid w:val="45FD60D6"/>
    <w:rsid w:val="46897329"/>
    <w:rsid w:val="46992FB4"/>
    <w:rsid w:val="471D35A9"/>
    <w:rsid w:val="47412E4C"/>
    <w:rsid w:val="478107DF"/>
    <w:rsid w:val="47AFAF4E"/>
    <w:rsid w:val="47BE5209"/>
    <w:rsid w:val="47DD3FBA"/>
    <w:rsid w:val="47FF8759"/>
    <w:rsid w:val="480673AC"/>
    <w:rsid w:val="48085325"/>
    <w:rsid w:val="48856531"/>
    <w:rsid w:val="48AA4D91"/>
    <w:rsid w:val="48D76B51"/>
    <w:rsid w:val="48F65F2A"/>
    <w:rsid w:val="491970F3"/>
    <w:rsid w:val="49695C11"/>
    <w:rsid w:val="499D6BD7"/>
    <w:rsid w:val="4A6A7334"/>
    <w:rsid w:val="4A9D23DE"/>
    <w:rsid w:val="4AAA1B3A"/>
    <w:rsid w:val="4ABB33B1"/>
    <w:rsid w:val="4AF4B24C"/>
    <w:rsid w:val="4B2A05FC"/>
    <w:rsid w:val="4B394B74"/>
    <w:rsid w:val="4B4010AE"/>
    <w:rsid w:val="4B564639"/>
    <w:rsid w:val="4BA17066"/>
    <w:rsid w:val="4BFD1F54"/>
    <w:rsid w:val="4BFF7B64"/>
    <w:rsid w:val="4C5155F5"/>
    <w:rsid w:val="4C6E6583"/>
    <w:rsid w:val="4CD227EC"/>
    <w:rsid w:val="4CE27936"/>
    <w:rsid w:val="4CEFE181"/>
    <w:rsid w:val="4CF32FA5"/>
    <w:rsid w:val="4D4F3090"/>
    <w:rsid w:val="4D7698E1"/>
    <w:rsid w:val="4D9E2924"/>
    <w:rsid w:val="4D9FA403"/>
    <w:rsid w:val="4DF61C53"/>
    <w:rsid w:val="4DFE7CD1"/>
    <w:rsid w:val="4E0A1EFF"/>
    <w:rsid w:val="4E67E532"/>
    <w:rsid w:val="4E6EA47F"/>
    <w:rsid w:val="4E7002C0"/>
    <w:rsid w:val="4EAB13FC"/>
    <w:rsid w:val="4EFFB3AC"/>
    <w:rsid w:val="4F205BE9"/>
    <w:rsid w:val="4F482228"/>
    <w:rsid w:val="4F610152"/>
    <w:rsid w:val="4F77D366"/>
    <w:rsid w:val="4F7D57F9"/>
    <w:rsid w:val="4FAA08E9"/>
    <w:rsid w:val="4FED047D"/>
    <w:rsid w:val="4FEE1EF8"/>
    <w:rsid w:val="4FF63F50"/>
    <w:rsid w:val="4FF66038"/>
    <w:rsid w:val="4FF726A7"/>
    <w:rsid w:val="50672EE3"/>
    <w:rsid w:val="50B00528"/>
    <w:rsid w:val="513B2E22"/>
    <w:rsid w:val="517E4740"/>
    <w:rsid w:val="51931BE7"/>
    <w:rsid w:val="51FED7AB"/>
    <w:rsid w:val="52083E65"/>
    <w:rsid w:val="52161C23"/>
    <w:rsid w:val="524D69D3"/>
    <w:rsid w:val="52FA0D65"/>
    <w:rsid w:val="53073492"/>
    <w:rsid w:val="53130947"/>
    <w:rsid w:val="53176930"/>
    <w:rsid w:val="532272D6"/>
    <w:rsid w:val="532C0A2A"/>
    <w:rsid w:val="538B5963"/>
    <w:rsid w:val="538E3B96"/>
    <w:rsid w:val="53EB7956"/>
    <w:rsid w:val="54340223"/>
    <w:rsid w:val="546F7BE8"/>
    <w:rsid w:val="54D2CEE5"/>
    <w:rsid w:val="54ED7680"/>
    <w:rsid w:val="54F27C2E"/>
    <w:rsid w:val="5537DBB1"/>
    <w:rsid w:val="5572737D"/>
    <w:rsid w:val="5577D4E8"/>
    <w:rsid w:val="558C253D"/>
    <w:rsid w:val="55B460B6"/>
    <w:rsid w:val="55DE0531"/>
    <w:rsid w:val="55EB5754"/>
    <w:rsid w:val="55EC2E7A"/>
    <w:rsid w:val="55F3E386"/>
    <w:rsid w:val="55FD54ED"/>
    <w:rsid w:val="55FE3C7B"/>
    <w:rsid w:val="56226E25"/>
    <w:rsid w:val="565328D9"/>
    <w:rsid w:val="566059BE"/>
    <w:rsid w:val="567F64F2"/>
    <w:rsid w:val="56D21AB9"/>
    <w:rsid w:val="56FDBC53"/>
    <w:rsid w:val="56FE711B"/>
    <w:rsid w:val="56FF65EB"/>
    <w:rsid w:val="56FFCA1E"/>
    <w:rsid w:val="573F1B4A"/>
    <w:rsid w:val="57407733"/>
    <w:rsid w:val="57842563"/>
    <w:rsid w:val="57B147E9"/>
    <w:rsid w:val="57BA7017"/>
    <w:rsid w:val="57EA7A84"/>
    <w:rsid w:val="57F490DD"/>
    <w:rsid w:val="57FB0949"/>
    <w:rsid w:val="57FBC4B0"/>
    <w:rsid w:val="583E6166"/>
    <w:rsid w:val="585B3B38"/>
    <w:rsid w:val="5867622F"/>
    <w:rsid w:val="58C06A9A"/>
    <w:rsid w:val="58D75F64"/>
    <w:rsid w:val="591A3A1F"/>
    <w:rsid w:val="591B7FFB"/>
    <w:rsid w:val="596D0588"/>
    <w:rsid w:val="59A940EA"/>
    <w:rsid w:val="5A495822"/>
    <w:rsid w:val="5AE32FF8"/>
    <w:rsid w:val="5AF56690"/>
    <w:rsid w:val="5B101B12"/>
    <w:rsid w:val="5B204CD4"/>
    <w:rsid w:val="5B297DD4"/>
    <w:rsid w:val="5B2B4256"/>
    <w:rsid w:val="5B4D17D9"/>
    <w:rsid w:val="5B9D67A9"/>
    <w:rsid w:val="5BBA3107"/>
    <w:rsid w:val="5BD42115"/>
    <w:rsid w:val="5BD462C2"/>
    <w:rsid w:val="5BD91F04"/>
    <w:rsid w:val="5BDA0EA9"/>
    <w:rsid w:val="5BDB3021"/>
    <w:rsid w:val="5BDE5667"/>
    <w:rsid w:val="5BDF47FD"/>
    <w:rsid w:val="5BF37103"/>
    <w:rsid w:val="5BF4A75B"/>
    <w:rsid w:val="5BF5F75B"/>
    <w:rsid w:val="5C1E76CA"/>
    <w:rsid w:val="5C7D0093"/>
    <w:rsid w:val="5CDE4B4A"/>
    <w:rsid w:val="5CF79DA4"/>
    <w:rsid w:val="5D0450D7"/>
    <w:rsid w:val="5D2234B9"/>
    <w:rsid w:val="5D3D4BC6"/>
    <w:rsid w:val="5D473476"/>
    <w:rsid w:val="5D48349C"/>
    <w:rsid w:val="5D7E3CDC"/>
    <w:rsid w:val="5D7FD809"/>
    <w:rsid w:val="5D8D0573"/>
    <w:rsid w:val="5D970A22"/>
    <w:rsid w:val="5DAD14A7"/>
    <w:rsid w:val="5DBF1CC2"/>
    <w:rsid w:val="5DDB3A74"/>
    <w:rsid w:val="5DDD2180"/>
    <w:rsid w:val="5DE76799"/>
    <w:rsid w:val="5DED1418"/>
    <w:rsid w:val="5DFD8D79"/>
    <w:rsid w:val="5E1F39E6"/>
    <w:rsid w:val="5E437782"/>
    <w:rsid w:val="5E4A3961"/>
    <w:rsid w:val="5E4A533B"/>
    <w:rsid w:val="5E4F4700"/>
    <w:rsid w:val="5E6130C1"/>
    <w:rsid w:val="5E6C60A9"/>
    <w:rsid w:val="5E7FA2C3"/>
    <w:rsid w:val="5EB822A5"/>
    <w:rsid w:val="5EBC5C38"/>
    <w:rsid w:val="5EBDAE95"/>
    <w:rsid w:val="5ED7DF78"/>
    <w:rsid w:val="5EE41897"/>
    <w:rsid w:val="5EE7F987"/>
    <w:rsid w:val="5EF57DD6"/>
    <w:rsid w:val="5EFA7CCD"/>
    <w:rsid w:val="5EFAC032"/>
    <w:rsid w:val="5EFB8C32"/>
    <w:rsid w:val="5F03069E"/>
    <w:rsid w:val="5F24ECAB"/>
    <w:rsid w:val="5F2C4920"/>
    <w:rsid w:val="5F2F1088"/>
    <w:rsid w:val="5F2F390B"/>
    <w:rsid w:val="5F3DA690"/>
    <w:rsid w:val="5F570A14"/>
    <w:rsid w:val="5F5DF5F6"/>
    <w:rsid w:val="5F5EC6A3"/>
    <w:rsid w:val="5F5FFDEE"/>
    <w:rsid w:val="5F66666A"/>
    <w:rsid w:val="5F6E6FF0"/>
    <w:rsid w:val="5F7EC581"/>
    <w:rsid w:val="5F7FDAE6"/>
    <w:rsid w:val="5F9F08BC"/>
    <w:rsid w:val="5FAA898E"/>
    <w:rsid w:val="5FB82C78"/>
    <w:rsid w:val="5FBD47DA"/>
    <w:rsid w:val="5FBFF465"/>
    <w:rsid w:val="5FD6B6AB"/>
    <w:rsid w:val="5FD7FF45"/>
    <w:rsid w:val="5FDC0A38"/>
    <w:rsid w:val="5FDE2A59"/>
    <w:rsid w:val="5FEA8877"/>
    <w:rsid w:val="5FEF282F"/>
    <w:rsid w:val="5FF7263B"/>
    <w:rsid w:val="5FF78E53"/>
    <w:rsid w:val="5FF7C34C"/>
    <w:rsid w:val="5FF93B4A"/>
    <w:rsid w:val="5FFBE472"/>
    <w:rsid w:val="5FFDD86A"/>
    <w:rsid w:val="5FFDF425"/>
    <w:rsid w:val="5FFE7614"/>
    <w:rsid w:val="5FFF5A1C"/>
    <w:rsid w:val="5FFF89AB"/>
    <w:rsid w:val="5FFFC034"/>
    <w:rsid w:val="5FFFE5CF"/>
    <w:rsid w:val="5FFFF717"/>
    <w:rsid w:val="60281FC7"/>
    <w:rsid w:val="60DB3244"/>
    <w:rsid w:val="60F218E9"/>
    <w:rsid w:val="611D535C"/>
    <w:rsid w:val="6143368E"/>
    <w:rsid w:val="61926DDD"/>
    <w:rsid w:val="619743F4"/>
    <w:rsid w:val="61D94D87"/>
    <w:rsid w:val="62224451"/>
    <w:rsid w:val="6299419B"/>
    <w:rsid w:val="63BB2D6B"/>
    <w:rsid w:val="63BFD95A"/>
    <w:rsid w:val="63FB05E2"/>
    <w:rsid w:val="63FECF33"/>
    <w:rsid w:val="640D3028"/>
    <w:rsid w:val="653741F8"/>
    <w:rsid w:val="65777EDA"/>
    <w:rsid w:val="65783375"/>
    <w:rsid w:val="660858BB"/>
    <w:rsid w:val="662A1698"/>
    <w:rsid w:val="66374AE3"/>
    <w:rsid w:val="665162CB"/>
    <w:rsid w:val="667B52EE"/>
    <w:rsid w:val="66897B34"/>
    <w:rsid w:val="66BEE2C3"/>
    <w:rsid w:val="66FE60BB"/>
    <w:rsid w:val="66FFFE5E"/>
    <w:rsid w:val="671E07B6"/>
    <w:rsid w:val="67431752"/>
    <w:rsid w:val="675E1AD5"/>
    <w:rsid w:val="67BF95E6"/>
    <w:rsid w:val="67EEFC8A"/>
    <w:rsid w:val="67FBE24A"/>
    <w:rsid w:val="67FE7675"/>
    <w:rsid w:val="67FFE273"/>
    <w:rsid w:val="685319AE"/>
    <w:rsid w:val="68695C7B"/>
    <w:rsid w:val="693F0E71"/>
    <w:rsid w:val="694462AA"/>
    <w:rsid w:val="69BEF369"/>
    <w:rsid w:val="69DFBEAE"/>
    <w:rsid w:val="69E8E84C"/>
    <w:rsid w:val="69FEDCF8"/>
    <w:rsid w:val="69FF2652"/>
    <w:rsid w:val="6A0A6E71"/>
    <w:rsid w:val="6AB9F2B8"/>
    <w:rsid w:val="6ABF5BA0"/>
    <w:rsid w:val="6AFDB806"/>
    <w:rsid w:val="6B1F259D"/>
    <w:rsid w:val="6B3FFBB3"/>
    <w:rsid w:val="6B503469"/>
    <w:rsid w:val="6B6B485F"/>
    <w:rsid w:val="6B7E35E5"/>
    <w:rsid w:val="6BC72434"/>
    <w:rsid w:val="6BD5F11D"/>
    <w:rsid w:val="6BDD591A"/>
    <w:rsid w:val="6BE7206F"/>
    <w:rsid w:val="6BF5BFF0"/>
    <w:rsid w:val="6BFF9306"/>
    <w:rsid w:val="6C3C196C"/>
    <w:rsid w:val="6C485E67"/>
    <w:rsid w:val="6C6E2540"/>
    <w:rsid w:val="6CDF87AC"/>
    <w:rsid w:val="6CF3CB20"/>
    <w:rsid w:val="6CF50405"/>
    <w:rsid w:val="6CFBEA79"/>
    <w:rsid w:val="6D6F36B7"/>
    <w:rsid w:val="6D79022C"/>
    <w:rsid w:val="6D8F6D5A"/>
    <w:rsid w:val="6DB27761"/>
    <w:rsid w:val="6DB353F4"/>
    <w:rsid w:val="6DB5EC70"/>
    <w:rsid w:val="6DB78C1A"/>
    <w:rsid w:val="6DC01141"/>
    <w:rsid w:val="6DCBD3DA"/>
    <w:rsid w:val="6DFBD974"/>
    <w:rsid w:val="6DFF30CB"/>
    <w:rsid w:val="6DFF941F"/>
    <w:rsid w:val="6DFFCE0A"/>
    <w:rsid w:val="6DFFF83F"/>
    <w:rsid w:val="6E1F2923"/>
    <w:rsid w:val="6E3C504F"/>
    <w:rsid w:val="6E3F9C22"/>
    <w:rsid w:val="6E455F22"/>
    <w:rsid w:val="6E5378F4"/>
    <w:rsid w:val="6E79DFDD"/>
    <w:rsid w:val="6E836A43"/>
    <w:rsid w:val="6EA951BA"/>
    <w:rsid w:val="6EAF4285"/>
    <w:rsid w:val="6ED994BC"/>
    <w:rsid w:val="6EDB3AA6"/>
    <w:rsid w:val="6EF34B65"/>
    <w:rsid w:val="6EF5542C"/>
    <w:rsid w:val="6EF848AB"/>
    <w:rsid w:val="6F07C70B"/>
    <w:rsid w:val="6F0F655A"/>
    <w:rsid w:val="6F199356"/>
    <w:rsid w:val="6F33227C"/>
    <w:rsid w:val="6F36311B"/>
    <w:rsid w:val="6F5778B8"/>
    <w:rsid w:val="6F5B7FE7"/>
    <w:rsid w:val="6F6786E1"/>
    <w:rsid w:val="6F6F39B4"/>
    <w:rsid w:val="6F73E478"/>
    <w:rsid w:val="6F7709A7"/>
    <w:rsid w:val="6F7EF97D"/>
    <w:rsid w:val="6FA924CF"/>
    <w:rsid w:val="6FAF6FFB"/>
    <w:rsid w:val="6FB6C3CF"/>
    <w:rsid w:val="6FBB27F8"/>
    <w:rsid w:val="6FBDE505"/>
    <w:rsid w:val="6FBEF13A"/>
    <w:rsid w:val="6FCFC140"/>
    <w:rsid w:val="6FD6CF3A"/>
    <w:rsid w:val="6FDE1294"/>
    <w:rsid w:val="6FDEB9C0"/>
    <w:rsid w:val="6FDF843A"/>
    <w:rsid w:val="6FE3339F"/>
    <w:rsid w:val="6FEB89A5"/>
    <w:rsid w:val="6FEDB4CC"/>
    <w:rsid w:val="6FF5EC55"/>
    <w:rsid w:val="6FF78E7E"/>
    <w:rsid w:val="6FFB8B11"/>
    <w:rsid w:val="6FFBAEF4"/>
    <w:rsid w:val="6FFCD997"/>
    <w:rsid w:val="6FFD7725"/>
    <w:rsid w:val="6FFDA66A"/>
    <w:rsid w:val="6FFF438D"/>
    <w:rsid w:val="6FFFB896"/>
    <w:rsid w:val="7018044F"/>
    <w:rsid w:val="705D189A"/>
    <w:rsid w:val="70A0068F"/>
    <w:rsid w:val="713B764E"/>
    <w:rsid w:val="714FDA45"/>
    <w:rsid w:val="71751657"/>
    <w:rsid w:val="71C10319"/>
    <w:rsid w:val="71F341B6"/>
    <w:rsid w:val="71F70FE1"/>
    <w:rsid w:val="72014410"/>
    <w:rsid w:val="7207686C"/>
    <w:rsid w:val="722C7282"/>
    <w:rsid w:val="72693E35"/>
    <w:rsid w:val="72717225"/>
    <w:rsid w:val="72A2709C"/>
    <w:rsid w:val="72DA4A88"/>
    <w:rsid w:val="72E968F5"/>
    <w:rsid w:val="72FFCB7D"/>
    <w:rsid w:val="73244502"/>
    <w:rsid w:val="7327021A"/>
    <w:rsid w:val="735E3884"/>
    <w:rsid w:val="737E91DE"/>
    <w:rsid w:val="73873217"/>
    <w:rsid w:val="73B608E1"/>
    <w:rsid w:val="73D5FC23"/>
    <w:rsid w:val="73DFC3AD"/>
    <w:rsid w:val="73E3DD51"/>
    <w:rsid w:val="73F99AED"/>
    <w:rsid w:val="73FB5805"/>
    <w:rsid w:val="73FD4326"/>
    <w:rsid w:val="73FF9AFF"/>
    <w:rsid w:val="7408247A"/>
    <w:rsid w:val="7410464C"/>
    <w:rsid w:val="74185482"/>
    <w:rsid w:val="74486682"/>
    <w:rsid w:val="7460720F"/>
    <w:rsid w:val="748F1B04"/>
    <w:rsid w:val="74A80E7D"/>
    <w:rsid w:val="74B3733F"/>
    <w:rsid w:val="74DDA954"/>
    <w:rsid w:val="74F3E8D8"/>
    <w:rsid w:val="74FFA1E9"/>
    <w:rsid w:val="7507175F"/>
    <w:rsid w:val="75660D6A"/>
    <w:rsid w:val="7567FAFC"/>
    <w:rsid w:val="757DE146"/>
    <w:rsid w:val="757DE2E6"/>
    <w:rsid w:val="75B869B5"/>
    <w:rsid w:val="75BB1F68"/>
    <w:rsid w:val="75DF7A36"/>
    <w:rsid w:val="75ED5D32"/>
    <w:rsid w:val="75F7072A"/>
    <w:rsid w:val="75F785DD"/>
    <w:rsid w:val="75FB4214"/>
    <w:rsid w:val="75FF20B4"/>
    <w:rsid w:val="763B4941"/>
    <w:rsid w:val="76781DCD"/>
    <w:rsid w:val="767CCF85"/>
    <w:rsid w:val="767D6EE9"/>
    <w:rsid w:val="7690C78A"/>
    <w:rsid w:val="769D2954"/>
    <w:rsid w:val="76B567C7"/>
    <w:rsid w:val="76CF056F"/>
    <w:rsid w:val="76EAFF0B"/>
    <w:rsid w:val="76F7D9B9"/>
    <w:rsid w:val="76FF7C57"/>
    <w:rsid w:val="76FFB4E7"/>
    <w:rsid w:val="76FFD8E5"/>
    <w:rsid w:val="770C13BE"/>
    <w:rsid w:val="771742C4"/>
    <w:rsid w:val="772FA6CC"/>
    <w:rsid w:val="773FECD5"/>
    <w:rsid w:val="775F64E2"/>
    <w:rsid w:val="777BBD71"/>
    <w:rsid w:val="777D3C78"/>
    <w:rsid w:val="779F1359"/>
    <w:rsid w:val="77A2461B"/>
    <w:rsid w:val="77B07637"/>
    <w:rsid w:val="77BC400B"/>
    <w:rsid w:val="77BF1686"/>
    <w:rsid w:val="77C9B6DA"/>
    <w:rsid w:val="77DA93EF"/>
    <w:rsid w:val="77DC4956"/>
    <w:rsid w:val="77E9F98E"/>
    <w:rsid w:val="77ED6D6E"/>
    <w:rsid w:val="77F36426"/>
    <w:rsid w:val="77F7CB7E"/>
    <w:rsid w:val="77FF2807"/>
    <w:rsid w:val="77FF3B29"/>
    <w:rsid w:val="77FF700A"/>
    <w:rsid w:val="782E2FE8"/>
    <w:rsid w:val="78BF5278"/>
    <w:rsid w:val="78D7107C"/>
    <w:rsid w:val="79214C4B"/>
    <w:rsid w:val="79426EE3"/>
    <w:rsid w:val="794DD20F"/>
    <w:rsid w:val="795FE03F"/>
    <w:rsid w:val="797645F9"/>
    <w:rsid w:val="797FE969"/>
    <w:rsid w:val="79A65B3A"/>
    <w:rsid w:val="79B5A1AC"/>
    <w:rsid w:val="79BB65B8"/>
    <w:rsid w:val="79C600CE"/>
    <w:rsid w:val="79D12F79"/>
    <w:rsid w:val="79E027A0"/>
    <w:rsid w:val="79E72331"/>
    <w:rsid w:val="79EF7E64"/>
    <w:rsid w:val="79FD2E96"/>
    <w:rsid w:val="79FD6DB2"/>
    <w:rsid w:val="79FDEF54"/>
    <w:rsid w:val="7A0D5743"/>
    <w:rsid w:val="7AB54386"/>
    <w:rsid w:val="7ABD8E2C"/>
    <w:rsid w:val="7ABECD3C"/>
    <w:rsid w:val="7AD9391D"/>
    <w:rsid w:val="7ADD5C3D"/>
    <w:rsid w:val="7AE851B3"/>
    <w:rsid w:val="7AEA15E0"/>
    <w:rsid w:val="7AEE333B"/>
    <w:rsid w:val="7AFA39A7"/>
    <w:rsid w:val="7B190B4F"/>
    <w:rsid w:val="7B252618"/>
    <w:rsid w:val="7B3C37D6"/>
    <w:rsid w:val="7B4F5ABD"/>
    <w:rsid w:val="7B5D1DCB"/>
    <w:rsid w:val="7B662C5C"/>
    <w:rsid w:val="7B670CC4"/>
    <w:rsid w:val="7B738959"/>
    <w:rsid w:val="7B7B88B6"/>
    <w:rsid w:val="7B7BD5D9"/>
    <w:rsid w:val="7B7F1844"/>
    <w:rsid w:val="7B8A484B"/>
    <w:rsid w:val="7B937F02"/>
    <w:rsid w:val="7B9E21B6"/>
    <w:rsid w:val="7BAF96B6"/>
    <w:rsid w:val="7BB6825D"/>
    <w:rsid w:val="7BB808A9"/>
    <w:rsid w:val="7BB9DD5A"/>
    <w:rsid w:val="7BBDCAE7"/>
    <w:rsid w:val="7BC16022"/>
    <w:rsid w:val="7BCF340A"/>
    <w:rsid w:val="7BD5DD86"/>
    <w:rsid w:val="7BD73257"/>
    <w:rsid w:val="7BDB9D16"/>
    <w:rsid w:val="7BE75E8A"/>
    <w:rsid w:val="7BEC8033"/>
    <w:rsid w:val="7BECA1DB"/>
    <w:rsid w:val="7BF7CCEA"/>
    <w:rsid w:val="7BF7E293"/>
    <w:rsid w:val="7BF9A78F"/>
    <w:rsid w:val="7BFB4B1C"/>
    <w:rsid w:val="7BFC6861"/>
    <w:rsid w:val="7BFE7E05"/>
    <w:rsid w:val="7BFF16E1"/>
    <w:rsid w:val="7BFF2D58"/>
    <w:rsid w:val="7BFFD9A5"/>
    <w:rsid w:val="7C4D7A9B"/>
    <w:rsid w:val="7C5E385C"/>
    <w:rsid w:val="7CA3E458"/>
    <w:rsid w:val="7CB15B8C"/>
    <w:rsid w:val="7CD74CBE"/>
    <w:rsid w:val="7CE83D0A"/>
    <w:rsid w:val="7CF46926"/>
    <w:rsid w:val="7CFB027A"/>
    <w:rsid w:val="7CFF88A5"/>
    <w:rsid w:val="7D47CE00"/>
    <w:rsid w:val="7D53C3B8"/>
    <w:rsid w:val="7D644BDF"/>
    <w:rsid w:val="7D7CD6F4"/>
    <w:rsid w:val="7D7F75E4"/>
    <w:rsid w:val="7D816CA8"/>
    <w:rsid w:val="7DBF0E30"/>
    <w:rsid w:val="7DBF1A34"/>
    <w:rsid w:val="7DC72E79"/>
    <w:rsid w:val="7DD60CB2"/>
    <w:rsid w:val="7DD71D12"/>
    <w:rsid w:val="7DDBBB90"/>
    <w:rsid w:val="7DE30A9F"/>
    <w:rsid w:val="7DEC117D"/>
    <w:rsid w:val="7DED19E8"/>
    <w:rsid w:val="7DEE1679"/>
    <w:rsid w:val="7DEF3F09"/>
    <w:rsid w:val="7DEFECB2"/>
    <w:rsid w:val="7DF74D9A"/>
    <w:rsid w:val="7DF7B7D2"/>
    <w:rsid w:val="7DF9E083"/>
    <w:rsid w:val="7DFA1CC9"/>
    <w:rsid w:val="7DFB4EC2"/>
    <w:rsid w:val="7DFB8D10"/>
    <w:rsid w:val="7DFE3577"/>
    <w:rsid w:val="7DFE9C97"/>
    <w:rsid w:val="7DFEF001"/>
    <w:rsid w:val="7DFEFB66"/>
    <w:rsid w:val="7DFFADD0"/>
    <w:rsid w:val="7DFFF849"/>
    <w:rsid w:val="7E1A6C6A"/>
    <w:rsid w:val="7E294ECA"/>
    <w:rsid w:val="7E2ED722"/>
    <w:rsid w:val="7E5F4D06"/>
    <w:rsid w:val="7E5FBDDF"/>
    <w:rsid w:val="7E7B0DFE"/>
    <w:rsid w:val="7E7B259B"/>
    <w:rsid w:val="7E9564D6"/>
    <w:rsid w:val="7E9C03D8"/>
    <w:rsid w:val="7EB91991"/>
    <w:rsid w:val="7EBF37F2"/>
    <w:rsid w:val="7ECFA93E"/>
    <w:rsid w:val="7ED40249"/>
    <w:rsid w:val="7EDFFA4B"/>
    <w:rsid w:val="7EEC5501"/>
    <w:rsid w:val="7EED248D"/>
    <w:rsid w:val="7EEDA7E2"/>
    <w:rsid w:val="7EF78CA3"/>
    <w:rsid w:val="7EFA566B"/>
    <w:rsid w:val="7EFD166A"/>
    <w:rsid w:val="7EFD2FE0"/>
    <w:rsid w:val="7EFE025B"/>
    <w:rsid w:val="7EFF108A"/>
    <w:rsid w:val="7F16CBD9"/>
    <w:rsid w:val="7F3C32A3"/>
    <w:rsid w:val="7F738582"/>
    <w:rsid w:val="7F7556C8"/>
    <w:rsid w:val="7F766E1E"/>
    <w:rsid w:val="7F7735BB"/>
    <w:rsid w:val="7F779E12"/>
    <w:rsid w:val="7F7B73BD"/>
    <w:rsid w:val="7F7D58EC"/>
    <w:rsid w:val="7F7D684E"/>
    <w:rsid w:val="7F7DCBE2"/>
    <w:rsid w:val="7F7EEFC2"/>
    <w:rsid w:val="7F7F15B3"/>
    <w:rsid w:val="7F7F4638"/>
    <w:rsid w:val="7F7F55A1"/>
    <w:rsid w:val="7F7F72F6"/>
    <w:rsid w:val="7F7FCE2E"/>
    <w:rsid w:val="7F7FE429"/>
    <w:rsid w:val="7F873E66"/>
    <w:rsid w:val="7F8B740D"/>
    <w:rsid w:val="7F9B4E48"/>
    <w:rsid w:val="7F9E1C40"/>
    <w:rsid w:val="7F9F33FD"/>
    <w:rsid w:val="7FAAE8B4"/>
    <w:rsid w:val="7FAEF1AF"/>
    <w:rsid w:val="7FAF54FB"/>
    <w:rsid w:val="7FB2C244"/>
    <w:rsid w:val="7FB573EF"/>
    <w:rsid w:val="7FB57733"/>
    <w:rsid w:val="7FB67934"/>
    <w:rsid w:val="7FB7D6A5"/>
    <w:rsid w:val="7FBB0CE1"/>
    <w:rsid w:val="7FBD432D"/>
    <w:rsid w:val="7FBD5E72"/>
    <w:rsid w:val="7FBE65EC"/>
    <w:rsid w:val="7FD5E740"/>
    <w:rsid w:val="7FD7DF33"/>
    <w:rsid w:val="7FDA196C"/>
    <w:rsid w:val="7FDF2218"/>
    <w:rsid w:val="7FDF5F46"/>
    <w:rsid w:val="7FE0C8C1"/>
    <w:rsid w:val="7FE7B181"/>
    <w:rsid w:val="7FEF19DD"/>
    <w:rsid w:val="7FEF2FC4"/>
    <w:rsid w:val="7FF266CC"/>
    <w:rsid w:val="7FF2A8C0"/>
    <w:rsid w:val="7FF365EB"/>
    <w:rsid w:val="7FF5821B"/>
    <w:rsid w:val="7FF717E4"/>
    <w:rsid w:val="7FF766D1"/>
    <w:rsid w:val="7FF786BD"/>
    <w:rsid w:val="7FFBD54C"/>
    <w:rsid w:val="7FFBF444"/>
    <w:rsid w:val="7FFC09DA"/>
    <w:rsid w:val="7FFC1EF8"/>
    <w:rsid w:val="7FFCFF0B"/>
    <w:rsid w:val="7FFDADF6"/>
    <w:rsid w:val="7FFDBB2C"/>
    <w:rsid w:val="7FFDCA7F"/>
    <w:rsid w:val="7FFE3FDD"/>
    <w:rsid w:val="7FFF5A23"/>
    <w:rsid w:val="7FFF62AA"/>
    <w:rsid w:val="7FFF7155"/>
    <w:rsid w:val="7FFF879D"/>
    <w:rsid w:val="7FFFA120"/>
    <w:rsid w:val="7FFFC86B"/>
    <w:rsid w:val="7FFFF5E7"/>
    <w:rsid w:val="83F3C8F9"/>
    <w:rsid w:val="846604FD"/>
    <w:rsid w:val="87CFF862"/>
    <w:rsid w:val="87FD5E73"/>
    <w:rsid w:val="8BF79B22"/>
    <w:rsid w:val="8DBE3401"/>
    <w:rsid w:val="8F6EB75A"/>
    <w:rsid w:val="8FDD050E"/>
    <w:rsid w:val="8FDF68BA"/>
    <w:rsid w:val="8FFD4F14"/>
    <w:rsid w:val="91BD7851"/>
    <w:rsid w:val="94BFEC68"/>
    <w:rsid w:val="95BDD083"/>
    <w:rsid w:val="96FC8EF6"/>
    <w:rsid w:val="96FDA5C8"/>
    <w:rsid w:val="977F8DC6"/>
    <w:rsid w:val="979FC160"/>
    <w:rsid w:val="97BF6BE4"/>
    <w:rsid w:val="985709A7"/>
    <w:rsid w:val="98F7A0D6"/>
    <w:rsid w:val="99EF73E3"/>
    <w:rsid w:val="9AAF3C1B"/>
    <w:rsid w:val="9AFCFA5C"/>
    <w:rsid w:val="9D4B5CFF"/>
    <w:rsid w:val="9D92176E"/>
    <w:rsid w:val="9DCDB2A2"/>
    <w:rsid w:val="9DEB93A3"/>
    <w:rsid w:val="9DF54764"/>
    <w:rsid w:val="9DF59707"/>
    <w:rsid w:val="9DFF8FBE"/>
    <w:rsid w:val="9EFDCBE3"/>
    <w:rsid w:val="9F5F8C42"/>
    <w:rsid w:val="9F7B0972"/>
    <w:rsid w:val="9F7F69E3"/>
    <w:rsid w:val="9FA2DE20"/>
    <w:rsid w:val="9FABCDE7"/>
    <w:rsid w:val="9FD1DAE9"/>
    <w:rsid w:val="9FE753DC"/>
    <w:rsid w:val="9FF626FF"/>
    <w:rsid w:val="9FFE7FB8"/>
    <w:rsid w:val="9FFFFA2B"/>
    <w:rsid w:val="A2E35BD6"/>
    <w:rsid w:val="A3BBAD60"/>
    <w:rsid w:val="A51DC0AD"/>
    <w:rsid w:val="A79BF41B"/>
    <w:rsid w:val="A7BB5909"/>
    <w:rsid w:val="A7F70D30"/>
    <w:rsid w:val="A7FD9ACD"/>
    <w:rsid w:val="A7FF9EBF"/>
    <w:rsid w:val="AB751E6F"/>
    <w:rsid w:val="AB874F17"/>
    <w:rsid w:val="ABA64312"/>
    <w:rsid w:val="ABF73A43"/>
    <w:rsid w:val="ABF7FE90"/>
    <w:rsid w:val="AD5F5AE9"/>
    <w:rsid w:val="AD9FCFC6"/>
    <w:rsid w:val="AE77E665"/>
    <w:rsid w:val="AEDF58B3"/>
    <w:rsid w:val="AEED9AB4"/>
    <w:rsid w:val="AF0D481D"/>
    <w:rsid w:val="AF5FD3FE"/>
    <w:rsid w:val="AF6B729E"/>
    <w:rsid w:val="AF6ED479"/>
    <w:rsid w:val="AFB3BD11"/>
    <w:rsid w:val="AFB70D3E"/>
    <w:rsid w:val="AFBB0704"/>
    <w:rsid w:val="AFD71BDD"/>
    <w:rsid w:val="AFDF5BAA"/>
    <w:rsid w:val="AFEF109F"/>
    <w:rsid w:val="AFFCE4B8"/>
    <w:rsid w:val="AFFE9EC7"/>
    <w:rsid w:val="B3432370"/>
    <w:rsid w:val="B34E79AE"/>
    <w:rsid w:val="B37B707C"/>
    <w:rsid w:val="B39EDE51"/>
    <w:rsid w:val="B3FE2713"/>
    <w:rsid w:val="B3FFBD7C"/>
    <w:rsid w:val="B55FD8B6"/>
    <w:rsid w:val="B5FFEA4C"/>
    <w:rsid w:val="B62E22D5"/>
    <w:rsid w:val="B6DBA173"/>
    <w:rsid w:val="B6E70532"/>
    <w:rsid w:val="B6FF8916"/>
    <w:rsid w:val="B764C04B"/>
    <w:rsid w:val="B7676CA2"/>
    <w:rsid w:val="B778C532"/>
    <w:rsid w:val="B7AD536D"/>
    <w:rsid w:val="B7AF494D"/>
    <w:rsid w:val="B7D32145"/>
    <w:rsid w:val="B8AF813A"/>
    <w:rsid w:val="B8EC25D8"/>
    <w:rsid w:val="B9B678DB"/>
    <w:rsid w:val="BA7B23C6"/>
    <w:rsid w:val="BB2F8EE5"/>
    <w:rsid w:val="BB5F82C5"/>
    <w:rsid w:val="BB7F8787"/>
    <w:rsid w:val="BBBBD8C4"/>
    <w:rsid w:val="BBBD4A9E"/>
    <w:rsid w:val="BBDD811D"/>
    <w:rsid w:val="BBF0B622"/>
    <w:rsid w:val="BBF76DD7"/>
    <w:rsid w:val="BBF9A447"/>
    <w:rsid w:val="BBFB505F"/>
    <w:rsid w:val="BC5F5E0E"/>
    <w:rsid w:val="BCBD607A"/>
    <w:rsid w:val="BD0FC408"/>
    <w:rsid w:val="BD3DE113"/>
    <w:rsid w:val="BD77912E"/>
    <w:rsid w:val="BD7B0B7C"/>
    <w:rsid w:val="BD9EDCB3"/>
    <w:rsid w:val="BDBFAAA2"/>
    <w:rsid w:val="BDDB770D"/>
    <w:rsid w:val="BDEFA9FE"/>
    <w:rsid w:val="BDF38CE1"/>
    <w:rsid w:val="BDFFE31B"/>
    <w:rsid w:val="BE77DF02"/>
    <w:rsid w:val="BEB6B8B9"/>
    <w:rsid w:val="BEB77D83"/>
    <w:rsid w:val="BEBF285C"/>
    <w:rsid w:val="BECF68A0"/>
    <w:rsid w:val="BEEBB480"/>
    <w:rsid w:val="BEF9489D"/>
    <w:rsid w:val="BEFD858C"/>
    <w:rsid w:val="BEFF6711"/>
    <w:rsid w:val="BF3E0E09"/>
    <w:rsid w:val="BF3EA0A3"/>
    <w:rsid w:val="BF6F35AC"/>
    <w:rsid w:val="BF7E974E"/>
    <w:rsid w:val="BF7F4225"/>
    <w:rsid w:val="BF963822"/>
    <w:rsid w:val="BFA3C9A8"/>
    <w:rsid w:val="BFAF6920"/>
    <w:rsid w:val="BFB7FED3"/>
    <w:rsid w:val="BFBF63EC"/>
    <w:rsid w:val="BFBFDBFC"/>
    <w:rsid w:val="BFDF71A6"/>
    <w:rsid w:val="BFE911B1"/>
    <w:rsid w:val="BFEBF24A"/>
    <w:rsid w:val="BFEFF8BE"/>
    <w:rsid w:val="BFF79CED"/>
    <w:rsid w:val="BFF7C6F9"/>
    <w:rsid w:val="BFFB482E"/>
    <w:rsid w:val="BFFB77D2"/>
    <w:rsid w:val="BFFB9DB0"/>
    <w:rsid w:val="BFFC593A"/>
    <w:rsid w:val="BFFDA2A7"/>
    <w:rsid w:val="BFFEA5CF"/>
    <w:rsid w:val="BFFFAACB"/>
    <w:rsid w:val="BFFFD01A"/>
    <w:rsid w:val="C799151F"/>
    <w:rsid w:val="C7CD9073"/>
    <w:rsid w:val="CBEF6CC1"/>
    <w:rsid w:val="CCEEDB92"/>
    <w:rsid w:val="CCFDD4A1"/>
    <w:rsid w:val="CDBDBD14"/>
    <w:rsid w:val="CF897E7B"/>
    <w:rsid w:val="CFEFE909"/>
    <w:rsid w:val="CFF7EC3E"/>
    <w:rsid w:val="CFFDD84C"/>
    <w:rsid w:val="CFFE2243"/>
    <w:rsid w:val="CFFE729E"/>
    <w:rsid w:val="CFFF7263"/>
    <w:rsid w:val="D37FC3D6"/>
    <w:rsid w:val="D39BE2D4"/>
    <w:rsid w:val="D3EF6F6D"/>
    <w:rsid w:val="D5EE22E9"/>
    <w:rsid w:val="D5F183E0"/>
    <w:rsid w:val="D5FA8277"/>
    <w:rsid w:val="D7A77B5E"/>
    <w:rsid w:val="D7C789D0"/>
    <w:rsid w:val="D7F7D873"/>
    <w:rsid w:val="D7FB773E"/>
    <w:rsid w:val="D7FF89F9"/>
    <w:rsid w:val="D7FF9446"/>
    <w:rsid w:val="DA7F5792"/>
    <w:rsid w:val="DA7FABC9"/>
    <w:rsid w:val="DABF3274"/>
    <w:rsid w:val="DB5748EF"/>
    <w:rsid w:val="DBBEFB8E"/>
    <w:rsid w:val="DBFF3C87"/>
    <w:rsid w:val="DBFF79F6"/>
    <w:rsid w:val="DBFFA739"/>
    <w:rsid w:val="DC5F2D99"/>
    <w:rsid w:val="DD2FC8B1"/>
    <w:rsid w:val="DDB60FE1"/>
    <w:rsid w:val="DDCFF6B5"/>
    <w:rsid w:val="DDDFAA14"/>
    <w:rsid w:val="DDDFB5B4"/>
    <w:rsid w:val="DDEF945C"/>
    <w:rsid w:val="DDFB7E9A"/>
    <w:rsid w:val="DDFDD667"/>
    <w:rsid w:val="DDFFD6A2"/>
    <w:rsid w:val="DECD28A2"/>
    <w:rsid w:val="DEEB9764"/>
    <w:rsid w:val="DF4E4A60"/>
    <w:rsid w:val="DF579B5B"/>
    <w:rsid w:val="DF5F856A"/>
    <w:rsid w:val="DF73F514"/>
    <w:rsid w:val="DF790A48"/>
    <w:rsid w:val="DF7C15DA"/>
    <w:rsid w:val="DF7F44F8"/>
    <w:rsid w:val="DFB12812"/>
    <w:rsid w:val="DFB70A84"/>
    <w:rsid w:val="DFBEE698"/>
    <w:rsid w:val="DFCE278B"/>
    <w:rsid w:val="DFDFCBFF"/>
    <w:rsid w:val="DFEF371A"/>
    <w:rsid w:val="DFEF78DA"/>
    <w:rsid w:val="DFEFD79F"/>
    <w:rsid w:val="DFF7E4AA"/>
    <w:rsid w:val="DFF7E9E8"/>
    <w:rsid w:val="DFFF1717"/>
    <w:rsid w:val="DFFFF43E"/>
    <w:rsid w:val="E3ADE2B8"/>
    <w:rsid w:val="E4EF1981"/>
    <w:rsid w:val="E4FF4749"/>
    <w:rsid w:val="E5BF5D17"/>
    <w:rsid w:val="E5F53642"/>
    <w:rsid w:val="E6FB1870"/>
    <w:rsid w:val="E6FD3B6A"/>
    <w:rsid w:val="E7277C5B"/>
    <w:rsid w:val="E797374B"/>
    <w:rsid w:val="E79B7E04"/>
    <w:rsid w:val="E7D77B14"/>
    <w:rsid w:val="E7D8582B"/>
    <w:rsid w:val="E7FDE6B1"/>
    <w:rsid w:val="E7FDF649"/>
    <w:rsid w:val="E9F71EFB"/>
    <w:rsid w:val="EA2FB236"/>
    <w:rsid w:val="EAEE04C3"/>
    <w:rsid w:val="EAEFFBB5"/>
    <w:rsid w:val="EAFF5EB7"/>
    <w:rsid w:val="EB3EDB2C"/>
    <w:rsid w:val="EBA39ADD"/>
    <w:rsid w:val="EBBF3D36"/>
    <w:rsid w:val="ECAB9CB0"/>
    <w:rsid w:val="ED7A9644"/>
    <w:rsid w:val="ED7AB3D3"/>
    <w:rsid w:val="EDB7A49C"/>
    <w:rsid w:val="EDBFCFE0"/>
    <w:rsid w:val="EDEB9E5E"/>
    <w:rsid w:val="EDFF53FA"/>
    <w:rsid w:val="EDFF8E08"/>
    <w:rsid w:val="EDFFCC3B"/>
    <w:rsid w:val="EE5F4CE7"/>
    <w:rsid w:val="EED6DD44"/>
    <w:rsid w:val="EEF5B584"/>
    <w:rsid w:val="EEF75DA0"/>
    <w:rsid w:val="EEFB4514"/>
    <w:rsid w:val="EEFE032D"/>
    <w:rsid w:val="EF3B32AC"/>
    <w:rsid w:val="EF3F4DBE"/>
    <w:rsid w:val="EF6E7521"/>
    <w:rsid w:val="EF765989"/>
    <w:rsid w:val="EF7BB71B"/>
    <w:rsid w:val="EF7E084C"/>
    <w:rsid w:val="EF7F027B"/>
    <w:rsid w:val="EF7FB0CC"/>
    <w:rsid w:val="EFAB6214"/>
    <w:rsid w:val="EFC70E64"/>
    <w:rsid w:val="EFCDB57D"/>
    <w:rsid w:val="EFD551AF"/>
    <w:rsid w:val="EFDD854F"/>
    <w:rsid w:val="EFDFA0D7"/>
    <w:rsid w:val="EFDFF1F5"/>
    <w:rsid w:val="EFE2A4AE"/>
    <w:rsid w:val="EFE576FF"/>
    <w:rsid w:val="EFEF5F8B"/>
    <w:rsid w:val="EFEFCA5D"/>
    <w:rsid w:val="EFF509FC"/>
    <w:rsid w:val="EFF6CF3D"/>
    <w:rsid w:val="EFF6DD56"/>
    <w:rsid w:val="EFF9D5C9"/>
    <w:rsid w:val="EFFB6A4D"/>
    <w:rsid w:val="EFFDEC39"/>
    <w:rsid w:val="EFFF0583"/>
    <w:rsid w:val="F07F4CAD"/>
    <w:rsid w:val="F0DF3C10"/>
    <w:rsid w:val="F1BD78B5"/>
    <w:rsid w:val="F1BD7F47"/>
    <w:rsid w:val="F1BF1313"/>
    <w:rsid w:val="F1FB09CD"/>
    <w:rsid w:val="F2E2207B"/>
    <w:rsid w:val="F38D895D"/>
    <w:rsid w:val="F3AAE6A7"/>
    <w:rsid w:val="F3AF88B1"/>
    <w:rsid w:val="F3E997CE"/>
    <w:rsid w:val="F3FB2501"/>
    <w:rsid w:val="F4ABC5E4"/>
    <w:rsid w:val="F4FFFC43"/>
    <w:rsid w:val="F5575274"/>
    <w:rsid w:val="F59D440A"/>
    <w:rsid w:val="F5BFC8DC"/>
    <w:rsid w:val="F5D7E238"/>
    <w:rsid w:val="F5EEAD1B"/>
    <w:rsid w:val="F5FCF2FD"/>
    <w:rsid w:val="F5FFF212"/>
    <w:rsid w:val="F662323D"/>
    <w:rsid w:val="F6C5F06B"/>
    <w:rsid w:val="F6FB8979"/>
    <w:rsid w:val="F6FE35C6"/>
    <w:rsid w:val="F6FFBF24"/>
    <w:rsid w:val="F738F39B"/>
    <w:rsid w:val="F74D35E2"/>
    <w:rsid w:val="F76E0DAB"/>
    <w:rsid w:val="F77609D3"/>
    <w:rsid w:val="F77B8C65"/>
    <w:rsid w:val="F7AB1128"/>
    <w:rsid w:val="F7BB9E51"/>
    <w:rsid w:val="F7BF8242"/>
    <w:rsid w:val="F7D60834"/>
    <w:rsid w:val="F7EAFEA3"/>
    <w:rsid w:val="F7EE92B6"/>
    <w:rsid w:val="F7F76CE7"/>
    <w:rsid w:val="F7F7BB23"/>
    <w:rsid w:val="F7FA7AD2"/>
    <w:rsid w:val="F7FE4E21"/>
    <w:rsid w:val="F7FEDA9C"/>
    <w:rsid w:val="F7FEFB8B"/>
    <w:rsid w:val="F7FF04FD"/>
    <w:rsid w:val="F7FF4701"/>
    <w:rsid w:val="F87FC048"/>
    <w:rsid w:val="F8F74EB0"/>
    <w:rsid w:val="F8FF3C05"/>
    <w:rsid w:val="F9910B30"/>
    <w:rsid w:val="F9AEE531"/>
    <w:rsid w:val="F9BE7A84"/>
    <w:rsid w:val="F9CF8CB2"/>
    <w:rsid w:val="F9DD9959"/>
    <w:rsid w:val="F9DF73CB"/>
    <w:rsid w:val="F9E4A92C"/>
    <w:rsid w:val="F9E73FA4"/>
    <w:rsid w:val="F9EE14AA"/>
    <w:rsid w:val="F9F919B4"/>
    <w:rsid w:val="F9FD8356"/>
    <w:rsid w:val="F9FF46E0"/>
    <w:rsid w:val="F9FF66B2"/>
    <w:rsid w:val="F9FF8892"/>
    <w:rsid w:val="FA5DA317"/>
    <w:rsid w:val="FABFDB49"/>
    <w:rsid w:val="FAFC06FD"/>
    <w:rsid w:val="FAFFA97D"/>
    <w:rsid w:val="FB3BD7B7"/>
    <w:rsid w:val="FB5719B6"/>
    <w:rsid w:val="FB6B5AD9"/>
    <w:rsid w:val="FB6E079A"/>
    <w:rsid w:val="FB6F741B"/>
    <w:rsid w:val="FB7DAD4E"/>
    <w:rsid w:val="FB7E255A"/>
    <w:rsid w:val="FB87F376"/>
    <w:rsid w:val="FBA97A7F"/>
    <w:rsid w:val="FBBF8C02"/>
    <w:rsid w:val="FBD966CA"/>
    <w:rsid w:val="FBDF00E9"/>
    <w:rsid w:val="FBDF06DD"/>
    <w:rsid w:val="FBDFB4F2"/>
    <w:rsid w:val="FBE50D46"/>
    <w:rsid w:val="FBECB71A"/>
    <w:rsid w:val="FBED6288"/>
    <w:rsid w:val="FBEFC76E"/>
    <w:rsid w:val="FBF32615"/>
    <w:rsid w:val="FBF45F3A"/>
    <w:rsid w:val="FBF97CAF"/>
    <w:rsid w:val="FBF9FFC7"/>
    <w:rsid w:val="FBFA91C9"/>
    <w:rsid w:val="FBFC07CC"/>
    <w:rsid w:val="FBFCF046"/>
    <w:rsid w:val="FBFEFE18"/>
    <w:rsid w:val="FBFF555B"/>
    <w:rsid w:val="FBFFD807"/>
    <w:rsid w:val="FBFFF0AD"/>
    <w:rsid w:val="FC236C25"/>
    <w:rsid w:val="FC3F22FA"/>
    <w:rsid w:val="FC3FD0EA"/>
    <w:rsid w:val="FC67A56D"/>
    <w:rsid w:val="FC72A3F7"/>
    <w:rsid w:val="FC7BC966"/>
    <w:rsid w:val="FC7F2ECD"/>
    <w:rsid w:val="FCBDC590"/>
    <w:rsid w:val="FCBFDF6F"/>
    <w:rsid w:val="FCDF3B3D"/>
    <w:rsid w:val="FD2FBAE7"/>
    <w:rsid w:val="FD34EA1F"/>
    <w:rsid w:val="FD3EBD00"/>
    <w:rsid w:val="FD5DFF20"/>
    <w:rsid w:val="FD5F8316"/>
    <w:rsid w:val="FD6FCFEF"/>
    <w:rsid w:val="FD750340"/>
    <w:rsid w:val="FD7DE47C"/>
    <w:rsid w:val="FD7E1FB2"/>
    <w:rsid w:val="FD7E75E6"/>
    <w:rsid w:val="FD9D9F5F"/>
    <w:rsid w:val="FDABA8D4"/>
    <w:rsid w:val="FDB74E64"/>
    <w:rsid w:val="FDBF986E"/>
    <w:rsid w:val="FDD597C6"/>
    <w:rsid w:val="FDDD37EC"/>
    <w:rsid w:val="FDE77861"/>
    <w:rsid w:val="FDEA9D4F"/>
    <w:rsid w:val="FDEF0592"/>
    <w:rsid w:val="FDEF2799"/>
    <w:rsid w:val="FDEF7C6E"/>
    <w:rsid w:val="FDF68F40"/>
    <w:rsid w:val="FDF73F80"/>
    <w:rsid w:val="FDFA27BF"/>
    <w:rsid w:val="FDFAB1BB"/>
    <w:rsid w:val="FDFD9298"/>
    <w:rsid w:val="FDFDFFF8"/>
    <w:rsid w:val="FDFE57E6"/>
    <w:rsid w:val="FDFED9D1"/>
    <w:rsid w:val="FDFF7D7D"/>
    <w:rsid w:val="FE0FBF11"/>
    <w:rsid w:val="FE3FEBFE"/>
    <w:rsid w:val="FE56B50C"/>
    <w:rsid w:val="FE5F4BF7"/>
    <w:rsid w:val="FE734873"/>
    <w:rsid w:val="FE7D9C00"/>
    <w:rsid w:val="FE7EE391"/>
    <w:rsid w:val="FE9F0C73"/>
    <w:rsid w:val="FE9F93F1"/>
    <w:rsid w:val="FEAD8567"/>
    <w:rsid w:val="FEBE26AB"/>
    <w:rsid w:val="FEDF3D95"/>
    <w:rsid w:val="FEDF760E"/>
    <w:rsid w:val="FEDFB165"/>
    <w:rsid w:val="FEEE18B3"/>
    <w:rsid w:val="FEEEB679"/>
    <w:rsid w:val="FEF70FE3"/>
    <w:rsid w:val="FEFA3A80"/>
    <w:rsid w:val="FEFB23F7"/>
    <w:rsid w:val="FEFB3887"/>
    <w:rsid w:val="FEFB8201"/>
    <w:rsid w:val="FEFBF2F9"/>
    <w:rsid w:val="FEFE6618"/>
    <w:rsid w:val="FEFEA031"/>
    <w:rsid w:val="FEFF330C"/>
    <w:rsid w:val="FEFF7234"/>
    <w:rsid w:val="FEFF88E8"/>
    <w:rsid w:val="FEFFDDCD"/>
    <w:rsid w:val="FEFFE5B6"/>
    <w:rsid w:val="FEFFF605"/>
    <w:rsid w:val="FF1F2F28"/>
    <w:rsid w:val="FF1FD685"/>
    <w:rsid w:val="FF27FD6E"/>
    <w:rsid w:val="FF4B381B"/>
    <w:rsid w:val="FF4E9A92"/>
    <w:rsid w:val="FF4FF638"/>
    <w:rsid w:val="FF5EFC60"/>
    <w:rsid w:val="FF5F53B6"/>
    <w:rsid w:val="FF5FFB33"/>
    <w:rsid w:val="FF6AE68C"/>
    <w:rsid w:val="FF6FAF44"/>
    <w:rsid w:val="FF7235AC"/>
    <w:rsid w:val="FF737C1B"/>
    <w:rsid w:val="FF758101"/>
    <w:rsid w:val="FF76A452"/>
    <w:rsid w:val="FF7B9955"/>
    <w:rsid w:val="FF7D3714"/>
    <w:rsid w:val="FF7D5C4D"/>
    <w:rsid w:val="FF7DF9A3"/>
    <w:rsid w:val="FF7E26DF"/>
    <w:rsid w:val="FF7F1568"/>
    <w:rsid w:val="FF7F60E3"/>
    <w:rsid w:val="FF7F7454"/>
    <w:rsid w:val="FF7FE477"/>
    <w:rsid w:val="FF7FF063"/>
    <w:rsid w:val="FF9B8E49"/>
    <w:rsid w:val="FF9FD2FF"/>
    <w:rsid w:val="FFAAF93C"/>
    <w:rsid w:val="FFAE6D42"/>
    <w:rsid w:val="FFAF2E53"/>
    <w:rsid w:val="FFB5A9A6"/>
    <w:rsid w:val="FFB702B0"/>
    <w:rsid w:val="FFB712E4"/>
    <w:rsid w:val="FFB9DD31"/>
    <w:rsid w:val="FFBB4109"/>
    <w:rsid w:val="FFBBADDF"/>
    <w:rsid w:val="FFBF6F11"/>
    <w:rsid w:val="FFBFB526"/>
    <w:rsid w:val="FFBFFB01"/>
    <w:rsid w:val="FFC45106"/>
    <w:rsid w:val="FFC6F2AA"/>
    <w:rsid w:val="FFCD28AF"/>
    <w:rsid w:val="FFCF15D1"/>
    <w:rsid w:val="FFCF854B"/>
    <w:rsid w:val="FFCF907A"/>
    <w:rsid w:val="FFD907B8"/>
    <w:rsid w:val="FFDBBA43"/>
    <w:rsid w:val="FFDCFC11"/>
    <w:rsid w:val="FFDE270D"/>
    <w:rsid w:val="FFDF669A"/>
    <w:rsid w:val="FFE70A1B"/>
    <w:rsid w:val="FFEE2ACA"/>
    <w:rsid w:val="FFEED24F"/>
    <w:rsid w:val="FFEF2073"/>
    <w:rsid w:val="FFEF43B4"/>
    <w:rsid w:val="FFEFFB32"/>
    <w:rsid w:val="FFF16BFF"/>
    <w:rsid w:val="FFF36FB1"/>
    <w:rsid w:val="FFF3CA99"/>
    <w:rsid w:val="FFF61602"/>
    <w:rsid w:val="FFF72210"/>
    <w:rsid w:val="FFF73D4A"/>
    <w:rsid w:val="FFF7821D"/>
    <w:rsid w:val="FFF79FA8"/>
    <w:rsid w:val="FFF7C019"/>
    <w:rsid w:val="FFF7EE8E"/>
    <w:rsid w:val="FFFD5713"/>
    <w:rsid w:val="FFFD7529"/>
    <w:rsid w:val="FFFDD0C4"/>
    <w:rsid w:val="FFFE6269"/>
    <w:rsid w:val="FFFEF228"/>
    <w:rsid w:val="FFFF2A2E"/>
    <w:rsid w:val="FFFF41F5"/>
    <w:rsid w:val="FFFF4AA0"/>
    <w:rsid w:val="FFFF621A"/>
    <w:rsid w:val="FFFF7695"/>
    <w:rsid w:val="FFFF8639"/>
    <w:rsid w:val="FFFFC395"/>
    <w:rsid w:val="FFFFCF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0"/>
    <w:qFormat/>
    <w:uiPriority w:val="99"/>
    <w:pPr>
      <w:keepNext/>
      <w:keepLines/>
      <w:spacing w:line="360" w:lineRule="auto"/>
      <w:outlineLvl w:val="0"/>
    </w:pPr>
    <w:rPr>
      <w:rFonts w:eastAsia="黑体"/>
      <w:b/>
      <w:bCs/>
      <w:kern w:val="44"/>
      <w:sz w:val="44"/>
      <w:szCs w:val="44"/>
      <w:lang w:val="zh-CN"/>
    </w:rPr>
  </w:style>
  <w:style w:type="paragraph" w:styleId="3">
    <w:name w:val="heading 2"/>
    <w:basedOn w:val="1"/>
    <w:next w:val="1"/>
    <w:link w:val="51"/>
    <w:qFormat/>
    <w:uiPriority w:val="99"/>
    <w:pPr>
      <w:keepNext/>
      <w:keepLines/>
      <w:spacing w:before="60" w:after="60" w:line="413" w:lineRule="auto"/>
      <w:outlineLvl w:val="1"/>
    </w:pPr>
    <w:rPr>
      <w:rFonts w:ascii="Arial" w:hAnsi="Arial" w:eastAsia="黑体"/>
      <w:b/>
      <w:bCs/>
      <w:sz w:val="32"/>
      <w:szCs w:val="32"/>
      <w:lang w:val="zh-CN"/>
    </w:rPr>
  </w:style>
  <w:style w:type="paragraph" w:styleId="4">
    <w:name w:val="heading 3"/>
    <w:basedOn w:val="1"/>
    <w:next w:val="1"/>
    <w:link w:val="52"/>
    <w:qFormat/>
    <w:uiPriority w:val="99"/>
    <w:pPr>
      <w:keepNext/>
      <w:keepLines/>
      <w:spacing w:line="360" w:lineRule="auto"/>
      <w:outlineLvl w:val="2"/>
    </w:pPr>
    <w:rPr>
      <w:rFonts w:eastAsia="黑体"/>
      <w:b/>
      <w:bCs/>
      <w:sz w:val="32"/>
      <w:szCs w:val="32"/>
      <w:lang w:val="zh-CN"/>
    </w:rPr>
  </w:style>
  <w:style w:type="paragraph" w:styleId="5">
    <w:name w:val="heading 4"/>
    <w:basedOn w:val="1"/>
    <w:next w:val="1"/>
    <w:link w:val="53"/>
    <w:qFormat/>
    <w:uiPriority w:val="99"/>
    <w:pPr>
      <w:keepNext/>
      <w:keepLines/>
      <w:spacing w:line="360" w:lineRule="auto"/>
      <w:outlineLvl w:val="3"/>
    </w:pPr>
    <w:rPr>
      <w:rFonts w:ascii="Arial" w:hAnsi="Arial"/>
      <w:b/>
      <w:bCs/>
      <w:sz w:val="28"/>
      <w:szCs w:val="28"/>
    </w:rPr>
  </w:style>
  <w:style w:type="paragraph" w:styleId="6">
    <w:name w:val="heading 5"/>
    <w:basedOn w:val="1"/>
    <w:next w:val="1"/>
    <w:link w:val="54"/>
    <w:qFormat/>
    <w:uiPriority w:val="99"/>
    <w:pPr>
      <w:keepNext/>
      <w:keepLines/>
      <w:spacing w:before="280" w:after="290" w:line="376" w:lineRule="auto"/>
      <w:outlineLvl w:val="4"/>
    </w:pPr>
    <w:rPr>
      <w:b/>
      <w:bCs/>
      <w:sz w:val="28"/>
      <w:szCs w:val="28"/>
    </w:rPr>
  </w:style>
  <w:style w:type="paragraph" w:styleId="7">
    <w:name w:val="heading 6"/>
    <w:basedOn w:val="1"/>
    <w:next w:val="1"/>
    <w:link w:val="55"/>
    <w:qFormat/>
    <w:uiPriority w:val="9"/>
    <w:pPr>
      <w:keepNext/>
      <w:keepLines/>
      <w:spacing w:before="240" w:after="64" w:line="317" w:lineRule="auto"/>
      <w:outlineLvl w:val="5"/>
    </w:pPr>
    <w:rPr>
      <w:rFonts w:ascii="Cambria" w:hAnsi="Cambria"/>
      <w:b/>
      <w:bCs/>
      <w:kern w:val="0"/>
      <w:sz w:val="24"/>
      <w:szCs w:val="24"/>
    </w:rPr>
  </w:style>
  <w:style w:type="paragraph" w:styleId="8">
    <w:name w:val="heading 7"/>
    <w:basedOn w:val="1"/>
    <w:next w:val="1"/>
    <w:link w:val="56"/>
    <w:qFormat/>
    <w:uiPriority w:val="9"/>
    <w:pPr>
      <w:keepNext/>
      <w:keepLines/>
      <w:spacing w:before="240" w:after="64" w:line="317" w:lineRule="auto"/>
      <w:outlineLvl w:val="6"/>
    </w:pPr>
    <w:rPr>
      <w:b/>
      <w:bCs/>
      <w:kern w:val="0"/>
      <w:sz w:val="24"/>
      <w:szCs w:val="24"/>
    </w:rPr>
  </w:style>
  <w:style w:type="paragraph" w:styleId="9">
    <w:name w:val="heading 8"/>
    <w:basedOn w:val="1"/>
    <w:next w:val="1"/>
    <w:link w:val="57"/>
    <w:qFormat/>
    <w:uiPriority w:val="9"/>
    <w:pPr>
      <w:keepNext/>
      <w:keepLines/>
      <w:spacing w:before="240" w:after="64" w:line="317" w:lineRule="auto"/>
      <w:outlineLvl w:val="7"/>
    </w:pPr>
    <w:rPr>
      <w:rFonts w:ascii="Cambria" w:hAnsi="Cambria"/>
      <w:kern w:val="0"/>
      <w:sz w:val="24"/>
      <w:szCs w:val="24"/>
    </w:rPr>
  </w:style>
  <w:style w:type="paragraph" w:styleId="10">
    <w:name w:val="heading 9"/>
    <w:basedOn w:val="1"/>
    <w:next w:val="1"/>
    <w:link w:val="58"/>
    <w:qFormat/>
    <w:uiPriority w:val="9"/>
    <w:pPr>
      <w:keepNext/>
      <w:keepLines/>
      <w:spacing w:before="240" w:after="64" w:line="317" w:lineRule="auto"/>
      <w:outlineLvl w:val="8"/>
    </w:pPr>
    <w:rPr>
      <w:rFonts w:ascii="Cambria" w:hAnsi="Cambria"/>
      <w:kern w:val="0"/>
      <w:sz w:val="20"/>
    </w:rPr>
  </w:style>
  <w:style w:type="character" w:default="1" w:styleId="42">
    <w:name w:val="Default Paragraph Font"/>
    <w:semiHidden/>
    <w:qFormat/>
    <w:uiPriority w:val="99"/>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cs="Calibri"/>
    </w:rPr>
  </w:style>
  <w:style w:type="paragraph" w:styleId="12">
    <w:name w:val="Normal Indent"/>
    <w:basedOn w:val="1"/>
    <w:link w:val="59"/>
    <w:qFormat/>
    <w:uiPriority w:val="99"/>
    <w:pPr>
      <w:widowControl/>
      <w:ind w:firstLine="420"/>
      <w:jc w:val="left"/>
    </w:pPr>
    <w:rPr>
      <w:sz w:val="20"/>
      <w:szCs w:val="20"/>
    </w:rPr>
  </w:style>
  <w:style w:type="paragraph" w:styleId="13">
    <w:name w:val="caption"/>
    <w:basedOn w:val="1"/>
    <w:next w:val="1"/>
    <w:qFormat/>
    <w:uiPriority w:val="99"/>
    <w:rPr>
      <w:rFonts w:ascii="Cambria" w:hAnsi="Cambria" w:eastAsia="黑体" w:cs="Cambria"/>
      <w:sz w:val="20"/>
      <w:szCs w:val="20"/>
    </w:rPr>
  </w:style>
  <w:style w:type="paragraph" w:styleId="14">
    <w:name w:val="Document Map"/>
    <w:basedOn w:val="1"/>
    <w:link w:val="60"/>
    <w:semiHidden/>
    <w:qFormat/>
    <w:uiPriority w:val="99"/>
    <w:pPr>
      <w:shd w:val="clear" w:color="auto" w:fill="000080"/>
    </w:pPr>
    <w:rPr>
      <w:sz w:val="24"/>
      <w:szCs w:val="24"/>
      <w:shd w:val="clear" w:color="auto" w:fill="000080"/>
    </w:rPr>
  </w:style>
  <w:style w:type="paragraph" w:styleId="15">
    <w:name w:val="annotation text"/>
    <w:basedOn w:val="1"/>
    <w:link w:val="61"/>
    <w:qFormat/>
    <w:uiPriority w:val="0"/>
    <w:pPr>
      <w:jc w:val="left"/>
    </w:pPr>
    <w:rPr>
      <w:sz w:val="24"/>
      <w:szCs w:val="24"/>
    </w:rPr>
  </w:style>
  <w:style w:type="paragraph" w:styleId="16">
    <w:name w:val="Body Text"/>
    <w:basedOn w:val="1"/>
    <w:link w:val="62"/>
    <w:qFormat/>
    <w:uiPriority w:val="99"/>
    <w:pPr>
      <w:adjustRightInd w:val="0"/>
      <w:spacing w:after="60" w:line="360" w:lineRule="atLeast"/>
      <w:ind w:left="72" w:leftChars="30" w:right="30" w:rightChars="30"/>
      <w:jc w:val="center"/>
      <w:textAlignment w:val="baseline"/>
    </w:pPr>
    <w:rPr>
      <w:sz w:val="22"/>
      <w:szCs w:val="22"/>
    </w:rPr>
  </w:style>
  <w:style w:type="paragraph" w:styleId="17">
    <w:name w:val="Body Text Indent"/>
    <w:basedOn w:val="1"/>
    <w:link w:val="63"/>
    <w:qFormat/>
    <w:uiPriority w:val="99"/>
    <w:pPr>
      <w:spacing w:before="240" w:line="360" w:lineRule="auto"/>
      <w:ind w:firstLine="552" w:firstLineChars="263"/>
    </w:pPr>
    <w:rPr>
      <w:rFonts w:ascii="宋体"/>
    </w:rPr>
  </w:style>
  <w:style w:type="paragraph" w:styleId="18">
    <w:name w:val="index 4"/>
    <w:basedOn w:val="1"/>
    <w:next w:val="1"/>
    <w:semiHidden/>
    <w:qFormat/>
    <w:uiPriority w:val="99"/>
    <w:pPr>
      <w:ind w:left="600" w:leftChars="600"/>
    </w:pPr>
  </w:style>
  <w:style w:type="paragraph" w:styleId="19">
    <w:name w:val="toc 5"/>
    <w:basedOn w:val="1"/>
    <w:next w:val="1"/>
    <w:qFormat/>
    <w:uiPriority w:val="39"/>
    <w:pPr>
      <w:ind w:left="1680" w:leftChars="800"/>
    </w:pPr>
    <w:rPr>
      <w:rFonts w:ascii="Calibri" w:hAnsi="Calibri" w:cs="Calibri"/>
    </w:rPr>
  </w:style>
  <w:style w:type="paragraph" w:styleId="20">
    <w:name w:val="toc 3"/>
    <w:basedOn w:val="1"/>
    <w:next w:val="1"/>
    <w:qFormat/>
    <w:uiPriority w:val="39"/>
    <w:pPr>
      <w:ind w:left="840" w:leftChars="400"/>
    </w:pPr>
  </w:style>
  <w:style w:type="paragraph" w:styleId="21">
    <w:name w:val="Plain Text"/>
    <w:basedOn w:val="1"/>
    <w:link w:val="64"/>
    <w:qFormat/>
    <w:uiPriority w:val="0"/>
    <w:rPr>
      <w:rFonts w:ascii="宋体" w:hAnsi="Courier New"/>
      <w:sz w:val="24"/>
      <w:szCs w:val="24"/>
    </w:rPr>
  </w:style>
  <w:style w:type="paragraph" w:styleId="22">
    <w:name w:val="toc 8"/>
    <w:basedOn w:val="1"/>
    <w:next w:val="1"/>
    <w:qFormat/>
    <w:uiPriority w:val="39"/>
    <w:pPr>
      <w:ind w:left="2940" w:leftChars="1400"/>
    </w:pPr>
    <w:rPr>
      <w:rFonts w:ascii="Calibri" w:hAnsi="Calibri" w:cs="Calibri"/>
    </w:rPr>
  </w:style>
  <w:style w:type="paragraph" w:styleId="23">
    <w:name w:val="Date"/>
    <w:basedOn w:val="1"/>
    <w:next w:val="1"/>
    <w:link w:val="65"/>
    <w:qFormat/>
    <w:uiPriority w:val="99"/>
    <w:pPr>
      <w:ind w:left="100" w:leftChars="2500"/>
    </w:pPr>
    <w:rPr>
      <w:sz w:val="24"/>
      <w:szCs w:val="24"/>
    </w:rPr>
  </w:style>
  <w:style w:type="paragraph" w:styleId="24">
    <w:name w:val="Body Text Indent 2"/>
    <w:basedOn w:val="1"/>
    <w:link w:val="66"/>
    <w:qFormat/>
    <w:uiPriority w:val="99"/>
    <w:pPr>
      <w:spacing w:after="120" w:line="480" w:lineRule="auto"/>
      <w:ind w:left="420" w:leftChars="200"/>
    </w:pPr>
    <w:rPr>
      <w:sz w:val="24"/>
      <w:szCs w:val="24"/>
    </w:rPr>
  </w:style>
  <w:style w:type="paragraph" w:styleId="25">
    <w:name w:val="Balloon Text"/>
    <w:basedOn w:val="1"/>
    <w:link w:val="67"/>
    <w:semiHidden/>
    <w:qFormat/>
    <w:uiPriority w:val="99"/>
    <w:rPr>
      <w:sz w:val="18"/>
      <w:szCs w:val="18"/>
    </w:rPr>
  </w:style>
  <w:style w:type="paragraph" w:styleId="26">
    <w:name w:val="footer"/>
    <w:basedOn w:val="1"/>
    <w:link w:val="68"/>
    <w:qFormat/>
    <w:uiPriority w:val="99"/>
    <w:pPr>
      <w:tabs>
        <w:tab w:val="center" w:pos="4153"/>
        <w:tab w:val="right" w:pos="8306"/>
      </w:tabs>
      <w:snapToGrid w:val="0"/>
      <w:jc w:val="left"/>
    </w:pPr>
    <w:rPr>
      <w:sz w:val="18"/>
      <w:szCs w:val="18"/>
    </w:rPr>
  </w:style>
  <w:style w:type="paragraph" w:styleId="27">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60" w:line="400" w:lineRule="exact"/>
    </w:pPr>
    <w:rPr>
      <w:rFonts w:eastAsia="黑体"/>
    </w:rPr>
  </w:style>
  <w:style w:type="paragraph" w:styleId="29">
    <w:name w:val="toc 4"/>
    <w:basedOn w:val="1"/>
    <w:next w:val="1"/>
    <w:qFormat/>
    <w:uiPriority w:val="39"/>
    <w:pPr>
      <w:ind w:left="1260" w:leftChars="600"/>
    </w:pPr>
    <w:rPr>
      <w:rFonts w:ascii="Calibri" w:hAnsi="Calibri" w:cs="Calibri"/>
    </w:rPr>
  </w:style>
  <w:style w:type="paragraph" w:styleId="30">
    <w:name w:val="Subtitle"/>
    <w:basedOn w:val="1"/>
    <w:next w:val="1"/>
    <w:link w:val="69"/>
    <w:qFormat/>
    <w:uiPriority w:val="11"/>
    <w:pPr>
      <w:spacing w:before="240" w:after="60" w:line="312" w:lineRule="auto"/>
      <w:jc w:val="center"/>
      <w:outlineLvl w:val="1"/>
    </w:pPr>
    <w:rPr>
      <w:rFonts w:ascii="Cambria" w:hAnsi="Cambria"/>
      <w:b/>
      <w:bCs/>
      <w:kern w:val="28"/>
      <w:sz w:val="32"/>
      <w:szCs w:val="32"/>
    </w:rPr>
  </w:style>
  <w:style w:type="paragraph" w:styleId="31">
    <w:name w:val="footnote text"/>
    <w:basedOn w:val="1"/>
    <w:link w:val="70"/>
    <w:semiHidden/>
    <w:qFormat/>
    <w:uiPriority w:val="99"/>
    <w:pPr>
      <w:adjustRightInd w:val="0"/>
      <w:spacing w:line="312" w:lineRule="atLeast"/>
      <w:jc w:val="left"/>
      <w:textAlignment w:val="baseline"/>
    </w:pPr>
    <w:rPr>
      <w:kern w:val="0"/>
      <w:sz w:val="18"/>
      <w:szCs w:val="18"/>
    </w:rPr>
  </w:style>
  <w:style w:type="paragraph" w:styleId="32">
    <w:name w:val="toc 6"/>
    <w:basedOn w:val="1"/>
    <w:next w:val="1"/>
    <w:qFormat/>
    <w:uiPriority w:val="39"/>
    <w:pPr>
      <w:ind w:left="2100" w:leftChars="1000"/>
    </w:pPr>
    <w:rPr>
      <w:rFonts w:ascii="Calibri" w:hAnsi="Calibri" w:cs="Calibri"/>
    </w:rPr>
  </w:style>
  <w:style w:type="paragraph" w:styleId="33">
    <w:name w:val="toc 2"/>
    <w:basedOn w:val="1"/>
    <w:next w:val="1"/>
    <w:qFormat/>
    <w:uiPriority w:val="39"/>
    <w:pPr>
      <w:ind w:left="420" w:leftChars="200"/>
    </w:pPr>
    <w:rPr>
      <w:rFonts w:ascii="Calibri" w:hAnsi="Calibri" w:cs="Calibri"/>
    </w:rPr>
  </w:style>
  <w:style w:type="paragraph" w:styleId="34">
    <w:name w:val="toc 9"/>
    <w:basedOn w:val="1"/>
    <w:next w:val="1"/>
    <w:qFormat/>
    <w:uiPriority w:val="39"/>
    <w:pPr>
      <w:ind w:left="3360" w:leftChars="1600"/>
    </w:pPr>
    <w:rPr>
      <w:rFonts w:ascii="Calibri" w:hAnsi="Calibri" w:cs="Calibri"/>
    </w:rPr>
  </w:style>
  <w:style w:type="paragraph" w:styleId="3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7">
    <w:name w:val="Title"/>
    <w:basedOn w:val="1"/>
    <w:next w:val="1"/>
    <w:link w:val="71"/>
    <w:qFormat/>
    <w:uiPriority w:val="99"/>
    <w:pPr>
      <w:spacing w:before="240" w:after="60"/>
      <w:jc w:val="center"/>
      <w:outlineLvl w:val="0"/>
    </w:pPr>
    <w:rPr>
      <w:rFonts w:ascii="Cambria" w:hAnsi="Cambria"/>
      <w:b/>
      <w:bCs/>
      <w:sz w:val="32"/>
      <w:szCs w:val="32"/>
    </w:rPr>
  </w:style>
  <w:style w:type="paragraph" w:styleId="38">
    <w:name w:val="annotation subject"/>
    <w:basedOn w:val="15"/>
    <w:next w:val="15"/>
    <w:link w:val="72"/>
    <w:semiHidden/>
    <w:qFormat/>
    <w:uiPriority w:val="99"/>
    <w:rPr>
      <w:b/>
      <w:bCs/>
    </w:rPr>
  </w:style>
  <w:style w:type="paragraph" w:styleId="39">
    <w:name w:val="Body Text First Indent"/>
    <w:basedOn w:val="16"/>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qFormat/>
    <w:uiPriority w:val="99"/>
  </w:style>
  <w:style w:type="character" w:styleId="45">
    <w:name w:val="FollowedHyperlink"/>
    <w:qFormat/>
    <w:uiPriority w:val="99"/>
    <w:rPr>
      <w:color w:val="800080"/>
      <w:u w:val="single"/>
    </w:rPr>
  </w:style>
  <w:style w:type="character" w:styleId="46">
    <w:name w:val="Emphasis"/>
    <w:qFormat/>
    <w:uiPriority w:val="99"/>
    <w:rPr>
      <w:i/>
      <w:iCs/>
    </w:rPr>
  </w:style>
  <w:style w:type="character" w:styleId="47">
    <w:name w:val="Hyperlink"/>
    <w:basedOn w:val="42"/>
    <w:qFormat/>
    <w:uiPriority w:val="99"/>
    <w:rPr>
      <w:color w:val="0000FF"/>
      <w:u w:val="single"/>
    </w:rPr>
  </w:style>
  <w:style w:type="character" w:styleId="48">
    <w:name w:val="annotation reference"/>
    <w:qFormat/>
    <w:uiPriority w:val="0"/>
    <w:rPr>
      <w:sz w:val="21"/>
      <w:szCs w:val="21"/>
    </w:rPr>
  </w:style>
  <w:style w:type="character" w:customStyle="1" w:styleId="49">
    <w:name w:val="页眉 Char"/>
    <w:basedOn w:val="42"/>
    <w:link w:val="27"/>
    <w:qFormat/>
    <w:uiPriority w:val="0"/>
    <w:rPr>
      <w:rFonts w:hint="default" w:ascii="Calibri" w:hAnsi="Calibri" w:cs="Calibri"/>
      <w:kern w:val="2"/>
      <w:sz w:val="18"/>
      <w:szCs w:val="18"/>
    </w:rPr>
  </w:style>
  <w:style w:type="character" w:customStyle="1" w:styleId="50">
    <w:name w:val="标题 1 字符"/>
    <w:link w:val="2"/>
    <w:qFormat/>
    <w:locked/>
    <w:uiPriority w:val="99"/>
    <w:rPr>
      <w:rFonts w:eastAsia="黑体"/>
      <w:b/>
      <w:bCs/>
      <w:kern w:val="44"/>
      <w:sz w:val="44"/>
      <w:szCs w:val="44"/>
      <w:lang w:val="zh-CN" w:eastAsia="zh-CN"/>
    </w:rPr>
  </w:style>
  <w:style w:type="character" w:customStyle="1" w:styleId="51">
    <w:name w:val="标题 2 字符"/>
    <w:link w:val="3"/>
    <w:qFormat/>
    <w:locked/>
    <w:uiPriority w:val="99"/>
    <w:rPr>
      <w:rFonts w:ascii="Arial" w:hAnsi="Arial" w:eastAsia="黑体" w:cs="Arial"/>
      <w:b/>
      <w:bCs/>
      <w:kern w:val="2"/>
      <w:sz w:val="32"/>
      <w:szCs w:val="32"/>
      <w:lang w:val="zh-CN" w:eastAsia="zh-CN"/>
    </w:rPr>
  </w:style>
  <w:style w:type="character" w:customStyle="1" w:styleId="52">
    <w:name w:val="标题 3 字符"/>
    <w:link w:val="4"/>
    <w:qFormat/>
    <w:locked/>
    <w:uiPriority w:val="99"/>
    <w:rPr>
      <w:rFonts w:eastAsia="黑体"/>
      <w:b/>
      <w:bCs/>
      <w:kern w:val="2"/>
      <w:sz w:val="32"/>
      <w:szCs w:val="32"/>
      <w:lang w:val="zh-CN" w:eastAsia="zh-CN"/>
    </w:rPr>
  </w:style>
  <w:style w:type="character" w:customStyle="1" w:styleId="53">
    <w:name w:val="标题 4 字符"/>
    <w:link w:val="5"/>
    <w:qFormat/>
    <w:locked/>
    <w:uiPriority w:val="99"/>
    <w:rPr>
      <w:rFonts w:ascii="Arial" w:hAnsi="Arial" w:eastAsia="宋体" w:cs="Arial"/>
      <w:b/>
      <w:bCs/>
      <w:kern w:val="2"/>
      <w:sz w:val="28"/>
      <w:szCs w:val="28"/>
      <w:lang w:val="en-US" w:eastAsia="zh-CN"/>
    </w:rPr>
  </w:style>
  <w:style w:type="character" w:customStyle="1" w:styleId="54">
    <w:name w:val="标题 5 字符"/>
    <w:link w:val="6"/>
    <w:qFormat/>
    <w:locked/>
    <w:uiPriority w:val="99"/>
    <w:rPr>
      <w:rFonts w:eastAsia="宋体"/>
      <w:b/>
      <w:bCs/>
      <w:kern w:val="2"/>
      <w:sz w:val="28"/>
      <w:szCs w:val="28"/>
      <w:lang w:val="en-US" w:eastAsia="zh-CN"/>
    </w:rPr>
  </w:style>
  <w:style w:type="character" w:customStyle="1" w:styleId="55">
    <w:name w:val="标题 6 字符"/>
    <w:link w:val="7"/>
    <w:semiHidden/>
    <w:qFormat/>
    <w:uiPriority w:val="9"/>
    <w:rPr>
      <w:rFonts w:ascii="Cambria" w:hAnsi="Cambria" w:eastAsia="宋体" w:cs="Times New Roman"/>
      <w:b/>
      <w:bCs/>
      <w:sz w:val="24"/>
      <w:szCs w:val="24"/>
    </w:rPr>
  </w:style>
  <w:style w:type="character" w:customStyle="1" w:styleId="56">
    <w:name w:val="标题 7 字符"/>
    <w:link w:val="8"/>
    <w:semiHidden/>
    <w:qFormat/>
    <w:uiPriority w:val="9"/>
    <w:rPr>
      <w:b/>
      <w:bCs/>
      <w:sz w:val="24"/>
      <w:szCs w:val="24"/>
    </w:rPr>
  </w:style>
  <w:style w:type="character" w:customStyle="1" w:styleId="57">
    <w:name w:val="标题 8 字符"/>
    <w:link w:val="9"/>
    <w:semiHidden/>
    <w:qFormat/>
    <w:uiPriority w:val="9"/>
    <w:rPr>
      <w:rFonts w:ascii="Cambria" w:hAnsi="Cambria" w:eastAsia="宋体" w:cs="Times New Roman"/>
      <w:sz w:val="24"/>
      <w:szCs w:val="24"/>
    </w:rPr>
  </w:style>
  <w:style w:type="character" w:customStyle="1" w:styleId="58">
    <w:name w:val="标题 9 字符"/>
    <w:link w:val="10"/>
    <w:semiHidden/>
    <w:qFormat/>
    <w:uiPriority w:val="9"/>
    <w:rPr>
      <w:rFonts w:ascii="Cambria" w:hAnsi="Cambria" w:eastAsia="宋体" w:cs="Times New Roman"/>
      <w:szCs w:val="21"/>
    </w:rPr>
  </w:style>
  <w:style w:type="character" w:customStyle="1" w:styleId="59">
    <w:name w:val="正文缩进 Char"/>
    <w:link w:val="12"/>
    <w:qFormat/>
    <w:uiPriority w:val="99"/>
    <w:rPr>
      <w:sz w:val="20"/>
      <w:szCs w:val="20"/>
    </w:rPr>
  </w:style>
  <w:style w:type="character" w:customStyle="1" w:styleId="60">
    <w:name w:val="文档结构图 字符"/>
    <w:link w:val="14"/>
    <w:qFormat/>
    <w:locked/>
    <w:uiPriority w:val="99"/>
    <w:rPr>
      <w:kern w:val="2"/>
      <w:sz w:val="24"/>
      <w:szCs w:val="24"/>
      <w:shd w:val="clear" w:color="auto" w:fill="000080"/>
    </w:rPr>
  </w:style>
  <w:style w:type="character" w:customStyle="1" w:styleId="61">
    <w:name w:val="批注文字 字符"/>
    <w:link w:val="15"/>
    <w:qFormat/>
    <w:locked/>
    <w:uiPriority w:val="0"/>
    <w:rPr>
      <w:rFonts w:eastAsia="宋体"/>
      <w:kern w:val="2"/>
      <w:sz w:val="24"/>
      <w:szCs w:val="24"/>
      <w:lang w:val="en-US" w:eastAsia="zh-CN"/>
    </w:rPr>
  </w:style>
  <w:style w:type="character" w:customStyle="1" w:styleId="62">
    <w:name w:val="正文文本 字符"/>
    <w:link w:val="16"/>
    <w:qFormat/>
    <w:locked/>
    <w:uiPriority w:val="99"/>
    <w:rPr>
      <w:rFonts w:eastAsia="宋体"/>
      <w:kern w:val="2"/>
      <w:sz w:val="22"/>
      <w:szCs w:val="22"/>
      <w:lang w:val="en-US" w:eastAsia="zh-CN"/>
    </w:rPr>
  </w:style>
  <w:style w:type="character" w:customStyle="1" w:styleId="63">
    <w:name w:val="正文文本缩进 字符"/>
    <w:link w:val="17"/>
    <w:qFormat/>
    <w:locked/>
    <w:uiPriority w:val="99"/>
    <w:rPr>
      <w:rFonts w:ascii="宋体" w:eastAsia="宋体" w:cs="宋体"/>
      <w:kern w:val="2"/>
      <w:sz w:val="21"/>
      <w:szCs w:val="21"/>
    </w:rPr>
  </w:style>
  <w:style w:type="character" w:customStyle="1" w:styleId="64">
    <w:name w:val="纯文本 字符"/>
    <w:link w:val="21"/>
    <w:qFormat/>
    <w:locked/>
    <w:uiPriority w:val="0"/>
    <w:rPr>
      <w:rFonts w:ascii="宋体" w:hAnsi="Courier New" w:eastAsia="宋体" w:cs="宋体"/>
      <w:kern w:val="2"/>
      <w:sz w:val="24"/>
      <w:szCs w:val="24"/>
      <w:lang w:val="en-US" w:eastAsia="zh-CN"/>
    </w:rPr>
  </w:style>
  <w:style w:type="character" w:customStyle="1" w:styleId="65">
    <w:name w:val="日期 字符"/>
    <w:link w:val="23"/>
    <w:qFormat/>
    <w:locked/>
    <w:uiPriority w:val="99"/>
    <w:rPr>
      <w:kern w:val="2"/>
      <w:sz w:val="24"/>
      <w:szCs w:val="24"/>
    </w:rPr>
  </w:style>
  <w:style w:type="character" w:customStyle="1" w:styleId="66">
    <w:name w:val="正文文本缩进 2 字符"/>
    <w:link w:val="24"/>
    <w:qFormat/>
    <w:locked/>
    <w:uiPriority w:val="99"/>
    <w:rPr>
      <w:kern w:val="2"/>
      <w:sz w:val="24"/>
      <w:szCs w:val="24"/>
    </w:rPr>
  </w:style>
  <w:style w:type="character" w:customStyle="1" w:styleId="67">
    <w:name w:val="批注框文本 字符"/>
    <w:link w:val="25"/>
    <w:qFormat/>
    <w:locked/>
    <w:uiPriority w:val="99"/>
    <w:rPr>
      <w:kern w:val="2"/>
      <w:sz w:val="18"/>
      <w:szCs w:val="18"/>
    </w:rPr>
  </w:style>
  <w:style w:type="character" w:customStyle="1" w:styleId="68">
    <w:name w:val="页脚 字符"/>
    <w:link w:val="26"/>
    <w:qFormat/>
    <w:locked/>
    <w:uiPriority w:val="99"/>
    <w:rPr>
      <w:kern w:val="2"/>
      <w:sz w:val="18"/>
      <w:szCs w:val="18"/>
    </w:rPr>
  </w:style>
  <w:style w:type="character" w:customStyle="1" w:styleId="69">
    <w:name w:val="副标题 字符"/>
    <w:link w:val="30"/>
    <w:qFormat/>
    <w:uiPriority w:val="11"/>
    <w:rPr>
      <w:rFonts w:ascii="Cambria" w:hAnsi="Cambria" w:cs="Times New Roman"/>
      <w:b/>
      <w:bCs/>
      <w:kern w:val="28"/>
      <w:sz w:val="32"/>
      <w:szCs w:val="32"/>
    </w:rPr>
  </w:style>
  <w:style w:type="character" w:customStyle="1" w:styleId="70">
    <w:name w:val="脚注文本 字符"/>
    <w:link w:val="31"/>
    <w:qFormat/>
    <w:locked/>
    <w:uiPriority w:val="99"/>
    <w:rPr>
      <w:sz w:val="18"/>
      <w:szCs w:val="18"/>
    </w:rPr>
  </w:style>
  <w:style w:type="character" w:customStyle="1" w:styleId="71">
    <w:name w:val="标题 字符"/>
    <w:link w:val="37"/>
    <w:qFormat/>
    <w:locked/>
    <w:uiPriority w:val="99"/>
    <w:rPr>
      <w:rFonts w:ascii="Cambria" w:hAnsi="Cambria" w:cs="Cambria"/>
      <w:b/>
      <w:bCs/>
      <w:kern w:val="2"/>
      <w:sz w:val="32"/>
      <w:szCs w:val="32"/>
    </w:rPr>
  </w:style>
  <w:style w:type="character" w:customStyle="1" w:styleId="72">
    <w:name w:val="批注主题 字符"/>
    <w:link w:val="38"/>
    <w:qFormat/>
    <w:locked/>
    <w:uiPriority w:val="99"/>
    <w:rPr>
      <w:b/>
      <w:bCs/>
      <w:kern w:val="2"/>
      <w:sz w:val="24"/>
      <w:szCs w:val="24"/>
    </w:rPr>
  </w:style>
  <w:style w:type="character" w:customStyle="1" w:styleId="73">
    <w:name w:val="页眉 字符"/>
    <w:link w:val="27"/>
    <w:qFormat/>
    <w:locked/>
    <w:uiPriority w:val="99"/>
    <w:rPr>
      <w:kern w:val="2"/>
      <w:sz w:val="18"/>
      <w:szCs w:val="18"/>
    </w:rPr>
  </w:style>
  <w:style w:type="character" w:customStyle="1" w:styleId="74">
    <w:name w:val="明显强调1"/>
    <w:qFormat/>
    <w:uiPriority w:val="99"/>
    <w:rPr>
      <w:b/>
      <w:bCs/>
      <w:i/>
      <w:iCs/>
      <w:color w:val="4F81BD"/>
    </w:rPr>
  </w:style>
  <w:style w:type="character" w:customStyle="1" w:styleId="75">
    <w:name w:val="Comment Text Char"/>
    <w:qFormat/>
    <w:uiPriority w:val="99"/>
    <w:rPr>
      <w:sz w:val="24"/>
      <w:szCs w:val="24"/>
    </w:rPr>
  </w:style>
  <w:style w:type="character" w:customStyle="1" w:styleId="76">
    <w:name w:val="Comment Text Char1"/>
    <w:qFormat/>
    <w:uiPriority w:val="99"/>
    <w:rPr>
      <w:sz w:val="24"/>
      <w:szCs w:val="24"/>
    </w:rPr>
  </w:style>
  <w:style w:type="character" w:customStyle="1" w:styleId="77">
    <w:name w:val="Footer Char"/>
    <w:qFormat/>
    <w:uiPriority w:val="99"/>
    <w:rPr>
      <w:rFonts w:eastAsia="宋体"/>
      <w:kern w:val="2"/>
      <w:sz w:val="18"/>
      <w:szCs w:val="18"/>
      <w:lang w:val="en-US" w:eastAsia="zh-CN"/>
    </w:rPr>
  </w:style>
  <w:style w:type="character" w:customStyle="1" w:styleId="78">
    <w:name w:val="批注文字 Char1"/>
    <w:qFormat/>
    <w:uiPriority w:val="99"/>
    <w:rPr>
      <w:rFonts w:ascii="Times New Roman" w:hAnsi="Times New Roman" w:eastAsia="宋体" w:cs="Times New Roman"/>
      <w:sz w:val="24"/>
      <w:szCs w:val="24"/>
    </w:rPr>
  </w:style>
  <w:style w:type="character" w:customStyle="1" w:styleId="79">
    <w:name w:val="书籍标题1"/>
    <w:qFormat/>
    <w:uiPriority w:val="99"/>
    <w:rPr>
      <w:b/>
      <w:bCs/>
      <w:smallCaps/>
      <w:spacing w:val="5"/>
    </w:rPr>
  </w:style>
  <w:style w:type="character" w:customStyle="1" w:styleId="80">
    <w:name w:val="Heading 1 Char"/>
    <w:qFormat/>
    <w:uiPriority w:val="99"/>
    <w:rPr>
      <w:rFonts w:eastAsia="宋体"/>
      <w:b/>
      <w:bCs/>
      <w:kern w:val="44"/>
      <w:sz w:val="44"/>
      <w:szCs w:val="44"/>
      <w:lang w:val="en-US" w:eastAsia="zh-CN"/>
    </w:rPr>
  </w:style>
  <w:style w:type="character" w:customStyle="1" w:styleId="81">
    <w:name w:val="标题 Char2"/>
    <w:qFormat/>
    <w:uiPriority w:val="99"/>
    <w:rPr>
      <w:rFonts w:ascii="Cambria" w:hAnsi="Cambria" w:eastAsia="宋体" w:cs="Cambria"/>
      <w:b/>
      <w:bCs/>
      <w:sz w:val="32"/>
      <w:szCs w:val="32"/>
    </w:rPr>
  </w:style>
  <w:style w:type="character" w:customStyle="1" w:styleId="82">
    <w:name w:val="正文文本 Char1"/>
    <w:qFormat/>
    <w:uiPriority w:val="99"/>
    <w:rPr>
      <w:kern w:val="2"/>
      <w:sz w:val="22"/>
      <w:szCs w:val="22"/>
    </w:rPr>
  </w:style>
  <w:style w:type="character" w:customStyle="1" w:styleId="83">
    <w:name w:val="标题4 Char Char"/>
    <w:link w:val="84"/>
    <w:qFormat/>
    <w:locked/>
    <w:uiPriority w:val="99"/>
    <w:rPr>
      <w:rFonts w:ascii="Arial" w:hAnsi="Arial" w:cs="Arial"/>
      <w:b/>
      <w:bCs/>
      <w:sz w:val="32"/>
      <w:szCs w:val="32"/>
    </w:rPr>
  </w:style>
  <w:style w:type="paragraph" w:customStyle="1" w:styleId="84">
    <w:name w:val="标题4"/>
    <w:basedOn w:val="3"/>
    <w:next w:val="18"/>
    <w:link w:val="83"/>
    <w:qFormat/>
    <w:uiPriority w:val="99"/>
    <w:rPr>
      <w:rFonts w:eastAsia="宋体"/>
      <w:kern w:val="0"/>
    </w:rPr>
  </w:style>
  <w:style w:type="character" w:customStyle="1" w:styleId="85">
    <w:name w:val="Char Char19"/>
    <w:qFormat/>
    <w:uiPriority w:val="99"/>
    <w:rPr>
      <w:rFonts w:ascii="Arial" w:hAnsi="Arial" w:eastAsia="宋体" w:cs="Arial"/>
      <w:b/>
      <w:bCs/>
      <w:sz w:val="28"/>
      <w:szCs w:val="28"/>
    </w:rPr>
  </w:style>
  <w:style w:type="character" w:customStyle="1" w:styleId="86">
    <w:name w:val="Body Text Indent Char"/>
    <w:qFormat/>
    <w:uiPriority w:val="99"/>
    <w:rPr>
      <w:rFonts w:ascii="宋体" w:hAnsi="宋体" w:eastAsia="宋体" w:cs="宋体"/>
      <w:kern w:val="2"/>
      <w:sz w:val="21"/>
      <w:szCs w:val="21"/>
      <w:lang w:val="en-US" w:eastAsia="zh-CN"/>
    </w:rPr>
  </w:style>
  <w:style w:type="character" w:customStyle="1" w:styleId="87">
    <w:name w:val="Heading 3 Char1"/>
    <w:qFormat/>
    <w:uiPriority w:val="99"/>
    <w:rPr>
      <w:rFonts w:eastAsia="宋体"/>
      <w:b/>
      <w:bCs/>
      <w:kern w:val="2"/>
      <w:sz w:val="32"/>
      <w:szCs w:val="32"/>
      <w:lang w:val="en-US" w:eastAsia="zh-CN"/>
    </w:rPr>
  </w:style>
  <w:style w:type="character" w:customStyle="1" w:styleId="88">
    <w:name w:val="textcontents"/>
    <w:qFormat/>
    <w:uiPriority w:val="99"/>
  </w:style>
  <w:style w:type="character" w:customStyle="1" w:styleId="89">
    <w:name w:val="Body Text Indent 2 Char"/>
    <w:qFormat/>
    <w:uiPriority w:val="99"/>
    <w:rPr>
      <w:rFonts w:eastAsia="宋体"/>
      <w:kern w:val="2"/>
      <w:sz w:val="24"/>
      <w:szCs w:val="24"/>
      <w:lang w:val="en-US" w:eastAsia="zh-CN"/>
    </w:rPr>
  </w:style>
  <w:style w:type="character" w:customStyle="1" w:styleId="90">
    <w:name w:val="Char Char22"/>
    <w:qFormat/>
    <w:uiPriority w:val="99"/>
    <w:rPr>
      <w:rFonts w:ascii="Times New Roman" w:hAnsi="Times New Roman" w:eastAsia="宋体" w:cs="Times New Roman"/>
      <w:b/>
      <w:bCs/>
      <w:kern w:val="44"/>
      <w:sz w:val="44"/>
      <w:szCs w:val="44"/>
    </w:rPr>
  </w:style>
  <w:style w:type="character" w:customStyle="1" w:styleId="91">
    <w:name w:val="批注文字 Char Char"/>
    <w:qFormat/>
    <w:uiPriority w:val="99"/>
    <w:rPr>
      <w:rFonts w:ascii="宋体" w:hAnsi="Times New Roman" w:eastAsia="宋体" w:cs="宋体"/>
      <w:sz w:val="20"/>
      <w:szCs w:val="20"/>
    </w:rPr>
  </w:style>
  <w:style w:type="character" w:customStyle="1" w:styleId="92">
    <w:name w:val="不明显强调1"/>
    <w:qFormat/>
    <w:uiPriority w:val="99"/>
    <w:rPr>
      <w:i/>
      <w:iCs/>
      <w:color w:val="808080"/>
    </w:rPr>
  </w:style>
  <w:style w:type="character" w:customStyle="1" w:styleId="93">
    <w:name w:val="批注框文本 Char1"/>
    <w:qFormat/>
    <w:uiPriority w:val="99"/>
    <w:rPr>
      <w:rFonts w:ascii="Times New Roman" w:hAnsi="Times New Roman" w:eastAsia="宋体" w:cs="Times New Roman"/>
      <w:sz w:val="18"/>
      <w:szCs w:val="18"/>
    </w:rPr>
  </w:style>
  <w:style w:type="character" w:customStyle="1" w:styleId="94">
    <w:name w:val="日期 Char1"/>
    <w:qFormat/>
    <w:uiPriority w:val="99"/>
    <w:rPr>
      <w:rFonts w:ascii="Times New Roman" w:hAnsi="Times New Roman" w:eastAsia="宋体" w:cs="Times New Roman"/>
      <w:sz w:val="24"/>
      <w:szCs w:val="24"/>
    </w:rPr>
  </w:style>
  <w:style w:type="character" w:customStyle="1" w:styleId="95">
    <w:name w:val="明显参考1"/>
    <w:qFormat/>
    <w:uiPriority w:val="99"/>
    <w:rPr>
      <w:b/>
      <w:bCs/>
      <w:smallCaps/>
      <w:color w:val="auto"/>
      <w:spacing w:val="5"/>
      <w:u w:val="single"/>
    </w:rPr>
  </w:style>
  <w:style w:type="character" w:customStyle="1" w:styleId="96">
    <w:name w:val="Char Char181"/>
    <w:qFormat/>
    <w:uiPriority w:val="99"/>
    <w:rPr>
      <w:b/>
      <w:bCs/>
      <w:kern w:val="44"/>
      <w:sz w:val="44"/>
      <w:szCs w:val="44"/>
    </w:rPr>
  </w:style>
  <w:style w:type="character" w:customStyle="1" w:styleId="97">
    <w:name w:val="批注文字 Char"/>
    <w:qFormat/>
    <w:uiPriority w:val="99"/>
    <w:rPr>
      <w:kern w:val="2"/>
      <w:sz w:val="24"/>
      <w:szCs w:val="24"/>
    </w:rPr>
  </w:style>
  <w:style w:type="character" w:customStyle="1" w:styleId="98">
    <w:name w:val="Char Char9"/>
    <w:qFormat/>
    <w:uiPriority w:val="99"/>
    <w:rPr>
      <w:rFonts w:eastAsia="宋体"/>
      <w:b/>
      <w:bCs/>
      <w:kern w:val="44"/>
      <w:sz w:val="44"/>
      <w:szCs w:val="44"/>
      <w:lang w:val="en-US" w:eastAsia="zh-CN"/>
    </w:rPr>
  </w:style>
  <w:style w:type="character" w:customStyle="1" w:styleId="99">
    <w:name w:val="Title Char"/>
    <w:qFormat/>
    <w:uiPriority w:val="99"/>
    <w:rPr>
      <w:rFonts w:ascii="Cambria" w:hAnsi="Cambria" w:cs="Cambria"/>
      <w:b/>
      <w:bCs/>
      <w:sz w:val="32"/>
      <w:szCs w:val="32"/>
    </w:rPr>
  </w:style>
  <w:style w:type="character" w:customStyle="1" w:styleId="100">
    <w:name w:val="Comment Subject Char"/>
    <w:qFormat/>
    <w:uiPriority w:val="99"/>
    <w:rPr>
      <w:b/>
      <w:bCs/>
      <w:sz w:val="24"/>
      <w:szCs w:val="24"/>
    </w:rPr>
  </w:style>
  <w:style w:type="character" w:customStyle="1" w:styleId="101">
    <w:name w:val="Balloon Text Char"/>
    <w:qFormat/>
    <w:uiPriority w:val="99"/>
    <w:rPr>
      <w:sz w:val="18"/>
      <w:szCs w:val="18"/>
    </w:rPr>
  </w:style>
  <w:style w:type="character" w:customStyle="1" w:styleId="102">
    <w:name w:val="Heading 2 Char"/>
    <w:qFormat/>
    <w:uiPriority w:val="99"/>
    <w:rPr>
      <w:rFonts w:ascii="Arial" w:hAnsi="Arial" w:eastAsia="黑体" w:cs="Arial"/>
      <w:b/>
      <w:bCs/>
      <w:kern w:val="2"/>
      <w:sz w:val="32"/>
      <w:szCs w:val="32"/>
      <w:lang w:val="en-US" w:eastAsia="zh-CN"/>
    </w:rPr>
  </w:style>
  <w:style w:type="character" w:customStyle="1" w:styleId="103">
    <w:name w:val="Char Char6"/>
    <w:qFormat/>
    <w:uiPriority w:val="99"/>
    <w:rPr>
      <w:rFonts w:eastAsia="宋体"/>
      <w:b/>
      <w:bCs/>
      <w:kern w:val="44"/>
      <w:sz w:val="44"/>
      <w:szCs w:val="44"/>
      <w:lang w:val="en-US" w:eastAsia="zh-CN"/>
    </w:rPr>
  </w:style>
  <w:style w:type="character" w:customStyle="1" w:styleId="104">
    <w:name w:val="不明显参考1"/>
    <w:qFormat/>
    <w:uiPriority w:val="99"/>
    <w:rPr>
      <w:smallCaps/>
      <w:color w:val="auto"/>
      <w:u w:val="single"/>
    </w:rPr>
  </w:style>
  <w:style w:type="character" w:customStyle="1" w:styleId="105">
    <w:name w:val="Char Char18"/>
    <w:qFormat/>
    <w:uiPriority w:val="99"/>
    <w:rPr>
      <w:rFonts w:ascii="Times New Roman" w:hAnsi="Times New Roman" w:eastAsia="宋体" w:cs="Times New Roman"/>
      <w:b/>
      <w:bCs/>
      <w:sz w:val="28"/>
      <w:szCs w:val="28"/>
    </w:rPr>
  </w:style>
  <w:style w:type="character" w:customStyle="1" w:styleId="106">
    <w:name w:val="标题5 Char Char"/>
    <w:link w:val="107"/>
    <w:qFormat/>
    <w:locked/>
    <w:uiPriority w:val="99"/>
    <w:rPr>
      <w:rFonts w:ascii="Arial" w:hAnsi="Arial" w:cs="Arial"/>
      <w:b/>
      <w:bCs/>
      <w:sz w:val="32"/>
      <w:szCs w:val="32"/>
    </w:rPr>
  </w:style>
  <w:style w:type="paragraph" w:customStyle="1" w:styleId="107">
    <w:name w:val="标题5"/>
    <w:basedOn w:val="4"/>
    <w:link w:val="106"/>
    <w:qFormat/>
    <w:uiPriority w:val="99"/>
    <w:pPr>
      <w:spacing w:before="260" w:after="260" w:line="413" w:lineRule="auto"/>
    </w:pPr>
    <w:rPr>
      <w:rFonts w:ascii="Arial" w:hAnsi="Arial" w:eastAsia="宋体"/>
      <w:kern w:val="0"/>
    </w:rPr>
  </w:style>
  <w:style w:type="character" w:customStyle="1" w:styleId="108">
    <w:name w:val="Char Char20"/>
    <w:qFormat/>
    <w:uiPriority w:val="99"/>
    <w:rPr>
      <w:rFonts w:ascii="Times New Roman" w:hAnsi="Times New Roman" w:eastAsia="宋体" w:cs="Times New Roman"/>
      <w:b/>
      <w:bCs/>
      <w:sz w:val="32"/>
      <w:szCs w:val="32"/>
    </w:rPr>
  </w:style>
  <w:style w:type="character" w:customStyle="1" w:styleId="109">
    <w:name w:val="Footnote Text Char"/>
    <w:qFormat/>
    <w:uiPriority w:val="99"/>
    <w:rPr>
      <w:rFonts w:eastAsia="宋体"/>
      <w:sz w:val="18"/>
      <w:szCs w:val="18"/>
      <w:lang w:val="en-US" w:eastAsia="zh-CN"/>
    </w:rPr>
  </w:style>
  <w:style w:type="character" w:customStyle="1" w:styleId="110">
    <w:name w:val="Heading 5 Char"/>
    <w:qFormat/>
    <w:uiPriority w:val="99"/>
    <w:rPr>
      <w:rFonts w:eastAsia="宋体"/>
      <w:b/>
      <w:bCs/>
      <w:kern w:val="2"/>
      <w:sz w:val="28"/>
      <w:szCs w:val="28"/>
      <w:lang w:val="en-US" w:eastAsia="zh-CN"/>
    </w:rPr>
  </w:style>
  <w:style w:type="character" w:customStyle="1" w:styleId="111">
    <w:name w:val="Document Map Char"/>
    <w:qFormat/>
    <w:uiPriority w:val="99"/>
    <w:rPr>
      <w:rFonts w:eastAsia="宋体"/>
      <w:kern w:val="2"/>
      <w:sz w:val="24"/>
      <w:szCs w:val="24"/>
      <w:lang w:val="en-US" w:eastAsia="zh-CN"/>
    </w:rPr>
  </w:style>
  <w:style w:type="character" w:customStyle="1" w:styleId="112">
    <w:name w:val="纯文本 Char1"/>
    <w:qFormat/>
    <w:uiPriority w:val="99"/>
    <w:rPr>
      <w:rFonts w:ascii="宋体" w:hAnsi="Courier New" w:eastAsia="宋体" w:cs="宋体"/>
      <w:sz w:val="21"/>
      <w:szCs w:val="21"/>
    </w:rPr>
  </w:style>
  <w:style w:type="character" w:customStyle="1" w:styleId="113">
    <w:name w:val="Char Char23"/>
    <w:qFormat/>
    <w:uiPriority w:val="99"/>
    <w:rPr>
      <w:rFonts w:eastAsia="宋体"/>
      <w:b/>
      <w:bCs/>
      <w:kern w:val="44"/>
      <w:sz w:val="44"/>
      <w:szCs w:val="44"/>
      <w:lang w:val="en-US" w:eastAsia="zh-CN"/>
    </w:rPr>
  </w:style>
  <w:style w:type="character" w:customStyle="1" w:styleId="114">
    <w:name w:val="Date Char"/>
    <w:qFormat/>
    <w:uiPriority w:val="99"/>
    <w:rPr>
      <w:rFonts w:eastAsia="宋体"/>
      <w:kern w:val="2"/>
      <w:sz w:val="24"/>
      <w:szCs w:val="24"/>
      <w:lang w:val="en-US" w:eastAsia="zh-CN"/>
    </w:rPr>
  </w:style>
  <w:style w:type="character" w:customStyle="1" w:styleId="115">
    <w:name w:val="Header Char"/>
    <w:qFormat/>
    <w:uiPriority w:val="99"/>
    <w:rPr>
      <w:rFonts w:eastAsia="宋体"/>
      <w:kern w:val="2"/>
      <w:sz w:val="18"/>
      <w:szCs w:val="18"/>
      <w:lang w:val="en-US" w:eastAsia="zh-CN"/>
    </w:rPr>
  </w:style>
  <w:style w:type="character" w:customStyle="1" w:styleId="116">
    <w:name w:val="Char Char91"/>
    <w:qFormat/>
    <w:uiPriority w:val="99"/>
    <w:rPr>
      <w:rFonts w:eastAsia="宋体"/>
      <w:b/>
      <w:bCs/>
      <w:kern w:val="44"/>
      <w:sz w:val="44"/>
      <w:szCs w:val="44"/>
      <w:lang w:val="en-US" w:eastAsia="zh-CN"/>
    </w:rPr>
  </w:style>
  <w:style w:type="character" w:customStyle="1" w:styleId="117">
    <w:name w:val="明显引用 Char"/>
    <w:link w:val="118"/>
    <w:qFormat/>
    <w:locked/>
    <w:uiPriority w:val="99"/>
    <w:rPr>
      <w:b/>
      <w:bCs/>
      <w:i/>
      <w:iCs/>
      <w:color w:val="4F81BD"/>
    </w:rPr>
  </w:style>
  <w:style w:type="paragraph" w:customStyle="1" w:styleId="118">
    <w:name w:val="明显引用1"/>
    <w:basedOn w:val="1"/>
    <w:next w:val="1"/>
    <w:link w:val="117"/>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19">
    <w:name w:val="文档结构图 Char1"/>
    <w:qFormat/>
    <w:uiPriority w:val="99"/>
    <w:rPr>
      <w:rFonts w:ascii="宋体" w:hAnsi="Times New Roman" w:eastAsia="宋体" w:cs="宋体"/>
      <w:sz w:val="18"/>
      <w:szCs w:val="18"/>
    </w:rPr>
  </w:style>
  <w:style w:type="character" w:customStyle="1" w:styleId="120">
    <w:name w:val="明显引用 Char1"/>
    <w:qFormat/>
    <w:uiPriority w:val="99"/>
    <w:rPr>
      <w:rFonts w:ascii="Times New Roman" w:hAnsi="Times New Roman" w:eastAsia="宋体" w:cs="Times New Roman"/>
      <w:b/>
      <w:bCs/>
      <w:i/>
      <w:iCs/>
      <w:color w:val="4F81BD"/>
      <w:sz w:val="24"/>
      <w:szCs w:val="24"/>
    </w:rPr>
  </w:style>
  <w:style w:type="character" w:customStyle="1" w:styleId="121">
    <w:name w:val="Plain Text Char"/>
    <w:qFormat/>
    <w:uiPriority w:val="99"/>
    <w:rPr>
      <w:rFonts w:ascii="宋体" w:hAnsi="Courier New" w:eastAsia="宋体" w:cs="宋体"/>
      <w:sz w:val="24"/>
      <w:szCs w:val="24"/>
    </w:rPr>
  </w:style>
  <w:style w:type="character" w:customStyle="1" w:styleId="122">
    <w:name w:val="Char Char24"/>
    <w:qFormat/>
    <w:uiPriority w:val="99"/>
    <w:rPr>
      <w:rFonts w:eastAsia="宋体"/>
      <w:b/>
      <w:bCs/>
      <w:kern w:val="44"/>
      <w:sz w:val="44"/>
      <w:szCs w:val="44"/>
      <w:lang w:val="en-US" w:eastAsia="zh-CN"/>
    </w:rPr>
  </w:style>
  <w:style w:type="character" w:customStyle="1" w:styleId="123">
    <w:name w:val="引用 Char"/>
    <w:link w:val="124"/>
    <w:qFormat/>
    <w:locked/>
    <w:uiPriority w:val="99"/>
    <w:rPr>
      <w:i/>
      <w:iCs/>
      <w:color w:val="000000"/>
    </w:rPr>
  </w:style>
  <w:style w:type="paragraph" w:customStyle="1" w:styleId="124">
    <w:name w:val="引用1"/>
    <w:basedOn w:val="1"/>
    <w:next w:val="1"/>
    <w:link w:val="123"/>
    <w:qFormat/>
    <w:uiPriority w:val="99"/>
    <w:rPr>
      <w:i/>
      <w:iCs/>
      <w:color w:val="000000"/>
      <w:kern w:val="0"/>
      <w:sz w:val="20"/>
      <w:szCs w:val="20"/>
    </w:rPr>
  </w:style>
  <w:style w:type="character" w:customStyle="1" w:styleId="125">
    <w:name w:val="Heading 3 Char"/>
    <w:qFormat/>
    <w:uiPriority w:val="99"/>
    <w:rPr>
      <w:b/>
      <w:bCs/>
      <w:kern w:val="2"/>
      <w:sz w:val="32"/>
      <w:szCs w:val="32"/>
    </w:rPr>
  </w:style>
  <w:style w:type="character" w:customStyle="1" w:styleId="126">
    <w:name w:val="Heading 4 Char"/>
    <w:qFormat/>
    <w:uiPriority w:val="99"/>
    <w:rPr>
      <w:rFonts w:ascii="Arial" w:hAnsi="Arial" w:eastAsia="宋体" w:cs="Arial"/>
      <w:b/>
      <w:bCs/>
      <w:kern w:val="2"/>
      <w:sz w:val="28"/>
      <w:szCs w:val="28"/>
      <w:lang w:val="en-US" w:eastAsia="zh-CN"/>
    </w:rPr>
  </w:style>
  <w:style w:type="character" w:customStyle="1" w:styleId="127">
    <w:name w:val="标题 Char1"/>
    <w:qFormat/>
    <w:uiPriority w:val="99"/>
    <w:rPr>
      <w:rFonts w:ascii="Cambria" w:hAnsi="Cambria" w:eastAsia="宋体" w:cs="Cambria"/>
      <w:b/>
      <w:bCs/>
      <w:sz w:val="32"/>
      <w:szCs w:val="32"/>
    </w:rPr>
  </w:style>
  <w:style w:type="character" w:customStyle="1" w:styleId="128">
    <w:name w:val="Char Char21"/>
    <w:qFormat/>
    <w:uiPriority w:val="99"/>
    <w:rPr>
      <w:rFonts w:ascii="Arial" w:hAnsi="Arial" w:eastAsia="黑体" w:cs="Arial"/>
      <w:b/>
      <w:bCs/>
      <w:sz w:val="32"/>
      <w:szCs w:val="32"/>
    </w:rPr>
  </w:style>
  <w:style w:type="character" w:customStyle="1" w:styleId="129">
    <w:name w:val="引用 Char1"/>
    <w:qFormat/>
    <w:uiPriority w:val="99"/>
    <w:rPr>
      <w:rFonts w:ascii="Times New Roman" w:hAnsi="Times New Roman" w:eastAsia="宋体" w:cs="Times New Roman"/>
      <w:i/>
      <w:iCs/>
      <w:color w:val="000000"/>
      <w:sz w:val="24"/>
      <w:szCs w:val="24"/>
    </w:rPr>
  </w:style>
  <w:style w:type="character" w:customStyle="1" w:styleId="130">
    <w:name w:val="批注主题 Char1"/>
    <w:qFormat/>
    <w:uiPriority w:val="99"/>
    <w:rPr>
      <w:rFonts w:ascii="Times New Roman" w:hAnsi="Times New Roman" w:eastAsia="宋体" w:cs="Times New Roman"/>
      <w:b/>
      <w:bCs/>
      <w:sz w:val="24"/>
      <w:szCs w:val="24"/>
    </w:rPr>
  </w:style>
  <w:style w:type="paragraph" w:customStyle="1" w:styleId="131">
    <w:name w:val="样式 标题 3 + (中文) 黑体 小四 非加粗 段前: 7.8 磅 段后: 0 磅 行距: 固定值 20 磅"/>
    <w:basedOn w:val="4"/>
    <w:qFormat/>
    <w:uiPriority w:val="99"/>
    <w:pPr>
      <w:spacing w:line="400" w:lineRule="exact"/>
    </w:pPr>
    <w:rPr>
      <w:b w:val="0"/>
      <w:bCs w:val="0"/>
    </w:rPr>
  </w:style>
  <w:style w:type="paragraph" w:customStyle="1" w:styleId="132">
    <w:name w:val="1"/>
    <w:basedOn w:val="1"/>
    <w:next w:val="1"/>
    <w:qFormat/>
    <w:uiPriority w:val="99"/>
  </w:style>
  <w:style w:type="paragraph" w:customStyle="1" w:styleId="133">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34">
    <w:name w:val="列出段落1"/>
    <w:basedOn w:val="1"/>
    <w:qFormat/>
    <w:uiPriority w:val="99"/>
    <w:pPr>
      <w:ind w:firstLine="420" w:firstLineChars="200"/>
    </w:pPr>
    <w:rPr>
      <w:rFonts w:ascii="Calibri" w:hAnsi="Calibri" w:cs="Calibri"/>
    </w:rPr>
  </w:style>
  <w:style w:type="paragraph" w:customStyle="1" w:styleId="13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3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Body text|1"/>
    <w:basedOn w:val="1"/>
    <w:qFormat/>
    <w:uiPriority w:val="0"/>
    <w:pPr>
      <w:spacing w:line="360" w:lineRule="auto"/>
      <w:ind w:firstLine="400"/>
    </w:pPr>
    <w:rPr>
      <w:rFonts w:ascii="宋体" w:hAnsi="宋体" w:eastAsia="宋体" w:cs="宋体"/>
      <w:color w:val="auto"/>
      <w:szCs w:val="20"/>
      <w:lang w:val="zh-CN" w:eastAsia="zh-CN" w:bidi="zh-CN"/>
    </w:rPr>
  </w:style>
  <w:style w:type="paragraph" w:customStyle="1" w:styleId="138">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9">
    <w:name w:val="p0"/>
    <w:basedOn w:val="1"/>
    <w:qFormat/>
    <w:uiPriority w:val="99"/>
    <w:pPr>
      <w:widowControl/>
    </w:pPr>
    <w:rPr>
      <w:rFonts w:ascii="Calibri" w:hAnsi="Calibri" w:cs="Calibri"/>
      <w:kern w:val="0"/>
    </w:rPr>
  </w:style>
  <w:style w:type="paragraph" w:customStyle="1" w:styleId="140">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1">
    <w:name w:val="_Style 140"/>
    <w:semiHidden/>
    <w:qFormat/>
    <w:uiPriority w:val="99"/>
    <w:rPr>
      <w:rFonts w:ascii="Times New Roman" w:hAnsi="Times New Roman" w:eastAsia="宋体" w:cs="Times New Roman"/>
      <w:kern w:val="2"/>
      <w:sz w:val="21"/>
      <w:szCs w:val="21"/>
      <w:lang w:val="en-US" w:eastAsia="zh-CN" w:bidi="ar-SA"/>
    </w:rPr>
  </w:style>
  <w:style w:type="paragraph" w:customStyle="1" w:styleId="142">
    <w:name w:val="Char Char Char Char Char Char Char"/>
    <w:basedOn w:val="1"/>
    <w:qFormat/>
    <w:uiPriority w:val="99"/>
    <w:pPr>
      <w:widowControl/>
      <w:spacing w:after="160" w:line="240" w:lineRule="exact"/>
      <w:jc w:val="left"/>
    </w:pPr>
  </w:style>
  <w:style w:type="paragraph" w:customStyle="1" w:styleId="143">
    <w:name w:val="TOC 标题1"/>
    <w:basedOn w:val="2"/>
    <w:next w:val="1"/>
    <w:qFormat/>
    <w:uiPriority w:val="99"/>
    <w:pPr>
      <w:spacing w:before="340" w:after="330" w:line="576" w:lineRule="auto"/>
      <w:outlineLvl w:val="9"/>
    </w:pPr>
    <w:rPr>
      <w:rFonts w:ascii="Calibri" w:hAnsi="Calibri" w:cs="Calibri"/>
      <w:sz w:val="44"/>
      <w:szCs w:val="44"/>
    </w:rPr>
  </w:style>
  <w:style w:type="paragraph" w:customStyle="1" w:styleId="144">
    <w:name w:val="_Style 37"/>
    <w:basedOn w:val="1"/>
    <w:next w:val="1"/>
    <w:qFormat/>
    <w:uiPriority w:val="99"/>
  </w:style>
  <w:style w:type="paragraph" w:customStyle="1" w:styleId="145">
    <w:name w:val="列出段落2"/>
    <w:basedOn w:val="1"/>
    <w:qFormat/>
    <w:uiPriority w:val="99"/>
    <w:pPr>
      <w:ind w:firstLine="420" w:firstLineChars="200"/>
    </w:pPr>
    <w:rPr>
      <w:rFonts w:ascii="Calibri" w:hAnsi="Calibri" w:cs="Calibri"/>
    </w:rPr>
  </w:style>
  <w:style w:type="paragraph" w:customStyle="1" w:styleId="146">
    <w:name w:val="Char1"/>
    <w:basedOn w:val="1"/>
    <w:qFormat/>
    <w:uiPriority w:val="99"/>
    <w:pPr>
      <w:widowControl/>
      <w:spacing w:after="160" w:line="240" w:lineRule="exact"/>
      <w:jc w:val="left"/>
    </w:pPr>
  </w:style>
  <w:style w:type="paragraph" w:customStyle="1" w:styleId="147">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8">
    <w:name w:val="修订1"/>
    <w:qFormat/>
    <w:uiPriority w:val="99"/>
    <w:rPr>
      <w:rFonts w:ascii="Times New Roman" w:hAnsi="Times New Roman" w:eastAsia="宋体" w:cs="Times New Roman"/>
      <w:kern w:val="2"/>
      <w:sz w:val="21"/>
      <w:szCs w:val="21"/>
      <w:lang w:val="en-US" w:eastAsia="zh-CN" w:bidi="ar-SA"/>
    </w:rPr>
  </w:style>
  <w:style w:type="paragraph" w:customStyle="1" w:styleId="149">
    <w:name w:val="样式 标题 2 + Times New Roman 四号 非加粗 段前: 5 磅 段后: 0 磅 行距: 固定值 20..."/>
    <w:basedOn w:val="3"/>
    <w:qFormat/>
    <w:uiPriority w:val="99"/>
    <w:pPr>
      <w:spacing w:before="100" w:after="0" w:line="400" w:lineRule="exact"/>
    </w:pPr>
    <w:rPr>
      <w:rFonts w:ascii="Times New Roman" w:hAnsi="Times New Roman" w:cs="Times New Roman"/>
      <w:b w:val="0"/>
      <w:bCs w:val="0"/>
      <w:kern w:val="0"/>
      <w:sz w:val="28"/>
      <w:szCs w:val="28"/>
    </w:rPr>
  </w:style>
  <w:style w:type="paragraph" w:customStyle="1" w:styleId="150">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styleId="151">
    <w:name w:val="List Paragraph"/>
    <w:basedOn w:val="1"/>
    <w:qFormat/>
    <w:uiPriority w:val="34"/>
    <w:pPr>
      <w:ind w:firstLine="420" w:firstLineChars="200"/>
    </w:pPr>
  </w:style>
  <w:style w:type="paragraph" w:customStyle="1" w:styleId="152">
    <w:name w:val="2-2ji"/>
    <w:basedOn w:val="3"/>
    <w:qFormat/>
    <w:uiPriority w:val="99"/>
    <w:pPr>
      <w:spacing w:before="0" w:after="0" w:line="360" w:lineRule="auto"/>
      <w:jc w:val="center"/>
    </w:pPr>
    <w:rPr>
      <w:rFonts w:ascii="宋体" w:hAnsi="宋体" w:eastAsia="宋体" w:cs="宋体"/>
      <w:sz w:val="36"/>
      <w:szCs w:val="36"/>
    </w:rPr>
  </w:style>
  <w:style w:type="paragraph" w:customStyle="1" w:styleId="153">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54">
    <w:name w:val="样式1"/>
    <w:basedOn w:val="1"/>
    <w:next w:val="5"/>
    <w:qFormat/>
    <w:uiPriority w:val="99"/>
    <w:pPr>
      <w:spacing w:line="360" w:lineRule="auto"/>
      <w:ind w:firstLine="420" w:firstLineChars="200"/>
    </w:pPr>
    <w:rPr>
      <w:rFonts w:ascii="宋体" w:hAnsi="宋体" w:cs="宋体"/>
    </w:rPr>
  </w:style>
  <w:style w:type="paragraph" w:customStyle="1" w:styleId="155">
    <w:name w:val="Char"/>
    <w:basedOn w:val="1"/>
    <w:qFormat/>
    <w:uiPriority w:val="99"/>
    <w:pPr>
      <w:widowControl/>
      <w:spacing w:after="160" w:line="240" w:lineRule="exact"/>
      <w:jc w:val="left"/>
    </w:pPr>
  </w:style>
  <w:style w:type="paragraph" w:customStyle="1" w:styleId="156">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251</Pages>
  <Words>9945</Words>
  <Characters>11728</Characters>
  <Lines>1483</Lines>
  <Paragraphs>417</Paragraphs>
  <TotalTime>4</TotalTime>
  <ScaleCrop>false</ScaleCrop>
  <LinksUpToDate>false</LinksUpToDate>
  <CharactersWithSpaces>15073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2022-04-02T08:37:00Z</dcterms:created>
  <dc:creator>微软用户</dc:creator>
  <cp:lastModifiedBy>39723</cp:lastModifiedBy>
  <cp:lastPrinted>2022-05-17T16:33:00Z</cp:lastPrinted>
  <dcterms:modified xsi:type="dcterms:W3CDTF">2026-02-03T01:40:18Z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14CD794A47DE4523970FF04033BD4315_13</vt:lpwstr>
  </property>
</Properties>
</file>