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6FDD" w14:textId="77777777" w:rsidR="00A1428A" w:rsidRDefault="00000000">
      <w:pPr>
        <w:spacing w:beforeLines="40" w:before="124" w:line="390" w:lineRule="exact"/>
        <w:ind w:rightChars="100" w:right="30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14:paraId="085B327A" w14:textId="77777777" w:rsidR="00A1428A" w:rsidRDefault="00000000">
      <w:pPr>
        <w:spacing w:beforeLines="40" w:before="124" w:line="390" w:lineRule="exact"/>
        <w:ind w:leftChars="22" w:left="66" w:rightChars="100" w:right="30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</w:p>
    <w:p w14:paraId="2DAC26D9" w14:textId="77777777" w:rsidR="00A1428A" w:rsidRDefault="00000000">
      <w:pPr>
        <w:suppressAutoHyphens/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自治区住房城乡建设厅</w:t>
      </w:r>
      <w:r>
        <w:rPr>
          <w:rFonts w:ascii="方正小标宋_GBK" w:eastAsia="方正小标宋_GBK" w:hAnsi="方正小标宋_GBK" w:cs="方正小标宋_GBK" w:hint="eastAsia"/>
          <w:w w:val="99"/>
          <w:sz w:val="44"/>
          <w:szCs w:val="44"/>
          <w:shd w:val="clear" w:color="auto" w:fill="FFFFFF"/>
        </w:rPr>
        <w:t>等</w:t>
      </w:r>
      <w:proofErr w:type="gramStart"/>
      <w:r>
        <w:rPr>
          <w:rFonts w:ascii="方正小标宋_GBK" w:eastAsia="方正小标宋_GBK" w:hAnsi="方正小标宋_GBK" w:cs="方正小标宋_GBK" w:hint="eastAsia"/>
          <w:w w:val="99"/>
          <w:sz w:val="44"/>
          <w:szCs w:val="44"/>
          <w:shd w:val="clear" w:color="auto" w:fill="FFFFFF"/>
        </w:rPr>
        <w:t>九</w:t>
      </w:r>
      <w:r>
        <w:rPr>
          <w:rFonts w:ascii="方正小标宋_GBK" w:eastAsia="方正小标宋_GBK" w:hAnsi="方正小标宋_GBK" w:cs="方正小标宋_GBK"/>
          <w:w w:val="99"/>
          <w:sz w:val="44"/>
          <w:szCs w:val="44"/>
          <w:shd w:val="clear" w:color="auto" w:fill="FFFFFF"/>
        </w:rPr>
        <w:t>部门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关于实行</w:t>
      </w:r>
    </w:p>
    <w:p w14:paraId="405B12F9" w14:textId="77777777" w:rsidR="00A1428A" w:rsidRDefault="00000000">
      <w:pPr>
        <w:suppressAutoHyphens/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建筑垃圾电子联单管理的通知</w:t>
      </w:r>
    </w:p>
    <w:p w14:paraId="00F3A085" w14:textId="77777777" w:rsidR="00A1428A" w:rsidRDefault="00000000">
      <w:pPr>
        <w:suppressAutoHyphens/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楷体_GBK" w:eastAsia="方正楷体_GBK" w:hint="eastAsia"/>
          <w:sz w:val="32"/>
          <w:szCs w:val="32"/>
        </w:rPr>
        <w:t>（征求意见稿）</w:t>
      </w:r>
    </w:p>
    <w:p w14:paraId="1D61BB6D" w14:textId="77777777" w:rsidR="00A1428A" w:rsidRDefault="00A1428A">
      <w:pPr>
        <w:adjustRightInd w:val="0"/>
        <w:snapToGrid w:val="0"/>
        <w:spacing w:line="540" w:lineRule="exact"/>
        <w:rPr>
          <w:rFonts w:ascii="方正仿宋_GBK" w:eastAsia="方正仿宋_GBK" w:hAnsi="方正仿宋_GBK" w:cs="方正仿宋_GBK" w:hint="eastAsia"/>
          <w:snapToGrid w:val="0"/>
          <w:color w:val="000000"/>
          <w:sz w:val="32"/>
          <w:szCs w:val="32"/>
        </w:rPr>
      </w:pPr>
    </w:p>
    <w:p w14:paraId="49600569" w14:textId="77777777" w:rsidR="00A1428A" w:rsidRDefault="00000000">
      <w:pPr>
        <w:adjustRightInd w:val="0"/>
        <w:snapToGrid w:val="0"/>
        <w:spacing w:line="520" w:lineRule="exact"/>
        <w:rPr>
          <w:rFonts w:eastAsia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/>
          <w:sz w:val="32"/>
          <w:szCs w:val="32"/>
        </w:rPr>
        <w:t>各设区市住房城乡建设局、城管局（委）、自然资源局、公安局、生态环境局、交通运输局、水利局、农业农村局、林业局、铁路局，南宁市市政园林局，北海市市政局：</w:t>
      </w:r>
    </w:p>
    <w:p w14:paraId="03BC770F" w14:textId="77777777" w:rsidR="00A1428A" w:rsidRDefault="00000000">
      <w:pPr>
        <w:adjustRightInd w:val="0"/>
        <w:snapToGrid w:val="0"/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为进一步规范全区建筑垃圾管理，落实</w:t>
      </w:r>
      <w:proofErr w:type="gramStart"/>
      <w:r>
        <w:rPr>
          <w:rFonts w:eastAsia="方正仿宋_GBK" w:hint="eastAsia"/>
          <w:color w:val="000000"/>
          <w:sz w:val="32"/>
          <w:szCs w:val="32"/>
        </w:rPr>
        <w:t>转移全</w:t>
      </w:r>
      <w:proofErr w:type="gramEnd"/>
      <w:r>
        <w:rPr>
          <w:rFonts w:eastAsia="方正仿宋_GBK" w:hint="eastAsia"/>
          <w:color w:val="000000"/>
          <w:sz w:val="32"/>
          <w:szCs w:val="32"/>
        </w:rPr>
        <w:t>流程闭环管控要求，根据《中华人民共和国固体废物污染环境防治法》《住房城乡建设部关于进一步加强城市建筑垃圾治理的意见》《自治区住房城乡建设厅等十六部门关于推进建筑垃圾减量化、资源化利用和全过程管理的实施意见》等有关法律法规及文件要求，结合实际，在全区实行城市建筑垃圾电子联单（以下简称电子联单）管理制度。现将相关事项通知如下：</w:t>
      </w:r>
    </w:p>
    <w:p w14:paraId="70303770" w14:textId="77777777" w:rsidR="00A1428A" w:rsidRDefault="00000000">
      <w:pPr>
        <w:spacing w:line="52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一、管理原则</w:t>
      </w:r>
    </w:p>
    <w:p w14:paraId="04CBBE59" w14:textId="0918F7E5" w:rsidR="00A1428A" w:rsidRDefault="00000000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建筑垃圾转移遵循</w:t>
      </w:r>
      <w:r>
        <w:rPr>
          <w:rFonts w:ascii="方正仿宋_GBK" w:eastAsia="方正仿宋_GBK" w:hint="eastAsia"/>
          <w:color w:val="000000"/>
          <w:sz w:val="32"/>
          <w:szCs w:val="32"/>
        </w:rPr>
        <w:t>“</w:t>
      </w:r>
      <w:r>
        <w:rPr>
          <w:rFonts w:eastAsia="方正仿宋_GBK" w:hint="eastAsia"/>
          <w:color w:val="000000"/>
          <w:sz w:val="32"/>
          <w:szCs w:val="32"/>
        </w:rPr>
        <w:t>谁排放谁负责、就地就近利用、市域统筹协调</w:t>
      </w:r>
      <w:r>
        <w:rPr>
          <w:rFonts w:ascii="方正仿宋_GBK" w:eastAsia="方正仿宋_GBK" w:hint="eastAsia"/>
          <w:color w:val="000000"/>
          <w:sz w:val="32"/>
          <w:szCs w:val="32"/>
        </w:rPr>
        <w:t>”</w:t>
      </w:r>
      <w:r>
        <w:rPr>
          <w:rFonts w:eastAsia="方正仿宋_GBK" w:hint="eastAsia"/>
          <w:color w:val="000000"/>
          <w:sz w:val="32"/>
          <w:szCs w:val="32"/>
        </w:rPr>
        <w:t>原则。建筑垃圾排放、运输、处置利用单位在广西建筑垃圾综合监管服务系统电脑端（以下简称</w:t>
      </w:r>
      <w:r>
        <w:rPr>
          <w:rFonts w:ascii="方正仿宋_GBK" w:eastAsia="方正仿宋_GBK" w:hint="eastAsia"/>
          <w:color w:val="000000"/>
          <w:sz w:val="32"/>
          <w:szCs w:val="32"/>
        </w:rPr>
        <w:t>“</w:t>
      </w:r>
      <w:r>
        <w:rPr>
          <w:rFonts w:eastAsia="方正仿宋_GBK" w:hint="eastAsia"/>
          <w:color w:val="000000"/>
          <w:sz w:val="32"/>
          <w:szCs w:val="32"/>
        </w:rPr>
        <w:t>监管系统</w:t>
      </w:r>
      <w:r>
        <w:rPr>
          <w:rFonts w:ascii="方正仿宋_GBK" w:eastAsia="方正仿宋_GBK" w:hint="eastAsia"/>
          <w:color w:val="000000"/>
          <w:sz w:val="32"/>
          <w:szCs w:val="32"/>
        </w:rPr>
        <w:t>”</w:t>
      </w:r>
      <w:r>
        <w:rPr>
          <w:rFonts w:eastAsia="方正仿宋_GBK" w:hint="eastAsia"/>
          <w:color w:val="000000"/>
          <w:sz w:val="32"/>
          <w:szCs w:val="32"/>
        </w:rPr>
        <w:t>）进行责任单位信息登记备案；使用</w:t>
      </w:r>
      <w:r>
        <w:rPr>
          <w:rFonts w:ascii="方正仿宋_GBK" w:eastAsia="方正仿宋_GBK" w:hint="eastAsia"/>
          <w:color w:val="000000"/>
          <w:sz w:val="32"/>
          <w:szCs w:val="32"/>
        </w:rPr>
        <w:t>“</w:t>
      </w:r>
      <w:r>
        <w:rPr>
          <w:rFonts w:eastAsia="方正仿宋_GBK" w:hint="eastAsia"/>
          <w:color w:val="000000"/>
          <w:sz w:val="32"/>
          <w:szCs w:val="32"/>
        </w:rPr>
        <w:t>广西建筑垃圾一码通</w:t>
      </w:r>
      <w:r>
        <w:rPr>
          <w:rFonts w:ascii="方正仿宋_GBK" w:eastAsia="方正仿宋_GBK" w:hint="eastAsia"/>
          <w:color w:val="000000"/>
          <w:sz w:val="32"/>
          <w:szCs w:val="32"/>
        </w:rPr>
        <w:t>”</w:t>
      </w:r>
      <w:proofErr w:type="gramStart"/>
      <w:r>
        <w:rPr>
          <w:rFonts w:eastAsia="方正仿宋_GBK" w:hint="eastAsia"/>
          <w:color w:val="000000"/>
          <w:sz w:val="32"/>
          <w:szCs w:val="32"/>
        </w:rPr>
        <w:t>微信小</w:t>
      </w:r>
      <w:proofErr w:type="gramEnd"/>
      <w:r>
        <w:rPr>
          <w:rFonts w:eastAsia="方正仿宋_GBK" w:hint="eastAsia"/>
          <w:color w:val="000000"/>
          <w:sz w:val="32"/>
          <w:szCs w:val="32"/>
        </w:rPr>
        <w:t>程序（以下简称</w:t>
      </w:r>
      <w:r>
        <w:rPr>
          <w:rFonts w:ascii="方正仿宋_GBK" w:eastAsia="方正仿宋_GBK" w:hint="eastAsia"/>
          <w:color w:val="000000"/>
          <w:sz w:val="32"/>
          <w:szCs w:val="32"/>
        </w:rPr>
        <w:t>“</w:t>
      </w:r>
      <w:r>
        <w:rPr>
          <w:rFonts w:eastAsia="方正仿宋_GBK" w:hint="eastAsia"/>
          <w:color w:val="000000"/>
          <w:sz w:val="32"/>
          <w:szCs w:val="32"/>
        </w:rPr>
        <w:t>一码通</w:t>
      </w:r>
      <w:r>
        <w:rPr>
          <w:rFonts w:ascii="方正仿宋_GBK" w:eastAsia="方正仿宋_GBK" w:hint="eastAsia"/>
          <w:color w:val="000000"/>
          <w:sz w:val="32"/>
          <w:szCs w:val="32"/>
        </w:rPr>
        <w:t>”</w:t>
      </w:r>
      <w:r>
        <w:rPr>
          <w:rFonts w:eastAsia="方正仿宋_GBK" w:hint="eastAsia"/>
          <w:color w:val="000000"/>
          <w:sz w:val="32"/>
          <w:szCs w:val="32"/>
        </w:rPr>
        <w:t>小程序）实施电子联单管理。</w:t>
      </w:r>
    </w:p>
    <w:p w14:paraId="17521D26" w14:textId="77777777" w:rsidR="00A1428A" w:rsidRDefault="00000000">
      <w:pPr>
        <w:spacing w:line="52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二、</w:t>
      </w:r>
      <w:r>
        <w:rPr>
          <w:rFonts w:eastAsia="方正黑体_GBK"/>
          <w:color w:val="000000"/>
          <w:sz w:val="32"/>
          <w:szCs w:val="32"/>
        </w:rPr>
        <w:t>管理</w:t>
      </w:r>
      <w:r>
        <w:rPr>
          <w:rFonts w:eastAsia="方正黑体_GBK" w:hint="eastAsia"/>
          <w:color w:val="000000"/>
          <w:sz w:val="32"/>
          <w:szCs w:val="32"/>
        </w:rPr>
        <w:t>内容</w:t>
      </w:r>
    </w:p>
    <w:p w14:paraId="4434F2DA" w14:textId="77777777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排放、运输、处置利用单位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在建筑垃圾转移过程中应当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lastRenderedPageBreak/>
        <w:t>采取防扬散、防流失、防渗漏或者其他防止污染环境的措施，</w:t>
      </w:r>
      <w:r>
        <w:rPr>
          <w:rFonts w:ascii="Times New Roman" w:eastAsia="方正仿宋_GBK" w:hAnsi="Times New Roman"/>
          <w:kern w:val="2"/>
          <w:sz w:val="32"/>
          <w:szCs w:val="32"/>
        </w:rPr>
        <w:t>严禁擅自倾倒、堆放、丢弃、遗撒和填埋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建筑垃圾，并对所造成的</w:t>
      </w:r>
      <w:r>
        <w:rPr>
          <w:rFonts w:ascii="Times New Roman" w:eastAsia="方正仿宋_GBK" w:hAnsi="Times New Roman"/>
          <w:kern w:val="2"/>
          <w:sz w:val="32"/>
          <w:szCs w:val="32"/>
        </w:rPr>
        <w:t>市容环境损毁、环境污染或生态破坏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承担责任。</w:t>
      </w:r>
    </w:p>
    <w:p w14:paraId="3E5569F1" w14:textId="77777777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 w:hint="eastAsia"/>
          <w:kern w:val="2"/>
          <w:sz w:val="32"/>
          <w:szCs w:val="32"/>
        </w:rPr>
        <w:t>（一）排放单位。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与经核准的运输、处置利用单位签订书面合同，</w:t>
      </w:r>
      <w:r>
        <w:rPr>
          <w:rFonts w:ascii="Times New Roman" w:eastAsia="方正仿宋_GBK" w:hAnsi="Times New Roman"/>
          <w:kern w:val="2"/>
          <w:sz w:val="32"/>
          <w:szCs w:val="32"/>
        </w:rPr>
        <w:t>通过</w:t>
      </w: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一码通</w:t>
      </w:r>
      <w:r>
        <w:rPr>
          <w:rFonts w:ascii="方正仿宋_GBK" w:eastAsia="方正仿宋_GBK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小程序</w:t>
      </w:r>
      <w:r>
        <w:rPr>
          <w:rFonts w:ascii="Times New Roman" w:eastAsia="方正仿宋_GBK" w:hAnsi="Times New Roman"/>
          <w:kern w:val="2"/>
          <w:sz w:val="32"/>
          <w:szCs w:val="32"/>
        </w:rPr>
        <w:t>发起电子联单，如实填报建筑垃圾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种类</w:t>
      </w:r>
      <w:r>
        <w:rPr>
          <w:rFonts w:ascii="Times New Roman" w:eastAsia="方正仿宋_GBK" w:hAnsi="Times New Roman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数量</w:t>
      </w:r>
      <w:r>
        <w:rPr>
          <w:rFonts w:ascii="Times New Roman" w:eastAsia="方正仿宋_GBK" w:hAnsi="Times New Roman"/>
          <w:kern w:val="2"/>
          <w:sz w:val="32"/>
          <w:szCs w:val="32"/>
        </w:rPr>
        <w:t>、运输单位、运输时间、处置去向等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信息</w:t>
      </w:r>
      <w:r>
        <w:rPr>
          <w:rFonts w:ascii="Times New Roman" w:eastAsia="方正仿宋_GBK" w:hAnsi="Times New Roman"/>
          <w:kern w:val="2"/>
          <w:sz w:val="32"/>
          <w:szCs w:val="32"/>
        </w:rPr>
        <w:t>，实行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一车一码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/>
          <w:kern w:val="2"/>
          <w:sz w:val="32"/>
          <w:szCs w:val="32"/>
        </w:rPr>
        <w:t>管理。</w:t>
      </w:r>
    </w:p>
    <w:p w14:paraId="6DCE06BC" w14:textId="1DEACB35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二</w:t>
      </w:r>
      <w:r>
        <w:rPr>
          <w:rFonts w:ascii="方正楷体_GBK" w:eastAsia="方正楷体_GBK" w:hAnsi="Times New Roman"/>
          <w:kern w:val="2"/>
          <w:sz w:val="32"/>
          <w:szCs w:val="32"/>
        </w:rPr>
        <w:t>）运输单位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驾驶员</w:t>
      </w:r>
      <w:r>
        <w:rPr>
          <w:rFonts w:ascii="Times New Roman" w:eastAsia="方正仿宋_GBK" w:hAnsi="Times New Roman"/>
          <w:kern w:val="2"/>
          <w:sz w:val="32"/>
          <w:szCs w:val="32"/>
        </w:rPr>
        <w:t>通过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一码通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/>
          <w:kern w:val="2"/>
          <w:sz w:val="32"/>
          <w:szCs w:val="32"/>
        </w:rPr>
        <w:t>小程序核对电子联单，确认运输单位、建筑垃圾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种类</w:t>
      </w:r>
      <w:r>
        <w:rPr>
          <w:rFonts w:ascii="Times New Roman" w:eastAsia="方正仿宋_GBK" w:hAnsi="Times New Roman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数量</w:t>
      </w:r>
      <w:r>
        <w:rPr>
          <w:rFonts w:ascii="Times New Roman" w:eastAsia="方正仿宋_GBK" w:hAnsi="Times New Roman"/>
          <w:kern w:val="2"/>
          <w:sz w:val="32"/>
          <w:szCs w:val="32"/>
        </w:rPr>
        <w:t>、处置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利用</w:t>
      </w:r>
      <w:r>
        <w:rPr>
          <w:rFonts w:ascii="Times New Roman" w:eastAsia="方正仿宋_GBK" w:hAnsi="Times New Roman"/>
          <w:kern w:val="2"/>
          <w:sz w:val="32"/>
          <w:szCs w:val="32"/>
        </w:rPr>
        <w:t>去向等信息与现场一致后方可启运。运输途中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保持</w:t>
      </w:r>
      <w:r>
        <w:rPr>
          <w:rFonts w:ascii="Times New Roman" w:eastAsia="方正仿宋_GBK" w:hAnsi="Times New Roman"/>
          <w:kern w:val="2"/>
          <w:sz w:val="32"/>
          <w:szCs w:val="32"/>
        </w:rPr>
        <w:t>车辆密闭，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防止</w:t>
      </w:r>
      <w:r>
        <w:rPr>
          <w:rFonts w:ascii="Times New Roman" w:eastAsia="方正仿宋_GBK" w:hAnsi="Times New Roman"/>
          <w:kern w:val="2"/>
          <w:sz w:val="32"/>
          <w:szCs w:val="32"/>
        </w:rPr>
        <w:t>沿途遗撒泄漏；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保持</w:t>
      </w:r>
      <w:r>
        <w:rPr>
          <w:rFonts w:ascii="Times New Roman" w:eastAsia="方正仿宋_GBK" w:hAnsi="Times New Roman"/>
          <w:kern w:val="2"/>
          <w:sz w:val="32"/>
          <w:szCs w:val="32"/>
        </w:rPr>
        <w:t>卫星定位、视频监控等电子设备全程正常运行，实时上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</w:rPr>
        <w:t>传运输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</w:rPr>
        <w:t>轨迹数据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；按规定路线将</w:t>
      </w:r>
      <w:r>
        <w:rPr>
          <w:rFonts w:ascii="Times New Roman" w:eastAsia="方正仿宋_GBK" w:hAnsi="Times New Roman"/>
          <w:kern w:val="2"/>
          <w:sz w:val="32"/>
          <w:szCs w:val="32"/>
        </w:rPr>
        <w:t>建筑垃圾足额、安全运抵指定处置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利用</w:t>
      </w:r>
      <w:r>
        <w:rPr>
          <w:rFonts w:ascii="Times New Roman" w:eastAsia="方正仿宋_GBK" w:hAnsi="Times New Roman"/>
          <w:kern w:val="2"/>
          <w:sz w:val="32"/>
          <w:szCs w:val="32"/>
        </w:rPr>
        <w:t>场所，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不得</w:t>
      </w:r>
      <w:r>
        <w:rPr>
          <w:rFonts w:ascii="Times New Roman" w:eastAsia="方正仿宋_GBK" w:hAnsi="Times New Roman"/>
          <w:kern w:val="2"/>
          <w:sz w:val="32"/>
          <w:szCs w:val="32"/>
        </w:rPr>
        <w:t>擅自变更目的地或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进行</w:t>
      </w:r>
      <w:r>
        <w:rPr>
          <w:rFonts w:ascii="Times New Roman" w:eastAsia="方正仿宋_GBK" w:hAnsi="Times New Roman"/>
          <w:kern w:val="2"/>
          <w:sz w:val="32"/>
          <w:szCs w:val="32"/>
        </w:rPr>
        <w:t>违规倾倒。</w:t>
      </w:r>
    </w:p>
    <w:p w14:paraId="13E53F61" w14:textId="538280E0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三</w:t>
      </w:r>
      <w:r>
        <w:rPr>
          <w:rFonts w:ascii="方正楷体_GBK" w:eastAsia="方正楷体_GBK" w:hAnsi="Times New Roman"/>
          <w:kern w:val="2"/>
          <w:sz w:val="32"/>
          <w:szCs w:val="32"/>
        </w:rPr>
        <w:t>）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处置利用单位。</w:t>
      </w:r>
      <w:r>
        <w:rPr>
          <w:rFonts w:ascii="Times New Roman" w:eastAsia="方正仿宋_GBK" w:hAnsi="Times New Roman"/>
          <w:kern w:val="2"/>
          <w:sz w:val="32"/>
          <w:szCs w:val="32"/>
        </w:rPr>
        <w:t>定期核对电子联单签认信息，若发现建筑垃圾种类、数量与实际不符，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应</w:t>
      </w:r>
      <w:r>
        <w:rPr>
          <w:rFonts w:ascii="Times New Roman" w:eastAsia="方正仿宋_GBK" w:hAnsi="Times New Roman"/>
          <w:kern w:val="2"/>
          <w:sz w:val="32"/>
          <w:szCs w:val="32"/>
        </w:rPr>
        <w:t>及时告知排放单位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、运输单位；</w:t>
      </w:r>
      <w:r>
        <w:rPr>
          <w:rFonts w:ascii="Times New Roman" w:eastAsia="方正仿宋_GBK" w:hAnsi="Times New Roman"/>
          <w:kern w:val="2"/>
          <w:sz w:val="32"/>
          <w:szCs w:val="32"/>
        </w:rPr>
        <w:t>对问题联单可驳回并督促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</w:rPr>
        <w:t>整改重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</w:rPr>
        <w:t>报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，并报告属地环境卫生主管部门</w:t>
      </w:r>
      <w:r>
        <w:rPr>
          <w:rFonts w:ascii="Times New Roman" w:eastAsia="方正仿宋_GBK" w:hAnsi="Times New Roman"/>
          <w:kern w:val="2"/>
          <w:sz w:val="32"/>
          <w:szCs w:val="32"/>
        </w:rPr>
        <w:t>。建筑垃圾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如有</w:t>
      </w:r>
      <w:r>
        <w:rPr>
          <w:rFonts w:ascii="Times New Roman" w:eastAsia="方正仿宋_GBK" w:hAnsi="Times New Roman"/>
          <w:kern w:val="2"/>
          <w:sz w:val="32"/>
          <w:szCs w:val="32"/>
        </w:rPr>
        <w:t>二次转出的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情况</w:t>
      </w:r>
      <w:r>
        <w:rPr>
          <w:rFonts w:ascii="Times New Roman" w:eastAsia="方正仿宋_GBK" w:hAnsi="Times New Roman"/>
          <w:kern w:val="2"/>
          <w:sz w:val="32"/>
          <w:szCs w:val="32"/>
        </w:rPr>
        <w:t>，参照排放单位要求填报并发起电子联单。</w:t>
      </w:r>
    </w:p>
    <w:p w14:paraId="5CBD2110" w14:textId="77777777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四</w:t>
      </w:r>
      <w:r>
        <w:rPr>
          <w:rFonts w:ascii="方正楷体_GBK" w:eastAsia="方正楷体_GBK" w:hAnsi="Times New Roman"/>
          <w:kern w:val="2"/>
          <w:sz w:val="32"/>
          <w:szCs w:val="32"/>
        </w:rPr>
        <w:t>）跨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区域</w:t>
      </w:r>
      <w:r>
        <w:rPr>
          <w:rFonts w:ascii="方正楷体_GBK" w:eastAsia="方正楷体_GBK" w:hAnsi="Times New Roman"/>
          <w:kern w:val="2"/>
          <w:sz w:val="32"/>
          <w:szCs w:val="32"/>
        </w:rPr>
        <w:t>管理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/>
          <w:kern w:val="2"/>
          <w:sz w:val="32"/>
          <w:szCs w:val="32"/>
        </w:rPr>
        <w:t>跨省转出建筑垃圾的，排放单位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应取得</w:t>
      </w:r>
      <w:r>
        <w:rPr>
          <w:rFonts w:ascii="Times New Roman" w:eastAsia="方正仿宋_GBK" w:hAnsi="Times New Roman"/>
          <w:kern w:val="2"/>
          <w:sz w:val="32"/>
          <w:szCs w:val="32"/>
        </w:rPr>
        <w:t>跨省转移批准或备案文件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后</w:t>
      </w:r>
      <w:r>
        <w:rPr>
          <w:rFonts w:ascii="Times New Roman" w:eastAsia="方正仿宋_GBK" w:hAnsi="Times New Roman"/>
          <w:kern w:val="2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方可</w:t>
      </w:r>
      <w:r>
        <w:rPr>
          <w:rFonts w:ascii="Times New Roman" w:eastAsia="方正仿宋_GBK" w:hAnsi="Times New Roman"/>
          <w:kern w:val="2"/>
          <w:sz w:val="32"/>
          <w:szCs w:val="32"/>
        </w:rPr>
        <w:t>通过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一码通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小程序发起</w:t>
      </w:r>
      <w:r>
        <w:rPr>
          <w:rFonts w:ascii="Times New Roman" w:eastAsia="方正仿宋_GBK" w:hAnsi="Times New Roman"/>
          <w:kern w:val="2"/>
          <w:sz w:val="32"/>
          <w:szCs w:val="32"/>
        </w:rPr>
        <w:t>电子联单；在省外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处置利用单位</w:t>
      </w:r>
      <w:r>
        <w:rPr>
          <w:rFonts w:ascii="Times New Roman" w:eastAsia="方正仿宋_GBK" w:hAnsi="Times New Roman"/>
          <w:kern w:val="2"/>
          <w:sz w:val="32"/>
          <w:szCs w:val="32"/>
        </w:rPr>
        <w:t>确认运抵信息后</w:t>
      </w:r>
      <w:r>
        <w:rPr>
          <w:rFonts w:ascii="Times New Roman" w:eastAsia="方正仿宋_GBK" w:hAnsi="Times New Roman"/>
          <w:kern w:val="2"/>
          <w:sz w:val="32"/>
          <w:szCs w:val="32"/>
        </w:rPr>
        <w:t>5</w:t>
      </w:r>
      <w:r>
        <w:rPr>
          <w:rFonts w:ascii="Times New Roman" w:eastAsia="方正仿宋_GBK" w:hAnsi="Times New Roman"/>
          <w:kern w:val="2"/>
          <w:sz w:val="32"/>
          <w:szCs w:val="32"/>
        </w:rPr>
        <w:t>个工作日内，上传省外签收单等凭证扫描件归档。跨省转入建筑垃圾的，本区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处置利用单位</w:t>
      </w:r>
      <w:r>
        <w:rPr>
          <w:rFonts w:ascii="Times New Roman" w:eastAsia="方正仿宋_GBK" w:hAnsi="Times New Roman"/>
          <w:kern w:val="2"/>
          <w:sz w:val="32"/>
          <w:szCs w:val="32"/>
        </w:rPr>
        <w:t>应先核验跨省转移批准或备案手续，确认合</w:t>
      </w:r>
      <w:proofErr w:type="gramStart"/>
      <w:r>
        <w:rPr>
          <w:rFonts w:ascii="Times New Roman" w:eastAsia="方正仿宋_GBK" w:hAnsi="Times New Roman"/>
          <w:kern w:val="2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/>
          <w:kern w:val="2"/>
          <w:sz w:val="32"/>
          <w:szCs w:val="32"/>
        </w:rPr>
        <w:t>后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，由转出省排放单位</w:t>
      </w:r>
      <w:r>
        <w:rPr>
          <w:rFonts w:ascii="Times New Roman" w:eastAsia="方正仿宋_GBK" w:hAnsi="Times New Roman"/>
          <w:kern w:val="2"/>
          <w:sz w:val="32"/>
          <w:szCs w:val="32"/>
        </w:rPr>
        <w:t>通过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一码通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小程序发起</w:t>
      </w:r>
      <w:r>
        <w:rPr>
          <w:rFonts w:ascii="Times New Roman" w:eastAsia="方正仿宋_GBK" w:hAnsi="Times New Roman"/>
          <w:kern w:val="2"/>
          <w:sz w:val="32"/>
          <w:szCs w:val="32"/>
        </w:rPr>
        <w:t>电子联单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</w:t>
      </w:r>
      <w:r>
        <w:rPr>
          <w:rFonts w:ascii="Times New Roman" w:eastAsia="方正仿宋_GBK" w:hAnsi="Times New Roman"/>
          <w:kern w:val="2"/>
          <w:sz w:val="32"/>
          <w:szCs w:val="32"/>
        </w:rPr>
        <w:t>录入建筑垃圾种类、数量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、</w:t>
      </w:r>
      <w:r>
        <w:rPr>
          <w:rFonts w:ascii="Times New Roman" w:eastAsia="方正仿宋_GBK" w:hAnsi="Times New Roman"/>
          <w:kern w:val="2"/>
          <w:sz w:val="32"/>
          <w:szCs w:val="32"/>
        </w:rPr>
        <w:t>处置方式等信</w:t>
      </w:r>
      <w:r>
        <w:rPr>
          <w:rFonts w:ascii="Times New Roman" w:eastAsia="方正仿宋_GBK" w:hAnsi="Times New Roman"/>
          <w:kern w:val="2"/>
          <w:sz w:val="32"/>
          <w:szCs w:val="32"/>
        </w:rPr>
        <w:lastRenderedPageBreak/>
        <w:t>息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</w:t>
      </w:r>
      <w:r>
        <w:rPr>
          <w:rFonts w:ascii="Times New Roman" w:eastAsia="方正仿宋_GBK" w:hAnsi="Times New Roman"/>
          <w:kern w:val="2"/>
          <w:sz w:val="32"/>
          <w:szCs w:val="32"/>
        </w:rPr>
        <w:t>本区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处置利用单位</w:t>
      </w:r>
      <w:r>
        <w:rPr>
          <w:rFonts w:ascii="Times New Roman" w:eastAsia="方正仿宋_GBK" w:hAnsi="Times New Roman"/>
          <w:kern w:val="2"/>
          <w:sz w:val="32"/>
          <w:szCs w:val="32"/>
        </w:rPr>
        <w:t>上传签收单等凭证，同步报属地环境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主管</w:t>
      </w:r>
      <w:r>
        <w:rPr>
          <w:rFonts w:ascii="Times New Roman" w:eastAsia="方正仿宋_GBK" w:hAnsi="Times New Roman"/>
          <w:kern w:val="2"/>
          <w:sz w:val="32"/>
          <w:szCs w:val="32"/>
        </w:rPr>
        <w:t>部门备案。</w:t>
      </w:r>
    </w:p>
    <w:p w14:paraId="5EAA3ED3" w14:textId="77777777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五</w:t>
      </w:r>
      <w:r>
        <w:rPr>
          <w:rFonts w:ascii="方正楷体_GBK" w:eastAsia="方正楷体_GBK" w:hAnsi="Times New Roman"/>
          <w:kern w:val="2"/>
          <w:sz w:val="32"/>
          <w:szCs w:val="32"/>
        </w:rPr>
        <w:t>）其他转移方式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/>
          <w:kern w:val="2"/>
          <w:sz w:val="32"/>
          <w:szCs w:val="32"/>
        </w:rPr>
        <w:t>通过管道、输送带等非交通运输工具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处置利用</w:t>
      </w:r>
      <w:r>
        <w:rPr>
          <w:rFonts w:ascii="Times New Roman" w:eastAsia="方正仿宋_GBK" w:hAnsi="Times New Roman"/>
          <w:kern w:val="2"/>
          <w:sz w:val="32"/>
          <w:szCs w:val="32"/>
        </w:rPr>
        <w:t>建筑垃圾（如工程泥浆输送）的，排放、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处置利用单位应</w:t>
      </w:r>
      <w:r>
        <w:rPr>
          <w:rFonts w:ascii="Times New Roman" w:eastAsia="方正仿宋_GBK" w:hAnsi="Times New Roman"/>
          <w:kern w:val="2"/>
          <w:sz w:val="32"/>
          <w:szCs w:val="32"/>
        </w:rPr>
        <w:t>自转移之日起，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每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10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个工作日</w:t>
      </w:r>
      <w:r>
        <w:rPr>
          <w:rFonts w:ascii="Times New Roman" w:eastAsia="方正仿宋_GBK" w:hAnsi="Times New Roman"/>
          <w:kern w:val="2"/>
          <w:sz w:val="32"/>
          <w:szCs w:val="32"/>
        </w:rPr>
        <w:t>通过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/>
          <w:kern w:val="2"/>
          <w:sz w:val="32"/>
          <w:szCs w:val="32"/>
        </w:rPr>
        <w:t>一码通</w:t>
      </w:r>
      <w:r>
        <w:rPr>
          <w:rFonts w:ascii="方正仿宋_GBK" w:eastAsia="方正仿宋_GBK" w:hAnsi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/>
          <w:kern w:val="2"/>
          <w:sz w:val="32"/>
          <w:szCs w:val="32"/>
        </w:rPr>
        <w:t>小程序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，填</w:t>
      </w:r>
      <w:r>
        <w:rPr>
          <w:rFonts w:ascii="Times New Roman" w:eastAsia="方正仿宋_GBK" w:hAnsi="Times New Roman"/>
          <w:kern w:val="2"/>
          <w:sz w:val="32"/>
          <w:szCs w:val="32"/>
        </w:rPr>
        <w:t>报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期间转移</w:t>
      </w:r>
      <w:r>
        <w:rPr>
          <w:rFonts w:ascii="Times New Roman" w:eastAsia="方正仿宋_GBK" w:hAnsi="Times New Roman"/>
          <w:kern w:val="2"/>
          <w:sz w:val="32"/>
          <w:szCs w:val="32"/>
        </w:rPr>
        <w:t>建筑垃圾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种类</w:t>
      </w:r>
      <w:r>
        <w:rPr>
          <w:rFonts w:ascii="Times New Roman" w:eastAsia="方正仿宋_GBK" w:hAnsi="Times New Roman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数</w:t>
      </w:r>
      <w:r>
        <w:rPr>
          <w:rFonts w:ascii="Times New Roman" w:eastAsia="方正仿宋_GBK" w:hAnsi="Times New Roman"/>
          <w:kern w:val="2"/>
          <w:sz w:val="32"/>
          <w:szCs w:val="32"/>
        </w:rPr>
        <w:t>量等信息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。</w:t>
      </w:r>
    </w:p>
    <w:p w14:paraId="44390097" w14:textId="77777777" w:rsidR="00A1428A" w:rsidRDefault="00000000">
      <w:pPr>
        <w:spacing w:line="52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三、保障措施</w:t>
      </w:r>
    </w:p>
    <w:p w14:paraId="59D875D3" w14:textId="77777777" w:rsidR="00A1428A" w:rsidRDefault="00000000">
      <w:pPr>
        <w:pStyle w:val="a9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（一）建立联动机制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/>
          <w:kern w:val="2"/>
          <w:sz w:val="32"/>
          <w:szCs w:val="32"/>
        </w:rPr>
        <w:t>各地应建立环境卫生主管部门牵头，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住房城乡建设</w:t>
      </w:r>
      <w:r>
        <w:rPr>
          <w:rFonts w:ascii="Times New Roman" w:eastAsia="方正仿宋_GBK" w:hAnsi="Times New Roman"/>
          <w:kern w:val="2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城市管理（城乡综合执法）、</w:t>
      </w:r>
      <w:r>
        <w:rPr>
          <w:rFonts w:eastAsia="方正仿宋_GBK" w:hint="eastAsia"/>
          <w:sz w:val="32"/>
          <w:szCs w:val="32"/>
        </w:rPr>
        <w:t>公安、自然资源、生态环境、交通运输、水利、农业农村、林业、铁路</w:t>
      </w:r>
      <w:r>
        <w:rPr>
          <w:rFonts w:ascii="Times New Roman" w:eastAsia="方正仿宋_GBK" w:hAnsi="Times New Roman"/>
          <w:kern w:val="2"/>
          <w:sz w:val="32"/>
          <w:szCs w:val="32"/>
        </w:rPr>
        <w:t>等部门协同参与的协调推进与联合执法机制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。依托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监管系统</w:t>
      </w:r>
      <w:r>
        <w:rPr>
          <w:rFonts w:ascii="Times New Roman" w:eastAsia="方正仿宋_GBK" w:hAnsi="Times New Roman"/>
          <w:kern w:val="2"/>
          <w:sz w:val="32"/>
          <w:szCs w:val="32"/>
        </w:rPr>
        <w:t>，按规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定</w:t>
      </w:r>
      <w:r>
        <w:rPr>
          <w:rFonts w:ascii="Times New Roman" w:eastAsia="方正仿宋_GBK" w:hAnsi="Times New Roman"/>
          <w:kern w:val="2"/>
          <w:sz w:val="32"/>
          <w:szCs w:val="32"/>
        </w:rPr>
        <w:t>共享电子联单、许可核准、工程项目、资源化利用、车辆限行区域、卫星定位、行政处罚等数据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信息</w:t>
      </w:r>
      <w:r>
        <w:rPr>
          <w:rFonts w:ascii="Times New Roman" w:eastAsia="方正仿宋_GBK" w:hAnsi="Times New Roman"/>
          <w:kern w:val="2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共同加强</w:t>
      </w:r>
      <w:r>
        <w:rPr>
          <w:rFonts w:ascii="Times New Roman" w:eastAsia="方正仿宋_GBK" w:hAnsi="Times New Roman"/>
          <w:kern w:val="2"/>
          <w:sz w:val="32"/>
          <w:szCs w:val="32"/>
        </w:rPr>
        <w:t>联合监管执法，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重点查处未填报电子联单擅自清运、非法倾倒等违法行为</w:t>
      </w:r>
      <w:r>
        <w:rPr>
          <w:rFonts w:ascii="Times New Roman" w:eastAsia="方正仿宋_GBK" w:hAnsi="Times New Roman"/>
          <w:kern w:val="2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形成</w:t>
      </w:r>
      <w:r>
        <w:rPr>
          <w:rFonts w:ascii="Times New Roman" w:eastAsia="方正仿宋_GBK" w:hAnsi="Times New Roman"/>
          <w:kern w:val="2"/>
          <w:sz w:val="32"/>
          <w:szCs w:val="32"/>
        </w:rPr>
        <w:t>监管合力。</w:t>
      </w:r>
    </w:p>
    <w:p w14:paraId="602CF8BE" w14:textId="77777777" w:rsidR="00A1428A" w:rsidRDefault="0000000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二</w:t>
      </w:r>
      <w:r>
        <w:rPr>
          <w:rFonts w:ascii="方正楷体_GBK" w:eastAsia="方正楷体_GBK" w:hAnsi="Times New Roman"/>
          <w:kern w:val="2"/>
          <w:sz w:val="32"/>
          <w:szCs w:val="32"/>
        </w:rPr>
        <w:t>）强化工作落实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各单位行业主管部门</w:t>
      </w:r>
      <w:r>
        <w:rPr>
          <w:rFonts w:ascii="Times New Roman" w:eastAsia="方正仿宋_GBK" w:hAnsi="Times New Roman"/>
          <w:kern w:val="2"/>
          <w:sz w:val="32"/>
          <w:szCs w:val="32"/>
        </w:rPr>
        <w:t>统筹推进电子联单制度落地实施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，落实</w:t>
      </w:r>
      <w:r>
        <w:rPr>
          <w:rFonts w:ascii="Times New Roman" w:eastAsia="方正仿宋_GBK" w:hAnsi="Times New Roman"/>
          <w:kern w:val="2"/>
          <w:sz w:val="32"/>
          <w:szCs w:val="32"/>
        </w:rPr>
        <w:t>建筑垃圾排放、运输、处置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利用单位的</w:t>
      </w:r>
      <w:r>
        <w:rPr>
          <w:rFonts w:ascii="Times New Roman" w:eastAsia="方正仿宋_GBK" w:hAnsi="Times New Roman"/>
          <w:kern w:val="2"/>
          <w:sz w:val="32"/>
          <w:szCs w:val="32"/>
        </w:rPr>
        <w:t>主体责任，对未按规定执行电子联单管理的单位，予以约谈。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对责任落实不力、监管履职不到位，或在整治清运工作中存在弄虚作假、推诿扯皮、工作滞后等问题的行业主管部门，由同级政府或上级主管部门启动问责程序，依法依规予以通报批评</w:t>
      </w:r>
      <w:r>
        <w:rPr>
          <w:rFonts w:ascii="Times New Roman" w:eastAsia="方正仿宋_GBK" w:hAnsi="Times New Roman"/>
          <w:kern w:val="2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发现</w:t>
      </w:r>
      <w:r>
        <w:rPr>
          <w:rFonts w:ascii="Times New Roman" w:eastAsia="方正仿宋_GBK" w:hAnsi="Times New Roman"/>
          <w:kern w:val="2"/>
          <w:sz w:val="32"/>
          <w:szCs w:val="32"/>
        </w:rPr>
        <w:t>涉嫌犯罪的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案件</w:t>
      </w:r>
      <w:r>
        <w:rPr>
          <w:rFonts w:ascii="Times New Roman" w:eastAsia="方正仿宋_GBK" w:hAnsi="Times New Roman"/>
          <w:kern w:val="2"/>
          <w:sz w:val="32"/>
          <w:szCs w:val="32"/>
        </w:rPr>
        <w:t>，按行政执法与刑事司法衔接规定及时移送处理。</w:t>
      </w:r>
    </w:p>
    <w:p w14:paraId="384F69BD" w14:textId="77777777" w:rsidR="00A1428A" w:rsidRDefault="0000000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方正楷体_GBK" w:eastAsia="方正楷体_GBK" w:hAnsi="Times New Roman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三</w:t>
      </w:r>
      <w:r>
        <w:rPr>
          <w:rFonts w:ascii="方正楷体_GBK" w:eastAsia="方正楷体_GBK" w:hAnsi="Times New Roman"/>
          <w:kern w:val="2"/>
          <w:sz w:val="32"/>
          <w:szCs w:val="32"/>
        </w:rPr>
        <w:t>）加强宣传引导</w:t>
      </w:r>
      <w:r>
        <w:rPr>
          <w:rFonts w:ascii="方正楷体_GBK" w:eastAsia="方正楷体_GBK" w:hAnsi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/>
          <w:kern w:val="2"/>
          <w:sz w:val="32"/>
          <w:szCs w:val="32"/>
        </w:rPr>
        <w:t>多渠道普及建筑垃圾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规范处置</w:t>
      </w:r>
      <w:r>
        <w:rPr>
          <w:rFonts w:ascii="Times New Roman" w:eastAsia="方正仿宋_GBK" w:hAnsi="Times New Roman"/>
          <w:kern w:val="2"/>
          <w:sz w:val="32"/>
          <w:szCs w:val="32"/>
        </w:rPr>
        <w:t>政策及相关法律法规，提升企业和群众依法规范处置建筑垃圾</w:t>
      </w:r>
      <w:r>
        <w:rPr>
          <w:rFonts w:ascii="Times New Roman" w:eastAsia="方正仿宋_GBK" w:hAnsi="Times New Roman"/>
          <w:kern w:val="2"/>
          <w:sz w:val="32"/>
          <w:szCs w:val="32"/>
        </w:rPr>
        <w:lastRenderedPageBreak/>
        <w:t>的意识。鼓励社会各界举报违法违规倾倒等破坏环境行为，营造全社会共同参与、协同监督的良好氛围。</w:t>
      </w:r>
    </w:p>
    <w:p w14:paraId="599853E5" w14:textId="5096FC4C" w:rsidR="00A1428A" w:rsidRDefault="00000000">
      <w:pPr>
        <w:spacing w:line="52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四、其他</w:t>
      </w:r>
      <w:r>
        <w:rPr>
          <w:rFonts w:eastAsia="方正黑体_GBK" w:hint="eastAsia"/>
          <w:color w:val="000000"/>
          <w:sz w:val="32"/>
          <w:szCs w:val="32"/>
        </w:rPr>
        <w:t>事项</w:t>
      </w:r>
    </w:p>
    <w:p w14:paraId="43D76909" w14:textId="77777777" w:rsidR="00A1428A" w:rsidRDefault="0000000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本通知自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日起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全区</w:t>
      </w:r>
      <w:r>
        <w:rPr>
          <w:rFonts w:ascii="Times New Roman" w:eastAsia="方正仿宋_GBK" w:hAnsi="Times New Roman"/>
          <w:color w:val="000000"/>
          <w:kern w:val="2"/>
          <w:sz w:val="32"/>
          <w:szCs w:val="32"/>
        </w:rPr>
        <w:t>施行。</w:t>
      </w:r>
    </w:p>
    <w:p w14:paraId="39E546E0" w14:textId="77777777" w:rsidR="00A1428A" w:rsidRDefault="00A1428A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</w:p>
    <w:p w14:paraId="2BDCD997" w14:textId="77777777" w:rsidR="00A1428A" w:rsidRDefault="00000000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kern w:val="2"/>
          <w:sz w:val="32"/>
          <w:szCs w:val="32"/>
        </w:rPr>
        <w:t>附件：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广西建筑垃圾电子联单操作指南</w:t>
      </w:r>
    </w:p>
    <w:p w14:paraId="52944401" w14:textId="77777777" w:rsidR="00A1428A" w:rsidRDefault="00000000">
      <w:pPr>
        <w:pStyle w:val="a9"/>
        <w:ind w:firstLineChars="900" w:firstLine="2880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/>
          <w:noProof/>
          <w:kern w:val="2"/>
          <w:sz w:val="32"/>
          <w:szCs w:val="32"/>
        </w:rPr>
        <w:drawing>
          <wp:inline distT="0" distB="0" distL="0" distR="0" wp14:anchorId="5A8DEA0F" wp14:editId="1159349E">
            <wp:extent cx="1771650" cy="1771650"/>
            <wp:effectExtent l="0" t="0" r="0" b="0"/>
            <wp:docPr id="15611028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02805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1C583" w14:textId="77777777" w:rsidR="00A1428A" w:rsidRDefault="00A1428A">
      <w:pPr>
        <w:pStyle w:val="a9"/>
        <w:spacing w:line="590" w:lineRule="exac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14:paraId="568AFA72" w14:textId="77777777" w:rsidR="00A1428A" w:rsidRDefault="00000000" w:rsidP="001C7B9E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  <w:bookmarkStart w:id="0" w:name="_Hlk211261218"/>
      <w:proofErr w:type="gramStart"/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  </w:t>
      </w:r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  </w:t>
      </w:r>
      <w:proofErr w:type="gramEnd"/>
      <w:r>
        <w:rPr>
          <w:rFonts w:eastAsia="方正仿宋_GBK" w:hint="eastAsia"/>
          <w:sz w:val="32"/>
          <w:szCs w:val="32"/>
        </w:rPr>
        <w:t>广西壮族自治区</w:t>
      </w:r>
    </w:p>
    <w:p w14:paraId="2CB6BF75" w14:textId="77777777" w:rsidR="00A1428A" w:rsidRDefault="00000000" w:rsidP="001C7B9E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住房和城乡建设厅</w:t>
      </w:r>
      <w:r>
        <w:rPr>
          <w:rFonts w:eastAsia="方正仿宋_GBK" w:hint="eastAsia"/>
          <w:sz w:val="32"/>
          <w:szCs w:val="32"/>
        </w:rPr>
        <w:t xml:space="preserve">      </w:t>
      </w:r>
      <w:r>
        <w:rPr>
          <w:rFonts w:eastAsia="方正仿宋_GBK" w:hint="eastAsia"/>
          <w:sz w:val="32"/>
          <w:szCs w:val="32"/>
        </w:rPr>
        <w:t>公安厅</w:t>
      </w:r>
      <w:r>
        <w:rPr>
          <w:rFonts w:eastAsia="方正仿宋_GBK" w:hint="eastAsia"/>
          <w:sz w:val="32"/>
          <w:szCs w:val="32"/>
        </w:rPr>
        <w:t xml:space="preserve">         </w:t>
      </w:r>
      <w:r>
        <w:rPr>
          <w:rFonts w:eastAsia="方正仿宋_GBK" w:hint="eastAsia"/>
          <w:sz w:val="32"/>
          <w:szCs w:val="32"/>
        </w:rPr>
        <w:t>自然资源厅</w:t>
      </w:r>
    </w:p>
    <w:p w14:paraId="79DBAF63" w14:textId="77777777" w:rsidR="00A1428A" w:rsidRDefault="00A1428A" w:rsidP="001C7B9E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</w:p>
    <w:p w14:paraId="7BE45888" w14:textId="77777777" w:rsidR="00A1428A" w:rsidRDefault="00000000" w:rsidP="001C7B9E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  </w:t>
      </w:r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广西壮族自治区</w:t>
      </w:r>
    </w:p>
    <w:p w14:paraId="02254515" w14:textId="77777777" w:rsidR="00A1428A" w:rsidRDefault="00000000" w:rsidP="001C7B9E">
      <w:pPr>
        <w:adjustRightInd w:val="0"/>
        <w:snapToGrid w:val="0"/>
        <w:spacing w:line="590" w:lineRule="exact"/>
        <w:ind w:firstLineChars="100" w:firstLine="3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生态环境厅</w:t>
      </w:r>
      <w:r>
        <w:rPr>
          <w:rFonts w:eastAsia="方正仿宋_GBK" w:hint="eastAsia"/>
          <w:sz w:val="32"/>
          <w:szCs w:val="32"/>
        </w:rPr>
        <w:t xml:space="preserve">       </w:t>
      </w:r>
      <w:r>
        <w:rPr>
          <w:rFonts w:eastAsia="方正仿宋_GBK" w:hint="eastAsia"/>
          <w:sz w:val="32"/>
          <w:szCs w:val="32"/>
        </w:rPr>
        <w:t>交通运输厅</w:t>
      </w:r>
      <w:r>
        <w:rPr>
          <w:rFonts w:eastAsia="方正仿宋_GBK" w:hint="eastAsia"/>
          <w:sz w:val="32"/>
          <w:szCs w:val="32"/>
        </w:rPr>
        <w:t xml:space="preserve">         </w:t>
      </w:r>
      <w:r>
        <w:rPr>
          <w:rFonts w:eastAsia="方正仿宋_GBK" w:hint="eastAsia"/>
          <w:sz w:val="32"/>
          <w:szCs w:val="32"/>
        </w:rPr>
        <w:t>水利厅</w:t>
      </w:r>
    </w:p>
    <w:p w14:paraId="6AD7EADA" w14:textId="77777777" w:rsidR="00A1428A" w:rsidRDefault="00A1428A" w:rsidP="001C7B9E">
      <w:pPr>
        <w:adjustRightInd w:val="0"/>
        <w:snapToGrid w:val="0"/>
        <w:spacing w:line="590" w:lineRule="exact"/>
        <w:ind w:firstLineChars="100" w:firstLine="320"/>
        <w:rPr>
          <w:rFonts w:eastAsia="方正仿宋_GBK"/>
          <w:sz w:val="32"/>
          <w:szCs w:val="32"/>
        </w:rPr>
      </w:pPr>
    </w:p>
    <w:p w14:paraId="78599E30" w14:textId="77777777" w:rsidR="00A1428A" w:rsidRDefault="00000000" w:rsidP="001C7B9E">
      <w:pPr>
        <w:adjustRightInd w:val="0"/>
        <w:snapToGrid w:val="0"/>
        <w:spacing w:line="590" w:lineRule="exact"/>
        <w:ind w:firstLineChars="100" w:firstLine="3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广西壮族自治区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中国铁路南宁局集团</w:t>
      </w:r>
    </w:p>
    <w:p w14:paraId="2116850F" w14:textId="77777777" w:rsidR="00A1428A" w:rsidRDefault="00000000" w:rsidP="001C7B9E">
      <w:pPr>
        <w:adjustRightInd w:val="0"/>
        <w:snapToGrid w:val="0"/>
        <w:spacing w:line="590" w:lineRule="exact"/>
        <w:ind w:firstLineChars="100" w:firstLine="3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农业农村厅</w:t>
      </w:r>
      <w:r>
        <w:rPr>
          <w:rFonts w:eastAsia="方正仿宋_GBK" w:hint="eastAsia"/>
          <w:sz w:val="32"/>
          <w:szCs w:val="32"/>
        </w:rPr>
        <w:t xml:space="preserve">       </w:t>
      </w:r>
      <w:r>
        <w:rPr>
          <w:rFonts w:eastAsia="方正仿宋_GBK" w:hint="eastAsia"/>
          <w:sz w:val="32"/>
          <w:szCs w:val="32"/>
        </w:rPr>
        <w:t>林业局</w:t>
      </w:r>
      <w:r>
        <w:rPr>
          <w:rFonts w:eastAsia="方正仿宋_GBK" w:hint="eastAsia"/>
          <w:sz w:val="32"/>
          <w:szCs w:val="32"/>
        </w:rPr>
        <w:t xml:space="preserve">         </w:t>
      </w:r>
      <w:r>
        <w:rPr>
          <w:rFonts w:eastAsia="方正仿宋_GBK" w:hint="eastAsia"/>
          <w:sz w:val="32"/>
          <w:szCs w:val="32"/>
        </w:rPr>
        <w:t>有限公司</w:t>
      </w:r>
    </w:p>
    <w:p w14:paraId="77FB6065" w14:textId="77777777" w:rsidR="00A1428A" w:rsidRDefault="00A1428A" w:rsidP="001C7B9E">
      <w:pPr>
        <w:adjustRightInd w:val="0"/>
        <w:snapToGrid w:val="0"/>
        <w:spacing w:line="590" w:lineRule="exact"/>
        <w:ind w:firstLineChars="100" w:firstLine="320"/>
        <w:rPr>
          <w:rFonts w:eastAsia="方正仿宋_GBK"/>
          <w:sz w:val="32"/>
          <w:szCs w:val="32"/>
        </w:rPr>
      </w:pPr>
    </w:p>
    <w:p w14:paraId="01ADFBA1" w14:textId="77777777" w:rsidR="00A1428A" w:rsidRDefault="00A1428A" w:rsidP="001C7B9E">
      <w:pPr>
        <w:adjustRightInd w:val="0"/>
        <w:snapToGrid w:val="0"/>
        <w:spacing w:line="590" w:lineRule="exact"/>
        <w:rPr>
          <w:rFonts w:eastAsia="方正仿宋_GBK"/>
          <w:sz w:val="32"/>
          <w:szCs w:val="32"/>
        </w:rPr>
      </w:pPr>
    </w:p>
    <w:p w14:paraId="7ACFE7F0" w14:textId="79FB7BD6" w:rsidR="00A1428A" w:rsidRDefault="00A1428A">
      <w:pPr>
        <w:adjustRightInd w:val="0"/>
        <w:snapToGrid w:val="0"/>
        <w:spacing w:line="590" w:lineRule="exact"/>
        <w:jc w:val="right"/>
        <w:rPr>
          <w:rFonts w:ascii="方正仿宋_GBK" w:eastAsia="方正仿宋_GBK"/>
          <w:sz w:val="32"/>
          <w:szCs w:val="32"/>
        </w:rPr>
      </w:pPr>
    </w:p>
    <w:bookmarkEnd w:id="0"/>
    <w:p w14:paraId="1501CBEA" w14:textId="77777777" w:rsidR="00A1428A" w:rsidRDefault="00000000">
      <w:pPr>
        <w:pStyle w:val="a9"/>
        <w:adjustRightInd w:val="0"/>
        <w:snapToGrid w:val="0"/>
        <w:spacing w:beforeAutospacing="0" w:afterAutospacing="0" w:line="590" w:lineRule="exact"/>
        <w:ind w:leftChars="200" w:left="1592" w:rightChars="400" w:right="1200" w:hangingChars="310" w:hanging="992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14:paraId="00F88EE0" w14:textId="77777777" w:rsidR="00A1428A" w:rsidRDefault="00000000" w:rsidP="001C7B9E">
      <w:pPr>
        <w:pStyle w:val="a9"/>
        <w:adjustRightInd w:val="0"/>
        <w:snapToGrid w:val="0"/>
        <w:spacing w:beforeAutospacing="0" w:afterAutospacing="0" w:line="590" w:lineRule="exact"/>
        <w:ind w:leftChars="200" w:left="1592" w:rightChars="400" w:right="1200" w:hangingChars="310" w:hanging="992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（此件公开发布）</w:t>
      </w:r>
    </w:p>
    <w:sectPr w:rsidR="00A142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AF52" w14:textId="77777777" w:rsidR="001B5391" w:rsidRDefault="001B5391">
      <w:r>
        <w:separator/>
      </w:r>
    </w:p>
  </w:endnote>
  <w:endnote w:type="continuationSeparator" w:id="0">
    <w:p w14:paraId="3E1C19D8" w14:textId="77777777" w:rsidR="001B5391" w:rsidRDefault="001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BC80" w14:textId="77777777" w:rsidR="00A1428A" w:rsidRDefault="00000000">
    <w:pPr>
      <w:pStyle w:val="a3"/>
      <w:adjustRightInd w:val="0"/>
      <w:ind w:leftChars="100" w:left="300" w:rightChars="100" w:right="300" w:firstLineChars="2400" w:firstLine="6720"/>
      <w:jc w:val="both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c"/>
        <w:rFonts w:hint="eastAsia"/>
        <w:spacing w:val="-20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14:paraId="08A63147" w14:textId="77777777" w:rsidR="00A1428A" w:rsidRDefault="00A142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466E" w14:textId="77777777" w:rsidR="001B5391" w:rsidRDefault="001B5391">
      <w:r>
        <w:separator/>
      </w:r>
    </w:p>
  </w:footnote>
  <w:footnote w:type="continuationSeparator" w:id="0">
    <w:p w14:paraId="6E0CFB95" w14:textId="77777777" w:rsidR="001B5391" w:rsidRDefault="001B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3"/>
    <w:rsid w:val="00103065"/>
    <w:rsid w:val="001B5391"/>
    <w:rsid w:val="001C7B9E"/>
    <w:rsid w:val="00295E63"/>
    <w:rsid w:val="002E7DA5"/>
    <w:rsid w:val="003E49EC"/>
    <w:rsid w:val="005945CB"/>
    <w:rsid w:val="00713685"/>
    <w:rsid w:val="0077460D"/>
    <w:rsid w:val="00A1428A"/>
    <w:rsid w:val="00B73D05"/>
    <w:rsid w:val="00EF522A"/>
    <w:rsid w:val="00F45CEB"/>
    <w:rsid w:val="CBD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AC75"/>
  <w15:docId w15:val="{C9972C92-E6D5-4610-B1AC-86E62A24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480" w:after="80"/>
      <w:jc w:val="left"/>
      <w:textAlignment w:val="baseline"/>
      <w:outlineLvl w:val="0"/>
    </w:pPr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160" w:after="80"/>
      <w:jc w:val="left"/>
      <w:textAlignment w:val="baseline"/>
      <w:outlineLvl w:val="1"/>
    </w:pPr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40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160" w:after="80"/>
      <w:jc w:val="left"/>
      <w:textAlignment w:val="baseline"/>
      <w:outlineLvl w:val="2"/>
    </w:pPr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80" w:after="40"/>
      <w:jc w:val="left"/>
      <w:textAlignment w:val="baseline"/>
      <w:outlineLvl w:val="3"/>
    </w:pPr>
    <w:rPr>
      <w:rFonts w:ascii="Arial" w:eastAsia="Arial" w:hAnsi="Arial" w:cstheme="majorBidi"/>
      <w:snapToGrid w:val="0"/>
      <w:color w:val="2F5496" w:themeColor="accent1" w:themeShade="BF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80" w:after="40"/>
      <w:jc w:val="left"/>
      <w:textAlignment w:val="baseline"/>
      <w:outlineLvl w:val="4"/>
    </w:pPr>
    <w:rPr>
      <w:rFonts w:ascii="Arial" w:eastAsia="Arial" w:hAnsi="Arial" w:cstheme="majorBidi"/>
      <w:snapToGrid w:val="0"/>
      <w:color w:val="2F5496" w:themeColor="accent1" w:themeShade="BF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40"/>
      <w:jc w:val="left"/>
      <w:textAlignment w:val="baseline"/>
      <w:outlineLvl w:val="5"/>
    </w:pPr>
    <w:rPr>
      <w:rFonts w:ascii="Arial" w:eastAsia="Arial" w:hAnsi="Arial" w:cstheme="majorBidi"/>
      <w:b/>
      <w:bCs/>
      <w:snapToGrid w:val="0"/>
      <w:color w:val="2F5496" w:themeColor="accent1" w:themeShade="BF"/>
      <w:kern w:val="0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40"/>
      <w:jc w:val="left"/>
      <w:textAlignment w:val="baseline"/>
      <w:outlineLvl w:val="6"/>
    </w:pPr>
    <w:rPr>
      <w:rFonts w:ascii="Arial" w:eastAsia="Arial" w:hAnsi="Arial" w:cstheme="majorBidi"/>
      <w:b/>
      <w:bCs/>
      <w:snapToGrid w:val="0"/>
      <w:color w:val="595959" w:themeColor="text1" w:themeTint="A6"/>
      <w:kern w:val="0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jc w:val="left"/>
      <w:textAlignment w:val="baseline"/>
      <w:outlineLvl w:val="7"/>
    </w:pPr>
    <w:rPr>
      <w:rFonts w:ascii="Arial" w:eastAsia="Arial" w:hAnsi="Arial" w:cstheme="majorBidi"/>
      <w:snapToGrid w:val="0"/>
      <w:color w:val="595959" w:themeColor="text1" w:themeTint="A6"/>
      <w:kern w:val="0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jc w:val="left"/>
      <w:textAlignment w:val="baseline"/>
      <w:outlineLvl w:val="8"/>
    </w:pPr>
    <w:rPr>
      <w:rFonts w:ascii="Arial" w:eastAsiaTheme="majorEastAsia" w:hAnsi="Arial" w:cstheme="majorBidi"/>
      <w:snapToGrid w:val="0"/>
      <w:color w:val="595959" w:themeColor="text1" w:themeTint="A6"/>
      <w:kern w:val="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/>
      <w:kinsoku w:val="0"/>
      <w:autoSpaceDE w:val="0"/>
      <w:autoSpaceDN w:val="0"/>
      <w:adjustRightInd w:val="0"/>
      <w:snapToGrid w:val="0"/>
      <w:spacing w:after="160"/>
      <w:jc w:val="center"/>
      <w:textAlignment w:val="baseline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0"/>
      <w:sz w:val="28"/>
      <w:szCs w:val="28"/>
      <w:lang w:eastAsia="en-US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widowControl/>
      <w:kinsoku w:val="0"/>
      <w:autoSpaceDE w:val="0"/>
      <w:autoSpaceDN w:val="0"/>
      <w:adjustRightInd w:val="0"/>
      <w:snapToGrid w:val="0"/>
      <w:spacing w:after="80"/>
      <w:contextualSpacing/>
      <w:jc w:val="center"/>
      <w:textAlignment w:val="baseline"/>
    </w:pPr>
    <w:rPr>
      <w:rFonts w:asciiTheme="majorHAnsi" w:eastAsiaTheme="majorEastAsia" w:hAnsiTheme="majorHAnsi" w:cstheme="majorBidi"/>
      <w:snapToGrid w:val="0"/>
      <w:color w:val="000000"/>
      <w:spacing w:val="-10"/>
      <w:kern w:val="28"/>
      <w:sz w:val="56"/>
      <w:szCs w:val="56"/>
      <w:lang w:eastAsia="en-US"/>
    </w:rPr>
  </w:style>
  <w:style w:type="character" w:styleId="ac">
    <w:name w:val="page number"/>
    <w:basedOn w:val="a0"/>
    <w:qFormat/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48"/>
      <w:szCs w:val="48"/>
      <w:lang w:eastAsia="en-US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40"/>
      <w:szCs w:val="40"/>
      <w:lang w:eastAsia="en-US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napToGrid w:val="0"/>
      <w:color w:val="2F5496" w:themeColor="accent1" w:themeShade="BF"/>
      <w:kern w:val="0"/>
      <w:sz w:val="32"/>
      <w:szCs w:val="32"/>
      <w:lang w:eastAsia="en-US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Arial" w:eastAsia="Arial" w:hAnsi="Arial" w:cstheme="majorBidi"/>
      <w:snapToGrid w:val="0"/>
      <w:color w:val="2F5496" w:themeColor="accent1" w:themeShade="BF"/>
      <w:kern w:val="0"/>
      <w:sz w:val="28"/>
      <w:szCs w:val="28"/>
      <w:lang w:eastAsia="en-US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Arial" w:eastAsia="Arial" w:hAnsi="Arial" w:cstheme="majorBidi"/>
      <w:snapToGrid w:val="0"/>
      <w:color w:val="2F5496" w:themeColor="accent1" w:themeShade="BF"/>
      <w:kern w:val="0"/>
      <w:sz w:val="24"/>
      <w:szCs w:val="24"/>
      <w:lang w:eastAsia="en-US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Arial" w:eastAsia="Arial" w:hAnsi="Arial" w:cstheme="majorBidi"/>
      <w:b/>
      <w:bCs/>
      <w:snapToGrid w:val="0"/>
      <w:color w:val="2F5496" w:themeColor="accent1" w:themeShade="BF"/>
      <w:kern w:val="0"/>
      <w:szCs w:val="21"/>
      <w:lang w:eastAsia="en-US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Arial" w:eastAsia="Arial" w:hAnsi="Arial" w:cstheme="majorBidi"/>
      <w:b/>
      <w:bCs/>
      <w:snapToGrid w:val="0"/>
      <w:color w:val="595959" w:themeColor="text1" w:themeTint="A6"/>
      <w:kern w:val="0"/>
      <w:szCs w:val="21"/>
      <w:lang w:eastAsia="en-US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="Arial" w:eastAsia="Arial" w:hAnsi="Arial" w:cstheme="majorBidi"/>
      <w:snapToGrid w:val="0"/>
      <w:color w:val="595959" w:themeColor="text1" w:themeTint="A6"/>
      <w:kern w:val="0"/>
      <w:szCs w:val="21"/>
      <w:lang w:eastAsia="en-US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Arial" w:eastAsiaTheme="majorEastAsia" w:hAnsi="Arial" w:cstheme="majorBidi"/>
      <w:snapToGrid w:val="0"/>
      <w:color w:val="595959" w:themeColor="text1" w:themeTint="A6"/>
      <w:kern w:val="0"/>
      <w:szCs w:val="21"/>
      <w:lang w:eastAsia="en-US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napToGrid w:val="0"/>
      <w:color w:val="000000"/>
      <w:spacing w:val="-10"/>
      <w:kern w:val="28"/>
      <w:sz w:val="56"/>
      <w:szCs w:val="56"/>
      <w:lang w:eastAsia="en-US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0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pPr>
      <w:widowControl/>
      <w:kinsoku w:val="0"/>
      <w:autoSpaceDE w:val="0"/>
      <w:autoSpaceDN w:val="0"/>
      <w:adjustRightInd w:val="0"/>
      <w:snapToGrid w:val="0"/>
      <w:ind w:left="720"/>
      <w:contextualSpacing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ae">
    <w:name w:val="Quote"/>
    <w:basedOn w:val="a"/>
    <w:next w:val="a"/>
    <w:link w:val="af"/>
    <w:uiPriority w:val="29"/>
    <w:qFormat/>
    <w:pPr>
      <w:widowControl/>
      <w:kinsoku w:val="0"/>
      <w:autoSpaceDE w:val="0"/>
      <w:autoSpaceDN w:val="0"/>
      <w:adjustRightInd w:val="0"/>
      <w:snapToGrid w:val="0"/>
      <w:spacing w:before="160" w:after="160"/>
      <w:jc w:val="center"/>
      <w:textAlignment w:val="baseline"/>
    </w:pPr>
    <w:rPr>
      <w:rFonts w:ascii="Arial" w:eastAsia="Arial" w:hAnsi="Arial" w:cs="Arial"/>
      <w:i/>
      <w:iCs/>
      <w:snapToGrid w:val="0"/>
      <w:color w:val="404040" w:themeColor="text1" w:themeTint="BF"/>
      <w:kern w:val="0"/>
      <w:sz w:val="21"/>
      <w:szCs w:val="21"/>
      <w:lang w:eastAsia="en-US"/>
    </w:rPr>
  </w:style>
  <w:style w:type="character" w:customStyle="1" w:styleId="af">
    <w:name w:val="引用 字符"/>
    <w:basedOn w:val="a0"/>
    <w:link w:val="ae"/>
    <w:uiPriority w:val="29"/>
    <w:qFormat/>
    <w:rPr>
      <w:rFonts w:ascii="Arial" w:eastAsia="Arial" w:hAnsi="Arial" w:cs="Arial"/>
      <w:i/>
      <w:iCs/>
      <w:snapToGrid w:val="0"/>
      <w:color w:val="404040" w:themeColor="text1" w:themeTint="BF"/>
      <w:kern w:val="0"/>
      <w:szCs w:val="21"/>
      <w:lang w:eastAsia="en-US"/>
    </w:rPr>
  </w:style>
  <w:style w:type="paragraph" w:styleId="af0">
    <w:name w:val="Intense Quote"/>
    <w:basedOn w:val="a"/>
    <w:next w:val="a"/>
    <w:link w:val="af1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kinsoku w:val="0"/>
      <w:autoSpaceDE w:val="0"/>
      <w:autoSpaceDN w:val="0"/>
      <w:adjustRightInd w:val="0"/>
      <w:snapToGrid w:val="0"/>
      <w:spacing w:before="360" w:after="360"/>
      <w:ind w:left="864" w:right="864"/>
      <w:jc w:val="center"/>
      <w:textAlignment w:val="baseline"/>
    </w:pPr>
    <w:rPr>
      <w:rFonts w:ascii="Arial" w:eastAsia="Arial" w:hAnsi="Arial" w:cs="Arial"/>
      <w:i/>
      <w:iCs/>
      <w:snapToGrid w:val="0"/>
      <w:color w:val="2F5496" w:themeColor="accent1" w:themeShade="BF"/>
      <w:kern w:val="0"/>
      <w:sz w:val="21"/>
      <w:szCs w:val="21"/>
      <w:lang w:eastAsia="en-US"/>
    </w:rPr>
  </w:style>
  <w:style w:type="character" w:customStyle="1" w:styleId="af1">
    <w:name w:val="明显引用 字符"/>
    <w:basedOn w:val="a0"/>
    <w:link w:val="af0"/>
    <w:uiPriority w:val="30"/>
    <w:qFormat/>
    <w:rPr>
      <w:rFonts w:ascii="Arial" w:eastAsia="Arial" w:hAnsi="Arial" w:cs="Arial"/>
      <w:i/>
      <w:iCs/>
      <w:snapToGrid w:val="0"/>
      <w:color w:val="2F5496" w:themeColor="accent1" w:themeShade="BF"/>
      <w:kern w:val="0"/>
      <w:szCs w:val="21"/>
      <w:lang w:eastAsia="en-US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Revision"/>
    <w:hidden/>
    <w:uiPriority w:val="99"/>
    <w:unhideWhenUsed/>
    <w:rsid w:val="001C7B9E"/>
    <w:rPr>
      <w:rFonts w:ascii="Times New Roman" w:eastAsia="宋体" w:hAnsi="Times New Roman" w:cs="Times New Roman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周永昆</dc:creator>
  <cp:lastModifiedBy>周永昆</cp:lastModifiedBy>
  <cp:revision>1</cp:revision>
  <dcterms:created xsi:type="dcterms:W3CDTF">2026-01-20T14:24:00Z</dcterms:created>
  <dcterms:modified xsi:type="dcterms:W3CDTF">2026-01-22T04:01:00Z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D0B40D173603B5F327647069166AF9A5_43</vt:lpwstr>
  </property>
</Properties>
</file>