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F1B5D">
      <w:pPr>
        <w:spacing w:line="240" w:lineRule="auto"/>
        <w:ind w:firstLine="1107" w:firstLineChars="346"/>
        <w:rPr>
          <w:rFonts w:eastAsia="黑体"/>
          <w:b/>
          <w:sz w:val="32"/>
          <w:szCs w:val="32"/>
        </w:rPr>
      </w:pPr>
      <w:r>
        <w:rPr>
          <w:rFonts w:hint="eastAsia" w:eastAsia="黑体"/>
          <w:b/>
          <w:sz w:val="32"/>
          <w:szCs w:val="32"/>
        </w:rPr>
        <w:t xml:space="preserve">广西壮族自治区工程建设地方标准 </w:t>
      </w:r>
      <w:r>
        <w:rPr>
          <w:rFonts w:eastAsia="黑体"/>
          <w:b/>
          <w:sz w:val="32"/>
          <w:szCs w:val="32"/>
        </w:rPr>
        <w:t xml:space="preserve">   </w:t>
      </w:r>
      <w:r>
        <w:rPr>
          <w:rFonts w:hint="eastAsia" w:eastAsia="黑体"/>
          <w:b/>
          <w:sz w:val="84"/>
          <w:szCs w:val="84"/>
        </w:rPr>
        <w:t>DB</w:t>
      </w:r>
    </w:p>
    <w:p w14:paraId="21297D47">
      <w:pPr>
        <w:wordWrap w:val="0"/>
        <w:ind w:firstLine="5647" w:firstLineChars="2017"/>
        <w:jc w:val="left"/>
        <w:rPr>
          <w:b/>
          <w:sz w:val="28"/>
          <w:szCs w:val="28"/>
        </w:rPr>
      </w:pPr>
      <w:r>
        <w:rPr>
          <w:rFonts w:hint="eastAsia"/>
          <w:b/>
          <w:sz w:val="28"/>
          <w:szCs w:val="28"/>
        </w:rPr>
        <w:t>DBJ/T45 xx-xx-xx</w:t>
      </w:r>
    </w:p>
    <w:p w14:paraId="4FB7D300">
      <w:pPr>
        <w:wordWrap w:val="0"/>
        <w:ind w:firstLine="5647" w:firstLineChars="2017"/>
        <w:jc w:val="left"/>
        <w:rPr>
          <w:b/>
          <w:sz w:val="28"/>
          <w:szCs w:val="28"/>
        </w:rPr>
      </w:pPr>
      <w:r>
        <w:rPr>
          <w:rFonts w:hint="eastAsia"/>
          <w:b/>
          <w:sz w:val="28"/>
          <w:szCs w:val="28"/>
        </w:rPr>
        <w:t>备案号 ：xx</w:t>
      </w:r>
    </w:p>
    <w:p w14:paraId="5A268868">
      <w:pPr>
        <w:adjustRightInd w:val="0"/>
        <w:snapToGrid w:val="0"/>
        <w:ind w:firstLine="261"/>
        <w:jc w:val="left"/>
        <w:rPr>
          <w:rFonts w:ascii="宋体" w:hAnsi="宋体"/>
          <w:b/>
          <w:sz w:val="13"/>
          <w:szCs w:val="13"/>
        </w:rPr>
      </w:pPr>
    </w:p>
    <w:p w14:paraId="134BDCB8">
      <w:pPr>
        <w:ind w:firstLine="420"/>
        <w:rPr>
          <w:sz w:val="28"/>
          <w:szCs w:val="28"/>
        </w:rPr>
      </w:pPr>
      <w:r>
        <w:rPr>
          <w:szCs w:val="24"/>
        </w:rPr>
        <mc:AlternateContent>
          <mc:Choice Requires="wps">
            <w:drawing>
              <wp:anchor distT="0" distB="0" distL="114300" distR="114300" simplePos="0" relativeHeight="251659264" behindDoc="0" locked="0" layoutInCell="1" allowOverlap="1">
                <wp:simplePos x="0" y="0"/>
                <wp:positionH relativeFrom="column">
                  <wp:posOffset>-247650</wp:posOffset>
                </wp:positionH>
                <wp:positionV relativeFrom="paragraph">
                  <wp:posOffset>48895</wp:posOffset>
                </wp:positionV>
                <wp:extent cx="5953125" cy="0"/>
                <wp:effectExtent l="0" t="4445" r="0" b="508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9.5pt;margin-top:3.85pt;height:0pt;width:468.75pt;z-index:251659264;mso-width-relative:page;mso-height-relative:page;" filled="f" stroked="t" coordsize="21600,21600" o:gfxdata="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DLmXtYA&#10;AAAHAQAADwAAAAAAAAABACAAAAAiAAAAZHJzL2Rvd25yZXYueG1sUEsBAhQAFAAAAAgAh07iQNNH&#10;1OnoAQAAugMAAA4AAAAAAAAAAQAgAAAAJQEAAGRycy9lMm9Eb2MueG1sUEsFBgAAAAAGAAYAWQEA&#10;AH8FAAAAAA==&#10;">
                <v:fill on="f" focussize="0,0"/>
                <v:stroke color="#000000" joinstyle="round"/>
                <v:imagedata o:title=""/>
                <o:lock v:ext="edit" aspectratio="f"/>
              </v:line>
            </w:pict>
          </mc:Fallback>
        </mc:AlternateContent>
      </w:r>
    </w:p>
    <w:p w14:paraId="605F37A3">
      <w:pPr>
        <w:ind w:firstLine="560"/>
        <w:rPr>
          <w:sz w:val="28"/>
          <w:szCs w:val="28"/>
        </w:rPr>
      </w:pPr>
    </w:p>
    <w:p w14:paraId="3FE65C47">
      <w:pPr>
        <w:ind w:firstLine="560"/>
        <w:rPr>
          <w:sz w:val="28"/>
          <w:szCs w:val="28"/>
        </w:rPr>
      </w:pPr>
    </w:p>
    <w:p w14:paraId="036EF77F">
      <w:pPr>
        <w:ind w:firstLine="560"/>
        <w:rPr>
          <w:sz w:val="28"/>
          <w:szCs w:val="28"/>
        </w:rPr>
      </w:pPr>
    </w:p>
    <w:p w14:paraId="53198599">
      <w:pPr>
        <w:ind w:firstLine="560"/>
        <w:rPr>
          <w:sz w:val="28"/>
          <w:szCs w:val="28"/>
        </w:rPr>
      </w:pPr>
    </w:p>
    <w:p w14:paraId="15271CD8">
      <w:pPr>
        <w:pStyle w:val="9"/>
        <w:spacing w:before="312" w:beforeLines="100" w:after="156"/>
        <w:jc w:val="center"/>
        <w:rPr>
          <w:rFonts w:hAnsi="宋体"/>
          <w:b/>
          <w:bCs/>
          <w:sz w:val="48"/>
          <w:szCs w:val="48"/>
        </w:rPr>
      </w:pPr>
      <w:r>
        <w:rPr>
          <w:rFonts w:hint="eastAsia" w:hAnsi="宋体"/>
          <w:b/>
          <w:bCs/>
          <w:sz w:val="44"/>
          <w:szCs w:val="44"/>
        </w:rPr>
        <w:t>静压钢板桩支护技术规程</w:t>
      </w:r>
    </w:p>
    <w:p w14:paraId="188A5147">
      <w:pPr>
        <w:pStyle w:val="9"/>
        <w:spacing w:before="312" w:beforeLines="100" w:after="156"/>
        <w:jc w:val="center"/>
        <w:rPr>
          <w:rFonts w:hAnsi="宋体"/>
          <w:b/>
          <w:sz w:val="32"/>
          <w:szCs w:val="32"/>
        </w:rPr>
      </w:pPr>
      <w:r>
        <w:rPr>
          <w:rFonts w:hint="eastAsia" w:hAnsi="宋体"/>
          <w:b/>
          <w:sz w:val="32"/>
          <w:szCs w:val="32"/>
        </w:rPr>
        <w:t>（征求意见稿）</w:t>
      </w:r>
    </w:p>
    <w:p w14:paraId="0D5CDD39">
      <w:pPr>
        <w:ind w:firstLine="360" w:firstLineChars="100"/>
        <w:jc w:val="center"/>
        <w:rPr>
          <w:sz w:val="32"/>
          <w:szCs w:val="32"/>
        </w:rPr>
      </w:pPr>
      <w:r>
        <w:rPr>
          <w:rFonts w:hint="eastAsia"/>
          <w:sz w:val="36"/>
          <w:szCs w:val="36"/>
        </w:rPr>
        <w:t xml:space="preserve">Technical specification for </w:t>
      </w:r>
      <w:r>
        <w:rPr>
          <w:sz w:val="36"/>
          <w:szCs w:val="36"/>
        </w:rPr>
        <w:t xml:space="preserve">retaining of </w:t>
      </w:r>
      <w:r>
        <w:rPr>
          <w:rFonts w:hint="eastAsia"/>
          <w:sz w:val="36"/>
          <w:szCs w:val="36"/>
        </w:rPr>
        <w:t xml:space="preserve">press-in </w:t>
      </w:r>
      <w:r>
        <w:rPr>
          <w:sz w:val="36"/>
          <w:szCs w:val="36"/>
        </w:rPr>
        <w:t xml:space="preserve">steel </w:t>
      </w:r>
      <w:r>
        <w:rPr>
          <w:rFonts w:hint="eastAsia"/>
          <w:sz w:val="36"/>
          <w:szCs w:val="36"/>
        </w:rPr>
        <w:t>sheet pile</w:t>
      </w:r>
    </w:p>
    <w:p w14:paraId="3E9F91AC">
      <w:pPr>
        <w:ind w:firstLine="320" w:firstLineChars="100"/>
        <w:rPr>
          <w:sz w:val="32"/>
          <w:szCs w:val="32"/>
        </w:rPr>
      </w:pPr>
    </w:p>
    <w:p w14:paraId="0AA455A5">
      <w:pPr>
        <w:widowControl/>
        <w:spacing w:line="460" w:lineRule="exact"/>
        <w:ind w:left="641" w:leftChars="153" w:right="508" w:rightChars="242" w:hanging="320" w:hangingChars="100"/>
        <w:jc w:val="left"/>
        <w:rPr>
          <w:rFonts w:ascii="宋体" w:hAnsi="宋体"/>
          <w:b/>
          <w:sz w:val="32"/>
          <w:szCs w:val="28"/>
        </w:rPr>
      </w:pPr>
    </w:p>
    <w:p w14:paraId="5D764C78">
      <w:pPr>
        <w:widowControl/>
        <w:spacing w:line="460" w:lineRule="exact"/>
        <w:ind w:left="641" w:leftChars="153" w:right="508" w:rightChars="242" w:hanging="320" w:hangingChars="100"/>
        <w:jc w:val="left"/>
        <w:rPr>
          <w:rFonts w:ascii="宋体" w:hAnsi="宋体"/>
          <w:b/>
          <w:sz w:val="32"/>
          <w:szCs w:val="28"/>
        </w:rPr>
      </w:pPr>
    </w:p>
    <w:p w14:paraId="1E6073E8">
      <w:pPr>
        <w:widowControl/>
        <w:spacing w:line="460" w:lineRule="exact"/>
        <w:ind w:right="508" w:rightChars="242"/>
        <w:jc w:val="left"/>
        <w:rPr>
          <w:rFonts w:ascii="宋体" w:hAnsi="宋体"/>
          <w:b/>
          <w:sz w:val="32"/>
          <w:szCs w:val="28"/>
        </w:rPr>
      </w:pPr>
    </w:p>
    <w:p w14:paraId="754B5CBA">
      <w:pPr>
        <w:widowControl/>
        <w:spacing w:line="460" w:lineRule="exact"/>
        <w:ind w:right="508" w:rightChars="242"/>
        <w:jc w:val="left"/>
        <w:rPr>
          <w:rFonts w:ascii="宋体" w:hAnsi="宋体"/>
          <w:b/>
          <w:sz w:val="32"/>
          <w:szCs w:val="28"/>
        </w:rPr>
      </w:pPr>
    </w:p>
    <w:p w14:paraId="6731366A">
      <w:pPr>
        <w:widowControl/>
        <w:spacing w:line="460" w:lineRule="exact"/>
        <w:ind w:right="508" w:rightChars="242"/>
        <w:jc w:val="left"/>
        <w:rPr>
          <w:rFonts w:ascii="宋体" w:hAnsi="宋体"/>
          <w:b/>
          <w:sz w:val="32"/>
          <w:szCs w:val="28"/>
        </w:rPr>
      </w:pPr>
    </w:p>
    <w:p w14:paraId="6601819B">
      <w:pPr>
        <w:widowControl/>
        <w:spacing w:line="460" w:lineRule="exact"/>
        <w:ind w:right="508" w:rightChars="242"/>
        <w:jc w:val="left"/>
        <w:rPr>
          <w:rFonts w:ascii="宋体" w:hAnsi="宋体"/>
          <w:b/>
          <w:sz w:val="32"/>
          <w:szCs w:val="28"/>
        </w:rPr>
      </w:pPr>
    </w:p>
    <w:p w14:paraId="62D6163C">
      <w:pPr>
        <w:widowControl/>
        <w:spacing w:line="460" w:lineRule="exact"/>
        <w:ind w:right="508" w:rightChars="242"/>
        <w:jc w:val="left"/>
        <w:rPr>
          <w:rFonts w:ascii="宋体" w:hAnsi="宋体"/>
          <w:b/>
          <w:sz w:val="32"/>
          <w:szCs w:val="28"/>
        </w:rPr>
      </w:pPr>
    </w:p>
    <w:p w14:paraId="4A1FF076">
      <w:pPr>
        <w:widowControl/>
        <w:spacing w:line="460" w:lineRule="exact"/>
        <w:ind w:right="508" w:rightChars="242"/>
        <w:jc w:val="left"/>
        <w:rPr>
          <w:rFonts w:ascii="宋体" w:hAnsi="宋体"/>
          <w:b/>
          <w:sz w:val="32"/>
          <w:szCs w:val="28"/>
        </w:rPr>
      </w:pPr>
    </w:p>
    <w:p w14:paraId="4658B197">
      <w:pPr>
        <w:widowControl/>
        <w:spacing w:line="460" w:lineRule="exact"/>
        <w:ind w:right="508" w:rightChars="242"/>
        <w:jc w:val="left"/>
        <w:rPr>
          <w:rFonts w:ascii="宋体" w:hAnsi="宋体"/>
          <w:b/>
          <w:sz w:val="32"/>
          <w:szCs w:val="28"/>
        </w:rPr>
      </w:pPr>
    </w:p>
    <w:p w14:paraId="53A1B5B6">
      <w:pPr>
        <w:widowControl/>
        <w:spacing w:line="460" w:lineRule="exact"/>
        <w:ind w:right="508" w:rightChars="242"/>
        <w:jc w:val="left"/>
        <w:rPr>
          <w:rFonts w:ascii="宋体" w:hAnsi="宋体"/>
          <w:b/>
          <w:sz w:val="32"/>
          <w:szCs w:val="28"/>
        </w:rPr>
      </w:pPr>
    </w:p>
    <w:p w14:paraId="7DC4E85F">
      <w:pPr>
        <w:widowControl/>
        <w:spacing w:line="460" w:lineRule="exact"/>
        <w:ind w:right="508" w:rightChars="242"/>
        <w:jc w:val="left"/>
        <w:rPr>
          <w:rFonts w:ascii="宋体" w:hAnsi="宋体"/>
          <w:b/>
          <w:sz w:val="32"/>
          <w:szCs w:val="28"/>
        </w:rPr>
      </w:pPr>
    </w:p>
    <w:p w14:paraId="06137BE0">
      <w:pPr>
        <w:widowControl/>
        <w:spacing w:line="460" w:lineRule="exact"/>
        <w:ind w:right="508" w:rightChars="242"/>
        <w:jc w:val="left"/>
        <w:rPr>
          <w:rFonts w:ascii="宋体" w:hAnsi="宋体"/>
          <w:b/>
          <w:sz w:val="32"/>
          <w:szCs w:val="28"/>
        </w:rPr>
      </w:pPr>
    </w:p>
    <w:p w14:paraId="3484017D">
      <w:pPr>
        <w:ind w:firstLine="640"/>
        <w:jc w:val="center"/>
        <w:rPr>
          <w:rFonts w:ascii="黑体" w:hAnsi="黑体" w:eastAsia="黑体"/>
          <w:sz w:val="32"/>
          <w:szCs w:val="32"/>
        </w:rPr>
      </w:pPr>
      <w:r>
        <w:rPr>
          <w:rFonts w:hint="eastAsia" w:ascii="黑体" w:hAnsi="黑体" w:eastAsia="黑体"/>
          <w:sz w:val="32"/>
          <w:szCs w:val="32"/>
        </w:rPr>
        <w:t xml:space="preserve">20XX-XX-XX发布   </w:t>
      </w:r>
      <w:r>
        <w:rPr>
          <w:rFonts w:ascii="黑体" w:hAnsi="黑体" w:eastAsia="黑体"/>
          <w:sz w:val="32"/>
          <w:szCs w:val="32"/>
        </w:rPr>
        <w:t xml:space="preserve">          </w:t>
      </w:r>
      <w:r>
        <w:rPr>
          <w:rFonts w:hint="eastAsia" w:ascii="黑体" w:hAnsi="黑体" w:eastAsia="黑体"/>
          <w:sz w:val="32"/>
          <w:szCs w:val="32"/>
        </w:rPr>
        <w:t xml:space="preserve">   20XX-XX-XX实施</w:t>
      </w:r>
    </w:p>
    <w:p w14:paraId="4739EC54">
      <w:pPr>
        <w:ind w:firstLine="420"/>
        <w:rPr>
          <w:sz w:val="28"/>
          <w:szCs w:val="28"/>
        </w:rPr>
      </w:pPr>
      <w:r>
        <w:rPr>
          <w:szCs w:val="24"/>
        </w:rPr>
        <mc:AlternateContent>
          <mc:Choice Requires="wps">
            <w:drawing>
              <wp:anchor distT="0" distB="0" distL="114300" distR="114300" simplePos="0" relativeHeight="251660288" behindDoc="0" locked="0" layoutInCell="1" allowOverlap="1">
                <wp:simplePos x="0" y="0"/>
                <wp:positionH relativeFrom="column">
                  <wp:posOffset>-323850</wp:posOffset>
                </wp:positionH>
                <wp:positionV relativeFrom="paragraph">
                  <wp:posOffset>24130</wp:posOffset>
                </wp:positionV>
                <wp:extent cx="5953125" cy="0"/>
                <wp:effectExtent l="0" t="4445" r="0" b="508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5.5pt;margin-top:1.9pt;height:0pt;width:468.75pt;z-index:251660288;mso-width-relative:page;mso-height-relative:page;" filled="f" stroked="t" coordsize="21600,21600" o:gfxdata="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WBWnTVAAAA&#10;BwEAAA8AAAAAAAAAAQAgAAAAIgAAAGRycy9kb3ducmV2LnhtbFBLAQIUABQAAAAIAIdO4kA+sfLc&#10;5wEAALoDAAAOAAAAAAAAAAEAIAAAACQBAABkcnMvZTJvRG9jLnhtbFBLBQYAAAAABgAGAFkBAAB9&#10;BQAAAAA=&#10;">
                <v:fill on="f" focussize="0,0"/>
                <v:stroke color="#000000" joinstyle="round"/>
                <v:imagedata o:title=""/>
                <o:lock v:ext="edit" aspectratio="f"/>
              </v:line>
            </w:pict>
          </mc:Fallback>
        </mc:AlternateContent>
      </w:r>
    </w:p>
    <w:p w14:paraId="142C3D24">
      <w:pPr>
        <w:ind w:firstLine="640"/>
        <w:jc w:val="center"/>
        <w:rPr>
          <w:rFonts w:ascii="黑体" w:hAnsi="黑体" w:eastAsia="黑体"/>
          <w:sz w:val="32"/>
          <w:szCs w:val="32"/>
        </w:rPr>
      </w:pPr>
      <w:r>
        <w:rPr>
          <w:rFonts w:hint="eastAsia" w:ascii="黑体" w:hAnsi="黑体" w:eastAsia="黑体"/>
          <w:sz w:val="32"/>
          <w:szCs w:val="32"/>
        </w:rPr>
        <w:t>广西壮族自治区住房和城乡建设厅                   发布</w:t>
      </w:r>
    </w:p>
    <w:p w14:paraId="003253C4">
      <w:pPr>
        <w:jc w:val="center"/>
        <w:rPr>
          <w:rFonts w:eastAsia="黑体"/>
          <w:b/>
          <w:sz w:val="32"/>
          <w:szCs w:val="32"/>
        </w:rPr>
      </w:pPr>
    </w:p>
    <w:p w14:paraId="25C436D5">
      <w:pPr>
        <w:jc w:val="center"/>
        <w:rPr>
          <w:rFonts w:eastAsia="黑体"/>
          <w:b/>
          <w:sz w:val="32"/>
          <w:szCs w:val="32"/>
        </w:rPr>
      </w:pPr>
    </w:p>
    <w:p w14:paraId="73785ECC">
      <w:pPr>
        <w:jc w:val="center"/>
        <w:rPr>
          <w:rFonts w:eastAsia="黑体"/>
          <w:b/>
          <w:sz w:val="32"/>
          <w:szCs w:val="32"/>
        </w:rPr>
      </w:pPr>
    </w:p>
    <w:p w14:paraId="6BD9A308">
      <w:pPr>
        <w:jc w:val="center"/>
        <w:rPr>
          <w:rFonts w:eastAsia="黑体"/>
          <w:b/>
          <w:sz w:val="32"/>
          <w:szCs w:val="32"/>
        </w:rPr>
      </w:pPr>
    </w:p>
    <w:p w14:paraId="17504B8A">
      <w:pPr>
        <w:jc w:val="center"/>
        <w:rPr>
          <w:rFonts w:eastAsia="黑体"/>
          <w:b/>
          <w:sz w:val="32"/>
          <w:szCs w:val="32"/>
        </w:rPr>
        <w:sectPr>
          <w:headerReference r:id="rId5" w:type="default"/>
          <w:footerReference r:id="rId6" w:type="default"/>
          <w:footerReference r:id="rId7" w:type="even"/>
          <w:pgSz w:w="11906" w:h="16838"/>
          <w:pgMar w:top="1134" w:right="1134" w:bottom="1134" w:left="1134" w:header="851" w:footer="617" w:gutter="0"/>
          <w:pgNumType w:start="1"/>
          <w:cols w:space="720" w:num="1"/>
          <w:docGrid w:type="linesAndChars" w:linePitch="312" w:charSpace="0"/>
        </w:sectPr>
      </w:pPr>
    </w:p>
    <w:p w14:paraId="7E6EBAAE">
      <w:pPr>
        <w:jc w:val="center"/>
        <w:rPr>
          <w:rFonts w:eastAsia="黑体"/>
          <w:b/>
          <w:sz w:val="32"/>
          <w:szCs w:val="32"/>
        </w:rPr>
      </w:pPr>
    </w:p>
    <w:p w14:paraId="78FCA556">
      <w:pPr>
        <w:jc w:val="center"/>
        <w:rPr>
          <w:rFonts w:eastAsia="黑体"/>
          <w:b/>
          <w:sz w:val="32"/>
          <w:szCs w:val="32"/>
        </w:rPr>
      </w:pPr>
      <w:r>
        <w:rPr>
          <w:rFonts w:hint="eastAsia" w:eastAsia="黑体"/>
          <w:b/>
          <w:sz w:val="32"/>
          <w:szCs w:val="32"/>
        </w:rPr>
        <w:t>广西壮族自治区工程建设地方标准</w:t>
      </w:r>
    </w:p>
    <w:p w14:paraId="0F5FC576">
      <w:pPr>
        <w:jc w:val="center"/>
        <w:rPr>
          <w:rFonts w:ascii="宋体" w:hAnsi="宋体"/>
          <w:b/>
          <w:sz w:val="32"/>
          <w:szCs w:val="32"/>
        </w:rPr>
      </w:pPr>
    </w:p>
    <w:p w14:paraId="68270506">
      <w:pPr>
        <w:jc w:val="center"/>
        <w:rPr>
          <w:rFonts w:ascii="宋体" w:hAnsi="宋体"/>
          <w:b/>
          <w:sz w:val="32"/>
          <w:szCs w:val="32"/>
        </w:rPr>
      </w:pPr>
    </w:p>
    <w:p w14:paraId="3BF8AA1F">
      <w:pPr>
        <w:pStyle w:val="9"/>
        <w:spacing w:before="312" w:beforeLines="100" w:after="156"/>
        <w:jc w:val="center"/>
        <w:rPr>
          <w:rFonts w:hAnsi="宋体"/>
          <w:b/>
          <w:bCs/>
          <w:sz w:val="36"/>
          <w:szCs w:val="36"/>
        </w:rPr>
      </w:pPr>
      <w:r>
        <w:rPr>
          <w:rFonts w:hint="eastAsia" w:hAnsi="宋体"/>
          <w:b/>
          <w:bCs/>
          <w:sz w:val="36"/>
          <w:szCs w:val="36"/>
        </w:rPr>
        <w:t>静压钢板桩支护技术规程</w:t>
      </w:r>
    </w:p>
    <w:p w14:paraId="4DA3332A">
      <w:pPr>
        <w:pStyle w:val="9"/>
        <w:spacing w:before="312" w:beforeLines="100" w:after="156"/>
        <w:jc w:val="center"/>
        <w:rPr>
          <w:rFonts w:hAnsi="宋体"/>
          <w:b/>
          <w:sz w:val="36"/>
          <w:szCs w:val="36"/>
        </w:rPr>
      </w:pPr>
      <w:r>
        <w:rPr>
          <w:rFonts w:hint="eastAsia" w:hAnsi="宋体"/>
          <w:b/>
          <w:sz w:val="36"/>
          <w:szCs w:val="36"/>
        </w:rPr>
        <w:t>（</w:t>
      </w:r>
      <w:r>
        <w:rPr>
          <w:rFonts w:hint="eastAsia" w:hAnsi="宋体"/>
          <w:b/>
          <w:sz w:val="32"/>
          <w:szCs w:val="32"/>
        </w:rPr>
        <w:t>征求意见稿</w:t>
      </w:r>
      <w:r>
        <w:rPr>
          <w:rFonts w:hint="eastAsia" w:hAnsi="宋体"/>
          <w:b/>
          <w:sz w:val="36"/>
          <w:szCs w:val="36"/>
        </w:rPr>
        <w:t>）</w:t>
      </w:r>
    </w:p>
    <w:p w14:paraId="08EEAC2D">
      <w:pPr>
        <w:spacing w:after="312" w:afterLines="100" w:line="480" w:lineRule="auto"/>
        <w:ind w:firstLine="723"/>
        <w:jc w:val="center"/>
        <w:rPr>
          <w:rFonts w:ascii="宋体" w:hAnsi="宋体"/>
          <w:b/>
          <w:bCs/>
          <w:sz w:val="36"/>
          <w:szCs w:val="36"/>
        </w:rPr>
      </w:pPr>
    </w:p>
    <w:p w14:paraId="474FECA0">
      <w:pPr>
        <w:ind w:firstLine="360" w:firstLineChars="100"/>
        <w:jc w:val="center"/>
        <w:rPr>
          <w:sz w:val="32"/>
          <w:szCs w:val="32"/>
        </w:rPr>
      </w:pPr>
      <w:r>
        <w:rPr>
          <w:rFonts w:hint="eastAsia"/>
          <w:sz w:val="36"/>
          <w:szCs w:val="36"/>
        </w:rPr>
        <w:t xml:space="preserve">Technical specification for </w:t>
      </w:r>
      <w:r>
        <w:rPr>
          <w:sz w:val="36"/>
          <w:szCs w:val="36"/>
        </w:rPr>
        <w:t xml:space="preserve">retaining of </w:t>
      </w:r>
      <w:r>
        <w:rPr>
          <w:rFonts w:hint="eastAsia"/>
          <w:sz w:val="36"/>
          <w:szCs w:val="36"/>
        </w:rPr>
        <w:t xml:space="preserve">press-in </w:t>
      </w:r>
      <w:r>
        <w:rPr>
          <w:sz w:val="36"/>
          <w:szCs w:val="36"/>
        </w:rPr>
        <w:t xml:space="preserve">steel </w:t>
      </w:r>
      <w:r>
        <w:rPr>
          <w:rFonts w:hint="eastAsia"/>
          <w:sz w:val="36"/>
          <w:szCs w:val="36"/>
        </w:rPr>
        <w:t>sheet pile</w:t>
      </w:r>
    </w:p>
    <w:p w14:paraId="60358B64">
      <w:pPr>
        <w:jc w:val="center"/>
        <w:rPr>
          <w:b/>
          <w:sz w:val="28"/>
          <w:szCs w:val="28"/>
        </w:rPr>
      </w:pPr>
    </w:p>
    <w:p w14:paraId="0131704C">
      <w:pPr>
        <w:jc w:val="center"/>
        <w:rPr>
          <w:b/>
          <w:sz w:val="28"/>
          <w:szCs w:val="28"/>
        </w:rPr>
      </w:pPr>
    </w:p>
    <w:p w14:paraId="60ADB57A">
      <w:pPr>
        <w:jc w:val="center"/>
        <w:rPr>
          <w:b/>
          <w:sz w:val="28"/>
          <w:szCs w:val="28"/>
        </w:rPr>
      </w:pPr>
    </w:p>
    <w:p w14:paraId="0317E710">
      <w:pPr>
        <w:jc w:val="center"/>
        <w:rPr>
          <w:b/>
          <w:sz w:val="28"/>
          <w:szCs w:val="28"/>
        </w:rPr>
      </w:pPr>
    </w:p>
    <w:p w14:paraId="4707F24E">
      <w:pPr>
        <w:jc w:val="center"/>
        <w:rPr>
          <w:b/>
          <w:sz w:val="28"/>
          <w:szCs w:val="28"/>
        </w:rPr>
      </w:pPr>
    </w:p>
    <w:p w14:paraId="16E77B99">
      <w:pPr>
        <w:jc w:val="center"/>
        <w:rPr>
          <w:b/>
          <w:sz w:val="28"/>
          <w:szCs w:val="28"/>
        </w:rPr>
      </w:pPr>
    </w:p>
    <w:p w14:paraId="497D5E38">
      <w:pPr>
        <w:jc w:val="center"/>
        <w:rPr>
          <w:b/>
          <w:sz w:val="28"/>
          <w:szCs w:val="28"/>
        </w:rPr>
      </w:pPr>
      <w:r>
        <w:rPr>
          <w:rFonts w:hint="eastAsia"/>
          <w:b/>
          <w:sz w:val="28"/>
          <w:szCs w:val="28"/>
        </w:rPr>
        <w:t>DB</w:t>
      </w:r>
      <w:r>
        <w:rPr>
          <w:b/>
          <w:sz w:val="28"/>
          <w:szCs w:val="28"/>
        </w:rPr>
        <w:t xml:space="preserve">J </w:t>
      </w:r>
      <w:r>
        <w:rPr>
          <w:rFonts w:hint="eastAsia"/>
          <w:b/>
          <w:sz w:val="28"/>
          <w:szCs w:val="28"/>
        </w:rPr>
        <w:t xml:space="preserve">/T </w:t>
      </w:r>
      <w:r>
        <w:rPr>
          <w:b/>
          <w:sz w:val="28"/>
          <w:szCs w:val="28"/>
        </w:rPr>
        <w:t>45</w:t>
      </w:r>
      <w:r>
        <w:rPr>
          <w:rFonts w:hint="eastAsia"/>
          <w:b/>
          <w:sz w:val="28"/>
          <w:szCs w:val="28"/>
        </w:rPr>
        <w:t>-xx-xx</w:t>
      </w:r>
    </w:p>
    <w:p w14:paraId="699468AD">
      <w:pPr>
        <w:ind w:firstLine="560"/>
        <w:jc w:val="center"/>
        <w:rPr>
          <w:sz w:val="28"/>
          <w:szCs w:val="28"/>
        </w:rPr>
      </w:pPr>
    </w:p>
    <w:p w14:paraId="7D80A8FC">
      <w:pPr>
        <w:adjustRightInd w:val="0"/>
        <w:snapToGrid w:val="0"/>
        <w:ind w:left="1155" w:leftChars="550" w:firstLine="560"/>
        <w:jc w:val="left"/>
        <w:rPr>
          <w:rFonts w:ascii="宋体" w:hAnsi="宋体"/>
          <w:sz w:val="28"/>
          <w:szCs w:val="24"/>
          <w:u w:val="single"/>
        </w:rPr>
      </w:pPr>
    </w:p>
    <w:p w14:paraId="4BDFBA37">
      <w:pPr>
        <w:adjustRightInd w:val="0"/>
        <w:snapToGrid w:val="0"/>
        <w:ind w:left="1155" w:leftChars="550" w:firstLine="560"/>
        <w:jc w:val="left"/>
        <w:rPr>
          <w:rFonts w:ascii="宋体" w:hAnsi="宋体"/>
          <w:sz w:val="28"/>
          <w:u w:val="single"/>
        </w:rPr>
      </w:pPr>
    </w:p>
    <w:p w14:paraId="60F7B4C2">
      <w:pPr>
        <w:adjustRightInd w:val="0"/>
        <w:snapToGrid w:val="0"/>
        <w:ind w:left="1155" w:leftChars="550" w:firstLine="560"/>
        <w:jc w:val="left"/>
        <w:rPr>
          <w:rFonts w:ascii="宋体" w:hAnsi="宋体"/>
          <w:sz w:val="28"/>
          <w:u w:val="single"/>
        </w:rPr>
      </w:pPr>
    </w:p>
    <w:p w14:paraId="19DE5C15">
      <w:pPr>
        <w:adjustRightInd w:val="0"/>
        <w:snapToGrid w:val="0"/>
        <w:ind w:left="1155" w:leftChars="550" w:firstLine="560"/>
        <w:jc w:val="left"/>
        <w:rPr>
          <w:rFonts w:ascii="宋体" w:hAnsi="宋体"/>
          <w:sz w:val="28"/>
          <w:u w:val="single"/>
        </w:rPr>
      </w:pPr>
    </w:p>
    <w:p w14:paraId="027F50CC">
      <w:pPr>
        <w:adjustRightInd w:val="0"/>
        <w:snapToGrid w:val="0"/>
        <w:ind w:left="1155" w:leftChars="550" w:firstLine="560"/>
        <w:jc w:val="left"/>
        <w:rPr>
          <w:rFonts w:ascii="宋体" w:hAnsi="宋体"/>
          <w:sz w:val="28"/>
          <w:u w:val="single"/>
        </w:rPr>
      </w:pPr>
    </w:p>
    <w:p w14:paraId="694B5A4E">
      <w:pPr>
        <w:adjustRightInd w:val="0"/>
        <w:snapToGrid w:val="0"/>
        <w:spacing w:line="360" w:lineRule="auto"/>
        <w:ind w:left="1152" w:leftChars="549" w:firstLine="523" w:firstLineChars="187"/>
        <w:rPr>
          <w:rFonts w:ascii="宋体" w:hAnsi="宋体"/>
          <w:sz w:val="28"/>
          <w:szCs w:val="28"/>
        </w:rPr>
      </w:pPr>
      <w:r>
        <w:rPr>
          <w:b/>
          <w:sz w:val="28"/>
          <w:szCs w:val="28"/>
        </w:rPr>
        <w:t>主编</w:t>
      </w:r>
      <w:r>
        <w:rPr>
          <w:rFonts w:hint="eastAsia"/>
          <w:b/>
          <w:sz w:val="28"/>
          <w:szCs w:val="28"/>
          <w:lang w:val="en-US" w:eastAsia="zh-CN"/>
        </w:rPr>
        <w:t>单位</w:t>
      </w:r>
      <w:bookmarkStart w:id="76" w:name="_GoBack"/>
      <w:bookmarkEnd w:id="76"/>
      <w:r>
        <w:rPr>
          <w:b/>
          <w:sz w:val="28"/>
          <w:szCs w:val="28"/>
        </w:rPr>
        <w:t>：</w:t>
      </w:r>
      <w:r>
        <w:rPr>
          <w:rFonts w:hint="eastAsia" w:ascii="宋体" w:hAnsi="宋体"/>
          <w:sz w:val="28"/>
          <w:szCs w:val="28"/>
        </w:rPr>
        <w:t>广西瑞宇技术有限公司</w:t>
      </w:r>
    </w:p>
    <w:p w14:paraId="0AD44506">
      <w:pPr>
        <w:adjustRightInd w:val="0"/>
        <w:snapToGrid w:val="0"/>
        <w:spacing w:line="360" w:lineRule="auto"/>
        <w:ind w:left="1152" w:leftChars="549" w:firstLine="523" w:firstLineChars="187"/>
        <w:rPr>
          <w:rFonts w:ascii="宋体" w:hAnsi="宋体"/>
          <w:sz w:val="28"/>
          <w:szCs w:val="28"/>
        </w:rPr>
      </w:pPr>
      <w:r>
        <w:rPr>
          <w:b/>
          <w:sz w:val="28"/>
          <w:szCs w:val="28"/>
        </w:rPr>
        <w:t xml:space="preserve">          </w:t>
      </w:r>
      <w:r>
        <w:rPr>
          <w:rFonts w:hint="eastAsia" w:ascii="宋体" w:hAnsi="宋体"/>
          <w:sz w:val="28"/>
          <w:szCs w:val="28"/>
        </w:rPr>
        <w:t>广西建工第一建筑工程集团有限公司</w:t>
      </w:r>
      <w:r>
        <w:rPr>
          <w:rFonts w:ascii="宋体" w:hAnsi="宋体"/>
          <w:sz w:val="28"/>
          <w:szCs w:val="28"/>
        </w:rPr>
        <w:br w:type="textWrapping"/>
      </w:r>
      <w:r>
        <w:rPr>
          <w:rFonts w:ascii="宋体" w:hAnsi="宋体"/>
          <w:sz w:val="28"/>
          <w:szCs w:val="28"/>
        </w:rPr>
        <w:t xml:space="preserve">              </w:t>
      </w:r>
      <w:r>
        <w:rPr>
          <w:rFonts w:hint="eastAsia" w:ascii="宋体" w:hAnsi="宋体"/>
          <w:sz w:val="28"/>
          <w:szCs w:val="28"/>
        </w:rPr>
        <w:t>广西大学</w:t>
      </w:r>
    </w:p>
    <w:p w14:paraId="0C68A3C4">
      <w:pPr>
        <w:adjustRightInd w:val="0"/>
        <w:snapToGrid w:val="0"/>
        <w:spacing w:line="360" w:lineRule="auto"/>
        <w:ind w:left="1152" w:leftChars="549" w:firstLine="523" w:firstLineChars="187"/>
        <w:rPr>
          <w:sz w:val="28"/>
          <w:szCs w:val="28"/>
        </w:rPr>
      </w:pPr>
      <w:r>
        <w:rPr>
          <w:rFonts w:hint="eastAsia"/>
          <w:b/>
          <w:sz w:val="28"/>
          <w:szCs w:val="28"/>
        </w:rPr>
        <w:t>批准部门：</w:t>
      </w:r>
      <w:r>
        <w:rPr>
          <w:rFonts w:hint="eastAsia" w:ascii="宋体" w:hAnsi="宋体"/>
          <w:sz w:val="28"/>
          <w:szCs w:val="28"/>
        </w:rPr>
        <w:t>广西壮族自治区住房和城乡建设厅</w:t>
      </w:r>
    </w:p>
    <w:p w14:paraId="255F4C9A">
      <w:pPr>
        <w:adjustRightInd w:val="0"/>
        <w:snapToGrid w:val="0"/>
        <w:spacing w:line="360" w:lineRule="auto"/>
        <w:ind w:left="1152" w:leftChars="549" w:firstLine="523" w:firstLineChars="187"/>
        <w:rPr>
          <w:sz w:val="28"/>
          <w:szCs w:val="28"/>
        </w:rPr>
      </w:pPr>
      <w:r>
        <w:rPr>
          <w:rFonts w:hint="eastAsia"/>
          <w:b/>
          <w:sz w:val="28"/>
          <w:szCs w:val="28"/>
        </w:rPr>
        <w:t>施行日期：</w:t>
      </w:r>
      <w:r>
        <w:rPr>
          <w:sz w:val="28"/>
          <w:szCs w:val="28"/>
        </w:rPr>
        <w:t>20XX年X月X日</w:t>
      </w:r>
    </w:p>
    <w:p w14:paraId="540A84D7">
      <w:pPr>
        <w:adjustRightInd w:val="0"/>
        <w:snapToGrid w:val="0"/>
        <w:ind w:firstLine="562"/>
        <w:jc w:val="center"/>
        <w:rPr>
          <w:b/>
          <w:kern w:val="0"/>
          <w:sz w:val="28"/>
          <w:szCs w:val="28"/>
        </w:rPr>
      </w:pPr>
    </w:p>
    <w:p w14:paraId="3296FE3A">
      <w:pPr>
        <w:adjustRightInd w:val="0"/>
        <w:snapToGrid w:val="0"/>
        <w:ind w:firstLine="562"/>
        <w:jc w:val="center"/>
        <w:rPr>
          <w:b/>
          <w:kern w:val="0"/>
          <w:sz w:val="28"/>
          <w:szCs w:val="28"/>
        </w:rPr>
      </w:pPr>
    </w:p>
    <w:p w14:paraId="65A3D3E8">
      <w:pPr>
        <w:adjustRightInd w:val="0"/>
        <w:snapToGrid w:val="0"/>
        <w:ind w:firstLine="562"/>
        <w:jc w:val="center"/>
        <w:rPr>
          <w:b/>
          <w:kern w:val="0"/>
          <w:sz w:val="28"/>
          <w:szCs w:val="28"/>
        </w:rPr>
      </w:pPr>
    </w:p>
    <w:p w14:paraId="59054724">
      <w:pPr>
        <w:adjustRightInd w:val="0"/>
        <w:snapToGrid w:val="0"/>
        <w:ind w:firstLine="562"/>
        <w:jc w:val="center"/>
        <w:rPr>
          <w:b/>
          <w:kern w:val="0"/>
          <w:sz w:val="28"/>
          <w:szCs w:val="28"/>
        </w:rPr>
      </w:pPr>
    </w:p>
    <w:p w14:paraId="3A872471">
      <w:pPr>
        <w:adjustRightInd w:val="0"/>
        <w:snapToGrid w:val="0"/>
        <w:ind w:firstLine="562"/>
        <w:jc w:val="center"/>
        <w:rPr>
          <w:b/>
          <w:kern w:val="0"/>
          <w:sz w:val="28"/>
          <w:szCs w:val="28"/>
        </w:rPr>
      </w:pPr>
    </w:p>
    <w:p w14:paraId="6D8DE042">
      <w:pPr>
        <w:adjustRightInd w:val="0"/>
        <w:snapToGrid w:val="0"/>
        <w:ind w:firstLine="562"/>
        <w:jc w:val="center"/>
        <w:rPr>
          <w:b/>
          <w:kern w:val="0"/>
          <w:sz w:val="28"/>
          <w:szCs w:val="28"/>
        </w:rPr>
      </w:pPr>
      <w:r>
        <w:rPr>
          <w:rFonts w:hint="eastAsia"/>
          <w:b/>
          <w:kern w:val="0"/>
          <w:sz w:val="28"/>
          <w:szCs w:val="28"/>
        </w:rPr>
        <w:t>2025</w:t>
      </w:r>
      <w:r>
        <w:rPr>
          <w:b/>
          <w:kern w:val="0"/>
          <w:sz w:val="28"/>
          <w:szCs w:val="28"/>
        </w:rPr>
        <w:t xml:space="preserve">  </w:t>
      </w:r>
      <w:r>
        <w:rPr>
          <w:rFonts w:hint="eastAsia"/>
          <w:b/>
          <w:kern w:val="0"/>
          <w:sz w:val="28"/>
          <w:szCs w:val="28"/>
        </w:rPr>
        <w:t xml:space="preserve"> 广西</w:t>
      </w:r>
    </w:p>
    <w:p w14:paraId="76E142AD">
      <w:pPr>
        <w:adjustRightInd w:val="0"/>
        <w:snapToGrid w:val="0"/>
        <w:ind w:firstLine="562"/>
        <w:jc w:val="center"/>
        <w:rPr>
          <w:b/>
          <w:kern w:val="0"/>
          <w:sz w:val="28"/>
          <w:szCs w:val="28"/>
        </w:rPr>
      </w:pPr>
    </w:p>
    <w:p w14:paraId="3AC7ED0B">
      <w:pPr>
        <w:spacing w:line="360" w:lineRule="auto"/>
        <w:jc w:val="center"/>
        <w:rPr>
          <w:rFonts w:ascii="黑体" w:hAnsi="黑体" w:eastAsia="黑体"/>
          <w:sz w:val="32"/>
          <w:szCs w:val="32"/>
        </w:rPr>
        <w:sectPr>
          <w:footerReference r:id="rId8" w:type="default"/>
          <w:footerReference r:id="rId9" w:type="even"/>
          <w:pgSz w:w="11906" w:h="16838"/>
          <w:pgMar w:top="1134" w:right="1134" w:bottom="1134" w:left="1134" w:header="851" w:footer="617" w:gutter="0"/>
          <w:pgNumType w:start="1"/>
          <w:cols w:space="720" w:num="1"/>
          <w:docGrid w:type="linesAndChars" w:linePitch="312" w:charSpace="0"/>
        </w:sectPr>
      </w:pPr>
      <w:bookmarkStart w:id="0" w:name="_Toc6255389"/>
    </w:p>
    <w:p w14:paraId="22DDA520">
      <w:pPr>
        <w:spacing w:line="360" w:lineRule="auto"/>
        <w:jc w:val="center"/>
        <w:rPr>
          <w:rFonts w:ascii="黑体" w:hAnsi="黑体" w:eastAsia="黑体"/>
          <w:sz w:val="32"/>
          <w:szCs w:val="32"/>
        </w:rPr>
      </w:pPr>
      <w:r>
        <w:rPr>
          <w:rFonts w:hint="eastAsia" w:ascii="黑体" w:hAnsi="黑体" w:eastAsia="黑体"/>
          <w:sz w:val="32"/>
          <w:szCs w:val="32"/>
        </w:rPr>
        <w:t>前   言</w:t>
      </w:r>
      <w:bookmarkEnd w:id="0"/>
    </w:p>
    <w:p w14:paraId="2C148635">
      <w:pPr>
        <w:spacing w:line="500" w:lineRule="exact"/>
        <w:ind w:firstLine="480" w:firstLineChars="200"/>
        <w:jc w:val="left"/>
        <w:rPr>
          <w:kern w:val="0"/>
          <w:sz w:val="24"/>
        </w:rPr>
      </w:pPr>
      <w:r>
        <w:rPr>
          <w:rFonts w:hint="eastAsia"/>
          <w:kern w:val="0"/>
          <w:sz w:val="24"/>
        </w:rPr>
        <w:t>根据广西壮族自治区住房和城乡建设厅《关于下达2024</w:t>
      </w:r>
      <w:r>
        <w:rPr>
          <w:kern w:val="0"/>
          <w:sz w:val="24"/>
        </w:rPr>
        <w:t>年度</w:t>
      </w:r>
      <w:r>
        <w:rPr>
          <w:rFonts w:hint="eastAsia"/>
          <w:kern w:val="0"/>
          <w:sz w:val="24"/>
        </w:rPr>
        <w:t>全区</w:t>
      </w:r>
      <w:r>
        <w:rPr>
          <w:kern w:val="0"/>
          <w:sz w:val="24"/>
        </w:rPr>
        <w:t>工程建设地方标准</w:t>
      </w:r>
      <w:r>
        <w:rPr>
          <w:rFonts w:hint="eastAsia"/>
          <w:kern w:val="0"/>
          <w:sz w:val="24"/>
        </w:rPr>
        <w:t>制（</w:t>
      </w:r>
      <w:r>
        <w:rPr>
          <w:kern w:val="0"/>
          <w:sz w:val="24"/>
        </w:rPr>
        <w:t>修</w:t>
      </w:r>
      <w:r>
        <w:rPr>
          <w:rFonts w:hint="eastAsia"/>
          <w:kern w:val="0"/>
          <w:sz w:val="24"/>
        </w:rPr>
        <w:t>）订项目计划的通知》（桂建标</w:t>
      </w:r>
      <w:r>
        <w:rPr>
          <w:rFonts w:hint="eastAsia" w:ascii="宋体" w:hAnsi="宋体"/>
          <w:kern w:val="0"/>
          <w:sz w:val="24"/>
        </w:rPr>
        <w:t>﹝</w:t>
      </w:r>
      <w:r>
        <w:rPr>
          <w:rFonts w:hint="eastAsia"/>
          <w:kern w:val="0"/>
          <w:sz w:val="24"/>
        </w:rPr>
        <w:t>2024</w:t>
      </w:r>
      <w:r>
        <w:rPr>
          <w:rFonts w:hint="eastAsia" w:ascii="宋体" w:hAnsi="宋体"/>
          <w:kern w:val="0"/>
          <w:sz w:val="24"/>
        </w:rPr>
        <w:t>﹞</w:t>
      </w:r>
      <w:r>
        <w:rPr>
          <w:rFonts w:hint="eastAsia"/>
          <w:kern w:val="0"/>
          <w:sz w:val="24"/>
        </w:rPr>
        <w:t>4号）文的要求</w:t>
      </w:r>
      <w:r>
        <w:rPr>
          <w:kern w:val="0"/>
          <w:sz w:val="24"/>
        </w:rPr>
        <w:t>，</w:t>
      </w:r>
      <w:r>
        <w:rPr>
          <w:rFonts w:hint="eastAsia"/>
          <w:kern w:val="0"/>
          <w:sz w:val="24"/>
        </w:rPr>
        <w:t>广西瑞宇技术有限公司、广西建工第一建筑工程集团有限公司</w:t>
      </w:r>
      <w:r>
        <w:rPr>
          <w:kern w:val="0"/>
          <w:sz w:val="24"/>
        </w:rPr>
        <w:t>和广西大学会同广西区内外勘察</w:t>
      </w:r>
      <w:r>
        <w:rPr>
          <w:rFonts w:hint="eastAsia"/>
          <w:kern w:val="0"/>
          <w:sz w:val="24"/>
        </w:rPr>
        <w:t>、</w:t>
      </w:r>
      <w:r>
        <w:rPr>
          <w:kern w:val="0"/>
          <w:sz w:val="24"/>
        </w:rPr>
        <w:t>设计</w:t>
      </w:r>
      <w:r>
        <w:rPr>
          <w:rFonts w:hint="eastAsia"/>
          <w:kern w:val="0"/>
          <w:sz w:val="24"/>
        </w:rPr>
        <w:t>、</w:t>
      </w:r>
      <w:r>
        <w:rPr>
          <w:kern w:val="0"/>
          <w:sz w:val="24"/>
        </w:rPr>
        <w:t>施工</w:t>
      </w:r>
      <w:r>
        <w:rPr>
          <w:rFonts w:hint="eastAsia"/>
          <w:kern w:val="0"/>
          <w:sz w:val="24"/>
        </w:rPr>
        <w:t>、</w:t>
      </w:r>
      <w:r>
        <w:rPr>
          <w:kern w:val="0"/>
          <w:sz w:val="24"/>
        </w:rPr>
        <w:t>检测等单位组成</w:t>
      </w:r>
      <w:r>
        <w:rPr>
          <w:rFonts w:hint="eastAsia"/>
          <w:kern w:val="0"/>
          <w:sz w:val="24"/>
        </w:rPr>
        <w:t>规范编制组，经过广泛调研，认真总结广西地区静压钢板桩支护技术现状，借鉴其它地区的实践经验，参考国内外相关标准，并在广泛征求意见的基础上，制定了本规程。</w:t>
      </w:r>
    </w:p>
    <w:p w14:paraId="2A6D60F8">
      <w:pPr>
        <w:spacing w:line="360" w:lineRule="auto"/>
        <w:ind w:firstLine="480" w:firstLineChars="200"/>
        <w:rPr>
          <w:kern w:val="0"/>
          <w:sz w:val="24"/>
        </w:rPr>
      </w:pPr>
      <w:r>
        <w:rPr>
          <w:kern w:val="0"/>
          <w:sz w:val="24"/>
        </w:rPr>
        <w:t>本</w:t>
      </w:r>
      <w:r>
        <w:rPr>
          <w:rFonts w:hint="eastAsia"/>
          <w:kern w:val="0"/>
          <w:sz w:val="24"/>
        </w:rPr>
        <w:t>规程</w:t>
      </w:r>
      <w:r>
        <w:rPr>
          <w:kern w:val="0"/>
          <w:sz w:val="24"/>
        </w:rPr>
        <w:t>主要内容</w:t>
      </w:r>
      <w:r>
        <w:rPr>
          <w:rFonts w:hint="eastAsia"/>
          <w:kern w:val="0"/>
          <w:sz w:val="24"/>
        </w:rPr>
        <w:t>包括：</w:t>
      </w:r>
      <w:r>
        <w:rPr>
          <w:kern w:val="0"/>
          <w:sz w:val="24"/>
        </w:rPr>
        <w:t>总则</w:t>
      </w:r>
      <w:r>
        <w:rPr>
          <w:rFonts w:hint="eastAsia"/>
          <w:kern w:val="0"/>
          <w:sz w:val="24"/>
        </w:rPr>
        <w:t>；</w:t>
      </w:r>
      <w:r>
        <w:rPr>
          <w:kern w:val="0"/>
          <w:sz w:val="24"/>
        </w:rPr>
        <w:t>术语</w:t>
      </w:r>
      <w:r>
        <w:rPr>
          <w:rFonts w:hint="eastAsia"/>
          <w:kern w:val="0"/>
          <w:sz w:val="24"/>
        </w:rPr>
        <w:t>与符号；</w:t>
      </w:r>
      <w:r>
        <w:rPr>
          <w:kern w:val="0"/>
          <w:sz w:val="24"/>
        </w:rPr>
        <w:t>基本规定</w:t>
      </w:r>
      <w:r>
        <w:rPr>
          <w:rFonts w:hint="eastAsia"/>
          <w:kern w:val="0"/>
          <w:sz w:val="24"/>
        </w:rPr>
        <w:t>；勘察与环境调查；支护设计；施工；检测与验收；开挖与监测；附录</w:t>
      </w:r>
      <w:r>
        <w:rPr>
          <w:kern w:val="0"/>
          <w:sz w:val="24"/>
        </w:rPr>
        <w:t>。</w:t>
      </w:r>
    </w:p>
    <w:p w14:paraId="412DC909">
      <w:pPr>
        <w:spacing w:line="360" w:lineRule="auto"/>
        <w:ind w:firstLine="480" w:firstLineChars="200"/>
        <w:rPr>
          <w:kern w:val="0"/>
          <w:sz w:val="24"/>
        </w:rPr>
      </w:pPr>
      <w:r>
        <w:rPr>
          <w:kern w:val="0"/>
          <w:sz w:val="24"/>
        </w:rPr>
        <w:t>本</w:t>
      </w:r>
      <w:r>
        <w:rPr>
          <w:rFonts w:hint="eastAsia"/>
          <w:kern w:val="0"/>
          <w:sz w:val="24"/>
        </w:rPr>
        <w:t>规程</w:t>
      </w:r>
      <w:r>
        <w:rPr>
          <w:kern w:val="0"/>
          <w:sz w:val="24"/>
        </w:rPr>
        <w:t>由</w:t>
      </w:r>
      <w:r>
        <w:rPr>
          <w:rFonts w:hint="eastAsia"/>
          <w:kern w:val="0"/>
          <w:sz w:val="24"/>
        </w:rPr>
        <w:t>广西壮族自治区住房和城乡建设厅负责</w:t>
      </w:r>
      <w:r>
        <w:rPr>
          <w:kern w:val="0"/>
          <w:sz w:val="24"/>
        </w:rPr>
        <w:t>管理。</w:t>
      </w:r>
    </w:p>
    <w:p w14:paraId="148627ED">
      <w:pPr>
        <w:spacing w:line="360" w:lineRule="auto"/>
        <w:ind w:firstLine="480" w:firstLineChars="200"/>
        <w:rPr>
          <w:kern w:val="0"/>
          <w:sz w:val="24"/>
        </w:rPr>
      </w:pPr>
    </w:p>
    <w:p w14:paraId="79B677C6">
      <w:pPr>
        <w:spacing w:line="360" w:lineRule="auto"/>
        <w:ind w:firstLine="960" w:firstLineChars="400"/>
        <w:rPr>
          <w:rFonts w:hAnsi="宋体"/>
          <w:sz w:val="24"/>
        </w:rPr>
      </w:pPr>
      <w:r>
        <w:rPr>
          <w:rFonts w:hint="eastAsia" w:ascii="黑体" w:hAnsi="黑体" w:eastAsia="黑体"/>
          <w:sz w:val="24"/>
        </w:rPr>
        <w:t>本规程起草</w:t>
      </w:r>
      <w:r>
        <w:rPr>
          <w:rFonts w:ascii="黑体" w:hAnsi="黑体" w:eastAsia="黑体"/>
          <w:sz w:val="24"/>
        </w:rPr>
        <w:t>单位：</w:t>
      </w:r>
      <w:r>
        <w:rPr>
          <w:rFonts w:hint="eastAsia" w:hAnsi="宋体"/>
          <w:sz w:val="24"/>
        </w:rPr>
        <w:t>广西瑞宇技术有限公司</w:t>
      </w:r>
    </w:p>
    <w:p w14:paraId="681DEE79">
      <w:pPr>
        <w:spacing w:line="360" w:lineRule="auto"/>
        <w:ind w:firstLine="2640" w:firstLineChars="1100"/>
        <w:rPr>
          <w:rFonts w:hAnsi="宋体"/>
          <w:sz w:val="24"/>
        </w:rPr>
      </w:pPr>
      <w:r>
        <w:rPr>
          <w:rFonts w:hint="eastAsia" w:hAnsi="宋体"/>
          <w:sz w:val="24"/>
        </w:rPr>
        <w:t>（广西南宁市友谊路48-16号，邮编：</w:t>
      </w:r>
      <w:r>
        <w:rPr>
          <w:rFonts w:hAnsi="宋体"/>
          <w:sz w:val="24"/>
        </w:rPr>
        <w:t>530032</w:t>
      </w:r>
      <w:r>
        <w:rPr>
          <w:rFonts w:hint="eastAsia" w:hAnsi="宋体"/>
          <w:sz w:val="24"/>
        </w:rPr>
        <w:t>）</w:t>
      </w:r>
    </w:p>
    <w:p w14:paraId="5F52886C">
      <w:pPr>
        <w:spacing w:line="360" w:lineRule="auto"/>
        <w:ind w:firstLine="960" w:firstLineChars="400"/>
        <w:rPr>
          <w:rFonts w:hAnsi="宋体"/>
          <w:sz w:val="24"/>
        </w:rPr>
      </w:pPr>
      <w:r>
        <w:rPr>
          <w:rFonts w:hint="eastAsia" w:hAnsi="宋体"/>
          <w:sz w:val="24"/>
        </w:rPr>
        <w:t xml:space="preserve"> </w:t>
      </w:r>
      <w:r>
        <w:rPr>
          <w:rFonts w:hAnsi="宋体"/>
          <w:sz w:val="24"/>
        </w:rPr>
        <w:t xml:space="preserve">               </w:t>
      </w:r>
      <w:r>
        <w:rPr>
          <w:rFonts w:hint="eastAsia" w:hAnsi="宋体"/>
          <w:sz w:val="24"/>
        </w:rPr>
        <w:t>广西建工第一建筑工程集团有限公司</w:t>
      </w:r>
    </w:p>
    <w:p w14:paraId="7C4889B9">
      <w:pPr>
        <w:widowControl/>
        <w:spacing w:line="360" w:lineRule="auto"/>
        <w:ind w:firstLine="2880" w:firstLineChars="1200"/>
        <w:rPr>
          <w:rFonts w:ascii="宋体" w:hAnsi="宋体" w:cs="宋体"/>
          <w:kern w:val="0"/>
          <w:sz w:val="24"/>
          <w:szCs w:val="24"/>
        </w:rPr>
      </w:pPr>
      <w:r>
        <w:rPr>
          <w:rFonts w:hint="eastAsia" w:ascii="宋体" w:hAnsi="宋体" w:cs="宋体"/>
          <w:kern w:val="0"/>
          <w:sz w:val="24"/>
          <w:szCs w:val="24"/>
        </w:rPr>
        <w:t>广西大学</w:t>
      </w:r>
    </w:p>
    <w:p w14:paraId="05D86D08">
      <w:pPr>
        <w:widowControl/>
        <w:spacing w:line="360" w:lineRule="auto"/>
        <w:ind w:left="3060" w:leftChars="200" w:hanging="2640" w:hangingChars="1100"/>
        <w:jc w:val="left"/>
        <w:rPr>
          <w:rFonts w:ascii="黑体" w:hAnsi="黑体" w:eastAsia="黑体"/>
          <w:sz w:val="24"/>
        </w:rPr>
      </w:pPr>
      <w:r>
        <w:rPr>
          <w:rFonts w:hint="eastAsia" w:ascii="黑体" w:hAnsi="黑体" w:eastAsia="黑体"/>
          <w:sz w:val="24"/>
        </w:rPr>
        <w:t xml:space="preserve"> </w:t>
      </w:r>
      <w:r>
        <w:rPr>
          <w:rFonts w:ascii="黑体" w:hAnsi="黑体" w:eastAsia="黑体"/>
          <w:sz w:val="24"/>
        </w:rPr>
        <w:t xml:space="preserve">                   ……</w:t>
      </w:r>
    </w:p>
    <w:p w14:paraId="5ADB71E5">
      <w:pPr>
        <w:widowControl/>
        <w:spacing w:line="360" w:lineRule="auto"/>
        <w:ind w:left="3060" w:leftChars="200" w:hanging="2640" w:hangingChars="1100"/>
        <w:jc w:val="left"/>
        <w:rPr>
          <w:rFonts w:ascii="宋体" w:hAnsi="宋体" w:cs="宋体"/>
          <w:kern w:val="0"/>
          <w:sz w:val="24"/>
          <w:szCs w:val="24"/>
        </w:rPr>
      </w:pPr>
      <w:r>
        <w:rPr>
          <w:rFonts w:hint="eastAsia" w:ascii="黑体" w:hAnsi="黑体" w:eastAsia="黑体"/>
          <w:sz w:val="24"/>
        </w:rPr>
        <w:t>本规程</w:t>
      </w:r>
      <w:r>
        <w:rPr>
          <w:rFonts w:ascii="黑体" w:hAnsi="黑体" w:eastAsia="黑体"/>
          <w:sz w:val="24"/>
        </w:rPr>
        <w:t>主要起草人员：</w:t>
      </w:r>
      <w:r>
        <w:rPr>
          <w:rFonts w:hint="eastAsia" w:ascii="黑体" w:hAnsi="黑体" w:eastAsia="黑体"/>
          <w:sz w:val="24"/>
        </w:rPr>
        <w:t xml:space="preserve"> </w:t>
      </w:r>
      <w:r>
        <w:rPr>
          <w:rFonts w:ascii="黑体" w:hAnsi="黑体" w:eastAsia="黑体"/>
          <w:sz w:val="24"/>
        </w:rPr>
        <w:t xml:space="preserve"> </w:t>
      </w:r>
    </w:p>
    <w:p w14:paraId="2FAD3B8E">
      <w:pPr>
        <w:widowControl/>
        <w:spacing w:line="360" w:lineRule="auto"/>
        <w:ind w:left="2730" w:leftChars="1300" w:firstLine="240" w:firstLineChars="100"/>
        <w:jc w:val="left"/>
        <w:rPr>
          <w:rFonts w:ascii="宋体" w:hAnsi="宋体"/>
          <w:sz w:val="24"/>
        </w:rPr>
      </w:pPr>
    </w:p>
    <w:p w14:paraId="23D27680">
      <w:pPr>
        <w:spacing w:line="360" w:lineRule="auto"/>
        <w:ind w:firstLine="480" w:firstLineChars="200"/>
        <w:rPr>
          <w:rFonts w:ascii="宋体" w:hAnsi="宋体"/>
          <w:sz w:val="24"/>
        </w:rPr>
      </w:pPr>
      <w:r>
        <w:rPr>
          <w:rFonts w:hint="eastAsia" w:ascii="黑体" w:hAnsi="黑体" w:eastAsia="黑体"/>
          <w:sz w:val="24"/>
        </w:rPr>
        <w:t>本规程</w:t>
      </w:r>
      <w:r>
        <w:rPr>
          <w:rFonts w:ascii="黑体" w:hAnsi="黑体" w:eastAsia="黑体"/>
          <w:sz w:val="24"/>
        </w:rPr>
        <w:t>主要审查人员：</w:t>
      </w:r>
      <w:r>
        <w:rPr>
          <w:rFonts w:hint="eastAsia" w:ascii="黑体" w:hAnsi="黑体" w:eastAsia="黑体"/>
          <w:sz w:val="24"/>
        </w:rPr>
        <w:t xml:space="preserve">  </w:t>
      </w:r>
      <w:r>
        <w:rPr>
          <w:rFonts w:ascii="宋体" w:hAnsi="宋体"/>
          <w:sz w:val="24"/>
        </w:rPr>
        <w:t xml:space="preserve"> </w:t>
      </w:r>
    </w:p>
    <w:p w14:paraId="5C18E404">
      <w:pPr>
        <w:spacing w:line="360" w:lineRule="auto"/>
        <w:ind w:firstLine="480" w:firstLineChars="200"/>
        <w:rPr>
          <w:rFonts w:ascii="宋体" w:hAnsi="宋体"/>
          <w:sz w:val="24"/>
        </w:rPr>
      </w:pPr>
    </w:p>
    <w:p w14:paraId="41F04D49">
      <w:pPr>
        <w:spacing w:line="360" w:lineRule="auto"/>
        <w:ind w:firstLine="480" w:firstLineChars="200"/>
        <w:rPr>
          <w:rFonts w:ascii="宋体" w:hAnsi="宋体"/>
          <w:sz w:val="24"/>
        </w:rPr>
      </w:pPr>
    </w:p>
    <w:p w14:paraId="3AD1CF93">
      <w:pPr>
        <w:spacing w:line="360" w:lineRule="auto"/>
        <w:ind w:firstLine="480" w:firstLineChars="200"/>
        <w:rPr>
          <w:rFonts w:ascii="宋体" w:hAnsi="宋体"/>
          <w:sz w:val="24"/>
        </w:rPr>
      </w:pPr>
    </w:p>
    <w:p w14:paraId="1E14FD04">
      <w:pPr>
        <w:spacing w:line="360" w:lineRule="auto"/>
        <w:ind w:firstLine="480" w:firstLineChars="200"/>
        <w:rPr>
          <w:rFonts w:ascii="宋体" w:hAnsi="宋体"/>
          <w:sz w:val="24"/>
        </w:rPr>
        <w:sectPr>
          <w:footerReference r:id="rId10" w:type="default"/>
          <w:pgSz w:w="11906" w:h="16838"/>
          <w:pgMar w:top="1134" w:right="1134" w:bottom="1134" w:left="1134" w:header="851" w:footer="617" w:gutter="0"/>
          <w:pgNumType w:start="1"/>
          <w:cols w:space="720" w:num="1"/>
          <w:docGrid w:type="linesAndChars" w:linePitch="312" w:charSpace="0"/>
        </w:sectPr>
      </w:pPr>
    </w:p>
    <w:p w14:paraId="263B484A">
      <w:pPr>
        <w:pStyle w:val="33"/>
        <w:jc w:val="center"/>
        <w:rPr>
          <w:rFonts w:ascii="Times New Roman" w:hAnsi="Times New Roman"/>
          <w:b/>
          <w:color w:val="auto"/>
        </w:rPr>
      </w:pPr>
      <w:r>
        <w:rPr>
          <w:rFonts w:hint="eastAsia" w:ascii="Times New Roman" w:hAnsi="Times New Roman"/>
          <w:b/>
          <w:color w:val="auto"/>
          <w:lang w:val="zh-CN"/>
        </w:rPr>
        <w:t xml:space="preserve">目 </w:t>
      </w:r>
      <w:r>
        <w:rPr>
          <w:rFonts w:ascii="Times New Roman" w:hAnsi="Times New Roman"/>
          <w:b/>
          <w:color w:val="auto"/>
          <w:lang w:val="zh-CN"/>
        </w:rPr>
        <w:t xml:space="preserve"> </w:t>
      </w:r>
      <w:r>
        <w:rPr>
          <w:rFonts w:hint="eastAsia" w:ascii="Times New Roman" w:hAnsi="Times New Roman"/>
          <w:b/>
          <w:color w:val="auto"/>
        </w:rPr>
        <w:t>次</w:t>
      </w:r>
    </w:p>
    <w:p w14:paraId="4B50FD73">
      <w:pPr>
        <w:pStyle w:val="13"/>
        <w:tabs>
          <w:tab w:val="right" w:leader="dot" w:pos="8306"/>
        </w:tabs>
      </w:pPr>
      <w:bookmarkStart w:id="1" w:name="_Hlk203044874"/>
      <w:r>
        <w:rPr>
          <w:rStyle w:val="22"/>
          <w:rFonts w:hint="eastAsia"/>
        </w:rPr>
        <w:fldChar w:fldCharType="begin"/>
      </w:r>
      <w:r>
        <w:rPr>
          <w:rStyle w:val="22"/>
          <w:rFonts w:hint="eastAsia"/>
        </w:rPr>
        <w:instrText xml:space="preserve">TOC \o "1-2" \h \u </w:instrText>
      </w:r>
      <w:r>
        <w:rPr>
          <w:rStyle w:val="22"/>
          <w:rFonts w:hint="eastAsia"/>
        </w:rPr>
        <w:fldChar w:fldCharType="separate"/>
      </w:r>
      <w:r>
        <w:fldChar w:fldCharType="begin"/>
      </w:r>
      <w:r>
        <w:instrText xml:space="preserve"> HYPERLINK \l "_Toc6204" </w:instrText>
      </w:r>
      <w:r>
        <w:fldChar w:fldCharType="separate"/>
      </w:r>
      <w:r>
        <w:rPr>
          <w:rFonts w:hint="eastAsia"/>
        </w:rPr>
        <w:t>1  总  则</w:t>
      </w:r>
      <w:r>
        <w:tab/>
      </w:r>
      <w:r>
        <w:fldChar w:fldCharType="begin"/>
      </w:r>
      <w:r>
        <w:instrText xml:space="preserve"> PAGEREF _Toc6204 \h </w:instrText>
      </w:r>
      <w:r>
        <w:fldChar w:fldCharType="separate"/>
      </w:r>
      <w:r>
        <w:t>1</w:t>
      </w:r>
      <w:r>
        <w:fldChar w:fldCharType="end"/>
      </w:r>
      <w:r>
        <w:fldChar w:fldCharType="end"/>
      </w:r>
    </w:p>
    <w:p w14:paraId="7D17F1F3">
      <w:pPr>
        <w:pStyle w:val="13"/>
        <w:tabs>
          <w:tab w:val="right" w:leader="dot" w:pos="8306"/>
        </w:tabs>
      </w:pPr>
      <w:r>
        <w:fldChar w:fldCharType="begin"/>
      </w:r>
      <w:r>
        <w:instrText xml:space="preserve"> HYPERLINK \l "_Toc17920" </w:instrText>
      </w:r>
      <w:r>
        <w:fldChar w:fldCharType="separate"/>
      </w:r>
      <w:r>
        <w:rPr>
          <w:rFonts w:hint="eastAsia"/>
        </w:rPr>
        <w:t>2  术语与符号</w:t>
      </w:r>
      <w:r>
        <w:tab/>
      </w:r>
      <w:r>
        <w:fldChar w:fldCharType="begin"/>
      </w:r>
      <w:r>
        <w:instrText xml:space="preserve"> PAGEREF _Toc17920 \h </w:instrText>
      </w:r>
      <w:r>
        <w:fldChar w:fldCharType="separate"/>
      </w:r>
      <w:r>
        <w:t>2</w:t>
      </w:r>
      <w:r>
        <w:fldChar w:fldCharType="end"/>
      </w:r>
      <w:r>
        <w:fldChar w:fldCharType="end"/>
      </w:r>
    </w:p>
    <w:p w14:paraId="1AA9FAEE">
      <w:pPr>
        <w:pStyle w:val="14"/>
        <w:tabs>
          <w:tab w:val="right" w:leader="dot" w:pos="8306"/>
        </w:tabs>
      </w:pPr>
      <w:r>
        <w:fldChar w:fldCharType="begin"/>
      </w:r>
      <w:r>
        <w:instrText xml:space="preserve"> HYPERLINK \l "_Toc7404" </w:instrText>
      </w:r>
      <w:r>
        <w:fldChar w:fldCharType="separate"/>
      </w:r>
      <w:r>
        <w:rPr>
          <w:rFonts w:hint="eastAsia"/>
        </w:rPr>
        <w:t>2.1  术语</w:t>
      </w:r>
      <w:r>
        <w:tab/>
      </w:r>
      <w:r>
        <w:fldChar w:fldCharType="begin"/>
      </w:r>
      <w:r>
        <w:instrText xml:space="preserve"> PAGEREF _Toc7404 \h </w:instrText>
      </w:r>
      <w:r>
        <w:fldChar w:fldCharType="separate"/>
      </w:r>
      <w:r>
        <w:t>2</w:t>
      </w:r>
      <w:r>
        <w:fldChar w:fldCharType="end"/>
      </w:r>
      <w:r>
        <w:fldChar w:fldCharType="end"/>
      </w:r>
    </w:p>
    <w:p w14:paraId="060C357C">
      <w:pPr>
        <w:pStyle w:val="14"/>
        <w:tabs>
          <w:tab w:val="right" w:leader="dot" w:pos="8306"/>
        </w:tabs>
      </w:pPr>
      <w:r>
        <w:fldChar w:fldCharType="begin"/>
      </w:r>
      <w:r>
        <w:instrText xml:space="preserve"> HYPERLINK \l "_Toc29102" </w:instrText>
      </w:r>
      <w:r>
        <w:fldChar w:fldCharType="separate"/>
      </w:r>
      <w:r>
        <w:rPr>
          <w:rFonts w:hint="eastAsia"/>
        </w:rPr>
        <w:t>2.2  符号</w:t>
      </w:r>
      <w:r>
        <w:tab/>
      </w:r>
      <w:r>
        <w:fldChar w:fldCharType="begin"/>
      </w:r>
      <w:r>
        <w:instrText xml:space="preserve"> PAGEREF _Toc29102 \h </w:instrText>
      </w:r>
      <w:r>
        <w:fldChar w:fldCharType="separate"/>
      </w:r>
      <w:r>
        <w:t>4</w:t>
      </w:r>
      <w:r>
        <w:fldChar w:fldCharType="end"/>
      </w:r>
      <w:r>
        <w:fldChar w:fldCharType="end"/>
      </w:r>
    </w:p>
    <w:p w14:paraId="1D6C924B">
      <w:pPr>
        <w:pStyle w:val="13"/>
        <w:tabs>
          <w:tab w:val="right" w:leader="dot" w:pos="8306"/>
        </w:tabs>
      </w:pPr>
      <w:r>
        <w:fldChar w:fldCharType="begin"/>
      </w:r>
      <w:r>
        <w:instrText xml:space="preserve"> HYPERLINK \l "_Toc14408" </w:instrText>
      </w:r>
      <w:r>
        <w:fldChar w:fldCharType="separate"/>
      </w:r>
      <w:r>
        <w:rPr>
          <w:rFonts w:hint="eastAsia"/>
        </w:rPr>
        <w:t>3</w:t>
      </w:r>
      <w:r>
        <w:t xml:space="preserve"> </w:t>
      </w:r>
      <w:r>
        <w:rPr>
          <w:rFonts w:hint="eastAsia"/>
        </w:rPr>
        <w:t xml:space="preserve"> 基本规定</w:t>
      </w:r>
      <w:r>
        <w:tab/>
      </w:r>
      <w:r>
        <w:fldChar w:fldCharType="begin"/>
      </w:r>
      <w:r>
        <w:instrText xml:space="preserve"> PAGEREF _Toc14408 \h </w:instrText>
      </w:r>
      <w:r>
        <w:fldChar w:fldCharType="separate"/>
      </w:r>
      <w:r>
        <w:t>6</w:t>
      </w:r>
      <w:r>
        <w:fldChar w:fldCharType="end"/>
      </w:r>
      <w:r>
        <w:fldChar w:fldCharType="end"/>
      </w:r>
    </w:p>
    <w:p w14:paraId="6934FC38">
      <w:pPr>
        <w:pStyle w:val="13"/>
        <w:tabs>
          <w:tab w:val="right" w:leader="dot" w:pos="8306"/>
        </w:tabs>
      </w:pPr>
      <w:r>
        <w:fldChar w:fldCharType="begin"/>
      </w:r>
      <w:r>
        <w:instrText xml:space="preserve"> HYPERLINK \l "_Toc24971" </w:instrText>
      </w:r>
      <w:r>
        <w:fldChar w:fldCharType="separate"/>
      </w:r>
      <w:r>
        <w:rPr>
          <w:rFonts w:hint="eastAsia"/>
        </w:rPr>
        <w:t xml:space="preserve">4 </w:t>
      </w:r>
      <w:r>
        <w:t xml:space="preserve"> </w:t>
      </w:r>
      <w:r>
        <w:rPr>
          <w:rFonts w:hint="eastAsia"/>
        </w:rPr>
        <w:t>勘察与环境调查</w:t>
      </w:r>
      <w:r>
        <w:tab/>
      </w:r>
      <w:r>
        <w:fldChar w:fldCharType="begin"/>
      </w:r>
      <w:r>
        <w:instrText xml:space="preserve"> PAGEREF _Toc24971 \h </w:instrText>
      </w:r>
      <w:r>
        <w:fldChar w:fldCharType="separate"/>
      </w:r>
      <w:r>
        <w:t>7</w:t>
      </w:r>
      <w:r>
        <w:fldChar w:fldCharType="end"/>
      </w:r>
      <w:r>
        <w:fldChar w:fldCharType="end"/>
      </w:r>
    </w:p>
    <w:p w14:paraId="30BCDA4B">
      <w:pPr>
        <w:pStyle w:val="14"/>
        <w:tabs>
          <w:tab w:val="right" w:leader="dot" w:pos="8306"/>
        </w:tabs>
      </w:pPr>
      <w:r>
        <w:fldChar w:fldCharType="begin"/>
      </w:r>
      <w:r>
        <w:instrText xml:space="preserve"> HYPERLINK \l "_Toc19325" </w:instrText>
      </w:r>
      <w:r>
        <w:fldChar w:fldCharType="separate"/>
      </w:r>
      <w:r>
        <w:rPr>
          <w:rFonts w:hint="eastAsia"/>
        </w:rPr>
        <w:t>4.1  一般规定</w:t>
      </w:r>
      <w:r>
        <w:tab/>
      </w:r>
      <w:r>
        <w:fldChar w:fldCharType="begin"/>
      </w:r>
      <w:r>
        <w:instrText xml:space="preserve"> PAGEREF _Toc19325 \h </w:instrText>
      </w:r>
      <w:r>
        <w:fldChar w:fldCharType="separate"/>
      </w:r>
      <w:r>
        <w:t>7</w:t>
      </w:r>
      <w:r>
        <w:fldChar w:fldCharType="end"/>
      </w:r>
      <w:r>
        <w:fldChar w:fldCharType="end"/>
      </w:r>
    </w:p>
    <w:p w14:paraId="580F42F1">
      <w:pPr>
        <w:pStyle w:val="14"/>
        <w:tabs>
          <w:tab w:val="right" w:leader="dot" w:pos="8306"/>
        </w:tabs>
      </w:pPr>
      <w:r>
        <w:fldChar w:fldCharType="begin"/>
      </w:r>
      <w:r>
        <w:instrText xml:space="preserve"> HYPERLINK \l "_Toc1452" </w:instrText>
      </w:r>
      <w:r>
        <w:fldChar w:fldCharType="separate"/>
      </w:r>
      <w:r>
        <w:rPr>
          <w:rFonts w:hint="eastAsia"/>
        </w:rPr>
        <w:t>4.2  勘察要求</w:t>
      </w:r>
      <w:r>
        <w:tab/>
      </w:r>
      <w:r>
        <w:fldChar w:fldCharType="begin"/>
      </w:r>
      <w:r>
        <w:instrText xml:space="preserve"> PAGEREF _Toc1452 \h </w:instrText>
      </w:r>
      <w:r>
        <w:fldChar w:fldCharType="separate"/>
      </w:r>
      <w:r>
        <w:t>7</w:t>
      </w:r>
      <w:r>
        <w:fldChar w:fldCharType="end"/>
      </w:r>
      <w:r>
        <w:fldChar w:fldCharType="end"/>
      </w:r>
    </w:p>
    <w:p w14:paraId="5C87ED44">
      <w:pPr>
        <w:pStyle w:val="14"/>
        <w:tabs>
          <w:tab w:val="right" w:leader="dot" w:pos="8306"/>
        </w:tabs>
      </w:pPr>
      <w:r>
        <w:fldChar w:fldCharType="begin"/>
      </w:r>
      <w:r>
        <w:instrText xml:space="preserve"> HYPERLINK \l "_Toc13178" </w:instrText>
      </w:r>
      <w:r>
        <w:fldChar w:fldCharType="separate"/>
      </w:r>
      <w:r>
        <w:rPr>
          <w:rFonts w:hint="eastAsia"/>
        </w:rPr>
        <w:t>4</w:t>
      </w:r>
      <w:r>
        <w:t>.3</w:t>
      </w:r>
      <w:r>
        <w:rPr>
          <w:rFonts w:hint="eastAsia"/>
        </w:rPr>
        <w:t xml:space="preserve"> </w:t>
      </w:r>
      <w:r>
        <w:t xml:space="preserve"> 环境调查</w:t>
      </w:r>
      <w:r>
        <w:tab/>
      </w:r>
      <w:r>
        <w:fldChar w:fldCharType="begin"/>
      </w:r>
      <w:r>
        <w:instrText xml:space="preserve"> PAGEREF _Toc13178 \h </w:instrText>
      </w:r>
      <w:r>
        <w:fldChar w:fldCharType="separate"/>
      </w:r>
      <w:r>
        <w:t>7</w:t>
      </w:r>
      <w:r>
        <w:fldChar w:fldCharType="end"/>
      </w:r>
      <w:r>
        <w:fldChar w:fldCharType="end"/>
      </w:r>
    </w:p>
    <w:p w14:paraId="65A6421C">
      <w:pPr>
        <w:pStyle w:val="13"/>
        <w:tabs>
          <w:tab w:val="right" w:leader="dot" w:pos="8306"/>
        </w:tabs>
      </w:pPr>
      <w:r>
        <w:fldChar w:fldCharType="begin"/>
      </w:r>
      <w:r>
        <w:instrText xml:space="preserve"> HYPERLINK \l "_Toc1962" </w:instrText>
      </w:r>
      <w:r>
        <w:fldChar w:fldCharType="separate"/>
      </w:r>
      <w:r>
        <w:rPr>
          <w:rFonts w:hint="eastAsia"/>
        </w:rPr>
        <w:t>5</w:t>
      </w:r>
      <w:r>
        <w:t xml:space="preserve"> </w:t>
      </w:r>
      <w:r>
        <w:rPr>
          <w:rFonts w:hint="eastAsia"/>
        </w:rPr>
        <w:t xml:space="preserve"> 支护设计</w:t>
      </w:r>
      <w:r>
        <w:tab/>
      </w:r>
      <w:r>
        <w:fldChar w:fldCharType="begin"/>
      </w:r>
      <w:r>
        <w:instrText xml:space="preserve"> PAGEREF _Toc1962 \h </w:instrText>
      </w:r>
      <w:r>
        <w:fldChar w:fldCharType="separate"/>
      </w:r>
      <w:r>
        <w:t>8</w:t>
      </w:r>
      <w:r>
        <w:fldChar w:fldCharType="end"/>
      </w:r>
      <w:r>
        <w:fldChar w:fldCharType="end"/>
      </w:r>
    </w:p>
    <w:p w14:paraId="36432867">
      <w:pPr>
        <w:pStyle w:val="14"/>
        <w:tabs>
          <w:tab w:val="right" w:leader="dot" w:pos="8306"/>
        </w:tabs>
      </w:pPr>
      <w:r>
        <w:fldChar w:fldCharType="begin"/>
      </w:r>
      <w:r>
        <w:instrText xml:space="preserve"> HYPERLINK \l "_Toc23102" </w:instrText>
      </w:r>
      <w:r>
        <w:fldChar w:fldCharType="separate"/>
      </w:r>
      <w:r>
        <w:t>5.1</w:t>
      </w:r>
      <w:r>
        <w:rPr>
          <w:rFonts w:hint="eastAsia"/>
        </w:rPr>
        <w:t xml:space="preserve">  一般规定</w:t>
      </w:r>
      <w:r>
        <w:tab/>
      </w:r>
      <w:r>
        <w:fldChar w:fldCharType="begin"/>
      </w:r>
      <w:r>
        <w:instrText xml:space="preserve"> PAGEREF _Toc23102 \h </w:instrText>
      </w:r>
      <w:r>
        <w:fldChar w:fldCharType="separate"/>
      </w:r>
      <w:r>
        <w:t>8</w:t>
      </w:r>
      <w:r>
        <w:fldChar w:fldCharType="end"/>
      </w:r>
      <w:r>
        <w:fldChar w:fldCharType="end"/>
      </w:r>
    </w:p>
    <w:p w14:paraId="4971D767">
      <w:pPr>
        <w:pStyle w:val="14"/>
        <w:tabs>
          <w:tab w:val="right" w:leader="dot" w:pos="8306"/>
        </w:tabs>
      </w:pPr>
      <w:r>
        <w:fldChar w:fldCharType="begin"/>
      </w:r>
      <w:r>
        <w:instrText xml:space="preserve"> HYPERLINK \l "_Toc32069" </w:instrText>
      </w:r>
      <w:r>
        <w:fldChar w:fldCharType="separate"/>
      </w:r>
      <w:r>
        <w:t>5.</w:t>
      </w:r>
      <w:r>
        <w:rPr>
          <w:rFonts w:hint="eastAsia"/>
        </w:rPr>
        <w:t>2  设计计算</w:t>
      </w:r>
      <w:r>
        <w:tab/>
      </w:r>
      <w:r>
        <w:fldChar w:fldCharType="begin"/>
      </w:r>
      <w:r>
        <w:instrText xml:space="preserve"> PAGEREF _Toc32069 \h </w:instrText>
      </w:r>
      <w:r>
        <w:fldChar w:fldCharType="separate"/>
      </w:r>
      <w:r>
        <w:t>9</w:t>
      </w:r>
      <w:r>
        <w:fldChar w:fldCharType="end"/>
      </w:r>
      <w:r>
        <w:fldChar w:fldCharType="end"/>
      </w:r>
    </w:p>
    <w:p w14:paraId="2F61580C">
      <w:pPr>
        <w:pStyle w:val="14"/>
        <w:tabs>
          <w:tab w:val="right" w:leader="dot" w:pos="8306"/>
        </w:tabs>
      </w:pPr>
      <w:r>
        <w:fldChar w:fldCharType="begin"/>
      </w:r>
      <w:r>
        <w:instrText xml:space="preserve"> HYPERLINK \l "_Toc27480" </w:instrText>
      </w:r>
      <w:r>
        <w:fldChar w:fldCharType="separate"/>
      </w:r>
      <w:r>
        <w:rPr>
          <w:rFonts w:hint="eastAsia"/>
        </w:rPr>
        <w:t>5.3  布置与构造</w:t>
      </w:r>
      <w:r>
        <w:tab/>
      </w:r>
      <w:r>
        <w:fldChar w:fldCharType="begin"/>
      </w:r>
      <w:r>
        <w:instrText xml:space="preserve"> PAGEREF _Toc27480 \h </w:instrText>
      </w:r>
      <w:r>
        <w:fldChar w:fldCharType="separate"/>
      </w:r>
      <w:r>
        <w:t>12</w:t>
      </w:r>
      <w:r>
        <w:fldChar w:fldCharType="end"/>
      </w:r>
      <w:r>
        <w:fldChar w:fldCharType="end"/>
      </w:r>
    </w:p>
    <w:p w14:paraId="447B7EBB">
      <w:pPr>
        <w:pStyle w:val="14"/>
        <w:tabs>
          <w:tab w:val="right" w:leader="dot" w:pos="8306"/>
        </w:tabs>
      </w:pPr>
      <w:r>
        <w:fldChar w:fldCharType="begin"/>
      </w:r>
      <w:r>
        <w:instrText xml:space="preserve"> HYPERLINK \l "_Toc25946" </w:instrText>
      </w:r>
      <w:r>
        <w:fldChar w:fldCharType="separate"/>
      </w:r>
      <w:r>
        <w:rPr>
          <w:rFonts w:hint="eastAsia"/>
        </w:rPr>
        <w:t>5.4  防渗止水设计</w:t>
      </w:r>
      <w:r>
        <w:tab/>
      </w:r>
      <w:r>
        <w:fldChar w:fldCharType="begin"/>
      </w:r>
      <w:r>
        <w:instrText xml:space="preserve"> PAGEREF _Toc25946 \h </w:instrText>
      </w:r>
      <w:r>
        <w:fldChar w:fldCharType="separate"/>
      </w:r>
      <w:r>
        <w:t>14</w:t>
      </w:r>
      <w:r>
        <w:fldChar w:fldCharType="end"/>
      </w:r>
      <w:r>
        <w:fldChar w:fldCharType="end"/>
      </w:r>
    </w:p>
    <w:p w14:paraId="50B99284">
      <w:pPr>
        <w:pStyle w:val="14"/>
        <w:tabs>
          <w:tab w:val="right" w:leader="dot" w:pos="8306"/>
        </w:tabs>
      </w:pPr>
      <w:r>
        <w:fldChar w:fldCharType="begin"/>
      </w:r>
      <w:r>
        <w:instrText xml:space="preserve"> HYPERLINK \l "_Toc3474" </w:instrText>
      </w:r>
      <w:r>
        <w:fldChar w:fldCharType="separate"/>
      </w:r>
      <w:r>
        <w:t>5</w:t>
      </w:r>
      <w:r>
        <w:rPr>
          <w:rFonts w:hint="eastAsia"/>
        </w:rPr>
        <w:t>.5  防腐设计</w:t>
      </w:r>
      <w:r>
        <w:tab/>
      </w:r>
      <w:r>
        <w:fldChar w:fldCharType="begin"/>
      </w:r>
      <w:r>
        <w:instrText xml:space="preserve"> PAGEREF _Toc3474 \h </w:instrText>
      </w:r>
      <w:r>
        <w:fldChar w:fldCharType="separate"/>
      </w:r>
      <w:r>
        <w:t>17</w:t>
      </w:r>
      <w:r>
        <w:fldChar w:fldCharType="end"/>
      </w:r>
      <w:r>
        <w:fldChar w:fldCharType="end"/>
      </w:r>
    </w:p>
    <w:p w14:paraId="7A36AFD6">
      <w:pPr>
        <w:pStyle w:val="13"/>
        <w:tabs>
          <w:tab w:val="right" w:leader="dot" w:pos="8306"/>
        </w:tabs>
      </w:pPr>
      <w:r>
        <w:fldChar w:fldCharType="begin"/>
      </w:r>
      <w:r>
        <w:instrText xml:space="preserve"> HYPERLINK \l "_Toc26982" </w:instrText>
      </w:r>
      <w:r>
        <w:fldChar w:fldCharType="separate"/>
      </w:r>
      <w:r>
        <w:rPr>
          <w:rFonts w:hint="eastAsia"/>
        </w:rPr>
        <w:t>6</w:t>
      </w:r>
      <w:r>
        <w:t xml:space="preserve"> </w:t>
      </w:r>
      <w:r>
        <w:rPr>
          <w:rFonts w:hint="eastAsia"/>
        </w:rPr>
        <w:t xml:space="preserve"> 施工</w:t>
      </w:r>
      <w:r>
        <w:tab/>
      </w:r>
      <w:r>
        <w:fldChar w:fldCharType="begin"/>
      </w:r>
      <w:r>
        <w:instrText xml:space="preserve"> PAGEREF _Toc26982 \h </w:instrText>
      </w:r>
      <w:r>
        <w:fldChar w:fldCharType="separate"/>
      </w:r>
      <w:r>
        <w:t>19</w:t>
      </w:r>
      <w:r>
        <w:fldChar w:fldCharType="end"/>
      </w:r>
      <w:r>
        <w:fldChar w:fldCharType="end"/>
      </w:r>
    </w:p>
    <w:p w14:paraId="1F049570">
      <w:pPr>
        <w:pStyle w:val="14"/>
        <w:tabs>
          <w:tab w:val="right" w:leader="dot" w:pos="8306"/>
        </w:tabs>
      </w:pPr>
      <w:r>
        <w:fldChar w:fldCharType="begin"/>
      </w:r>
      <w:r>
        <w:instrText xml:space="preserve"> HYPERLINK \l "_Toc21221" </w:instrText>
      </w:r>
      <w:r>
        <w:fldChar w:fldCharType="separate"/>
      </w:r>
      <w:r>
        <w:rPr>
          <w:rFonts w:hint="eastAsia"/>
        </w:rPr>
        <w:t>6.1  一般规定</w:t>
      </w:r>
      <w:r>
        <w:tab/>
      </w:r>
      <w:r>
        <w:fldChar w:fldCharType="begin"/>
      </w:r>
      <w:r>
        <w:instrText xml:space="preserve"> PAGEREF _Toc21221 \h </w:instrText>
      </w:r>
      <w:r>
        <w:fldChar w:fldCharType="separate"/>
      </w:r>
      <w:r>
        <w:t>19</w:t>
      </w:r>
      <w:r>
        <w:fldChar w:fldCharType="end"/>
      </w:r>
      <w:r>
        <w:fldChar w:fldCharType="end"/>
      </w:r>
    </w:p>
    <w:p w14:paraId="0DE5A45C">
      <w:pPr>
        <w:pStyle w:val="14"/>
        <w:tabs>
          <w:tab w:val="right" w:leader="dot" w:pos="8306"/>
        </w:tabs>
      </w:pPr>
      <w:r>
        <w:fldChar w:fldCharType="begin"/>
      </w:r>
      <w:r>
        <w:instrText xml:space="preserve"> HYPERLINK \l "_Toc28706" </w:instrText>
      </w:r>
      <w:r>
        <w:fldChar w:fldCharType="separate"/>
      </w:r>
      <w:r>
        <w:rPr>
          <w:rFonts w:hint="eastAsia"/>
        </w:rPr>
        <w:t>6.2  运输吊装和堆放</w:t>
      </w:r>
      <w:r>
        <w:tab/>
      </w:r>
      <w:r>
        <w:fldChar w:fldCharType="begin"/>
      </w:r>
      <w:r>
        <w:instrText xml:space="preserve"> PAGEREF _Toc28706 \h </w:instrText>
      </w:r>
      <w:r>
        <w:fldChar w:fldCharType="separate"/>
      </w:r>
      <w:r>
        <w:t>19</w:t>
      </w:r>
      <w:r>
        <w:fldChar w:fldCharType="end"/>
      </w:r>
      <w:r>
        <w:fldChar w:fldCharType="end"/>
      </w:r>
    </w:p>
    <w:p w14:paraId="3DDF1984">
      <w:pPr>
        <w:pStyle w:val="14"/>
        <w:tabs>
          <w:tab w:val="right" w:leader="dot" w:pos="8306"/>
        </w:tabs>
      </w:pPr>
      <w:r>
        <w:fldChar w:fldCharType="begin"/>
      </w:r>
      <w:r>
        <w:instrText xml:space="preserve"> HYPERLINK \l "_Toc22828" </w:instrText>
      </w:r>
      <w:r>
        <w:fldChar w:fldCharType="separate"/>
      </w:r>
      <w:r>
        <w:rPr>
          <w:rFonts w:hint="eastAsia"/>
        </w:rPr>
        <w:t>6.3</w:t>
      </w:r>
      <w:r>
        <w:t xml:space="preserve"> </w:t>
      </w:r>
      <w:r>
        <w:rPr>
          <w:rFonts w:hint="eastAsia"/>
        </w:rPr>
        <w:t xml:space="preserve"> 压桩</w:t>
      </w:r>
      <w:r>
        <w:tab/>
      </w:r>
      <w:r>
        <w:fldChar w:fldCharType="begin"/>
      </w:r>
      <w:r>
        <w:instrText xml:space="preserve"> PAGEREF _Toc22828 \h </w:instrText>
      </w:r>
      <w:r>
        <w:fldChar w:fldCharType="separate"/>
      </w:r>
      <w:r>
        <w:t>20</w:t>
      </w:r>
      <w:r>
        <w:fldChar w:fldCharType="end"/>
      </w:r>
      <w:r>
        <w:fldChar w:fldCharType="end"/>
      </w:r>
    </w:p>
    <w:p w14:paraId="32E2AA5B">
      <w:pPr>
        <w:pStyle w:val="14"/>
        <w:tabs>
          <w:tab w:val="right" w:leader="dot" w:pos="8306"/>
        </w:tabs>
      </w:pPr>
      <w:r>
        <w:fldChar w:fldCharType="begin"/>
      </w:r>
      <w:r>
        <w:instrText xml:space="preserve"> HYPERLINK \l "_Toc12799" </w:instrText>
      </w:r>
      <w:r>
        <w:fldChar w:fldCharType="separate"/>
      </w:r>
      <w:r>
        <w:rPr>
          <w:rFonts w:hint="eastAsia"/>
        </w:rPr>
        <w:t>6.4  接桩</w:t>
      </w:r>
      <w:r>
        <w:tab/>
      </w:r>
      <w:r>
        <w:fldChar w:fldCharType="begin"/>
      </w:r>
      <w:r>
        <w:instrText xml:space="preserve"> PAGEREF _Toc12799 \h </w:instrText>
      </w:r>
      <w:r>
        <w:fldChar w:fldCharType="separate"/>
      </w:r>
      <w:r>
        <w:t>23</w:t>
      </w:r>
      <w:r>
        <w:fldChar w:fldCharType="end"/>
      </w:r>
      <w:r>
        <w:fldChar w:fldCharType="end"/>
      </w:r>
    </w:p>
    <w:p w14:paraId="3CAE30E3">
      <w:pPr>
        <w:pStyle w:val="14"/>
        <w:tabs>
          <w:tab w:val="right" w:leader="dot" w:pos="8306"/>
        </w:tabs>
      </w:pPr>
      <w:r>
        <w:fldChar w:fldCharType="begin"/>
      </w:r>
      <w:r>
        <w:instrText xml:space="preserve"> HYPERLINK \l "_Toc10531" </w:instrText>
      </w:r>
      <w:r>
        <w:fldChar w:fldCharType="separate"/>
      </w:r>
      <w:r>
        <w:rPr>
          <w:rFonts w:hint="eastAsia"/>
        </w:rPr>
        <w:t>6.5  拔桩与回收</w:t>
      </w:r>
      <w:r>
        <w:tab/>
      </w:r>
      <w:r>
        <w:fldChar w:fldCharType="begin"/>
      </w:r>
      <w:r>
        <w:instrText xml:space="preserve"> PAGEREF _Toc10531 \h </w:instrText>
      </w:r>
      <w:r>
        <w:fldChar w:fldCharType="separate"/>
      </w:r>
      <w:r>
        <w:t>23</w:t>
      </w:r>
      <w:r>
        <w:fldChar w:fldCharType="end"/>
      </w:r>
      <w:r>
        <w:fldChar w:fldCharType="end"/>
      </w:r>
    </w:p>
    <w:p w14:paraId="0196476A">
      <w:pPr>
        <w:pStyle w:val="13"/>
        <w:tabs>
          <w:tab w:val="right" w:leader="dot" w:pos="8306"/>
        </w:tabs>
      </w:pPr>
      <w:r>
        <w:fldChar w:fldCharType="begin"/>
      </w:r>
      <w:r>
        <w:instrText xml:space="preserve"> HYPERLINK \l "_Toc18062" </w:instrText>
      </w:r>
      <w:r>
        <w:fldChar w:fldCharType="separate"/>
      </w:r>
      <w:r>
        <w:rPr>
          <w:rFonts w:hint="eastAsia"/>
        </w:rPr>
        <w:t>7</w:t>
      </w:r>
      <w:r>
        <w:t xml:space="preserve">  </w:t>
      </w:r>
      <w:r>
        <w:rPr>
          <w:rFonts w:hint="eastAsia"/>
        </w:rPr>
        <w:t>检测与验收</w:t>
      </w:r>
      <w:r>
        <w:tab/>
      </w:r>
      <w:r>
        <w:fldChar w:fldCharType="begin"/>
      </w:r>
      <w:r>
        <w:instrText xml:space="preserve"> PAGEREF _Toc18062 \h </w:instrText>
      </w:r>
      <w:r>
        <w:fldChar w:fldCharType="separate"/>
      </w:r>
      <w:r>
        <w:t>25</w:t>
      </w:r>
      <w:r>
        <w:fldChar w:fldCharType="end"/>
      </w:r>
      <w:r>
        <w:fldChar w:fldCharType="end"/>
      </w:r>
    </w:p>
    <w:p w14:paraId="7D3E63E7">
      <w:pPr>
        <w:pStyle w:val="14"/>
        <w:tabs>
          <w:tab w:val="right" w:leader="dot" w:pos="8306"/>
        </w:tabs>
      </w:pPr>
      <w:r>
        <w:fldChar w:fldCharType="begin"/>
      </w:r>
      <w:r>
        <w:instrText xml:space="preserve"> HYPERLINK \l "_Toc3771" </w:instrText>
      </w:r>
      <w:r>
        <w:fldChar w:fldCharType="separate"/>
      </w:r>
      <w:r>
        <w:rPr>
          <w:rFonts w:hint="eastAsia"/>
        </w:rPr>
        <w:t>7.1  进场检验</w:t>
      </w:r>
      <w:r>
        <w:tab/>
      </w:r>
      <w:r>
        <w:fldChar w:fldCharType="begin"/>
      </w:r>
      <w:r>
        <w:instrText xml:space="preserve"> PAGEREF _Toc3771 \h </w:instrText>
      </w:r>
      <w:r>
        <w:fldChar w:fldCharType="separate"/>
      </w:r>
      <w:r>
        <w:t>25</w:t>
      </w:r>
      <w:r>
        <w:fldChar w:fldCharType="end"/>
      </w:r>
      <w:r>
        <w:fldChar w:fldCharType="end"/>
      </w:r>
    </w:p>
    <w:p w14:paraId="5D8B902D">
      <w:pPr>
        <w:pStyle w:val="14"/>
        <w:tabs>
          <w:tab w:val="right" w:leader="dot" w:pos="8306"/>
        </w:tabs>
      </w:pPr>
      <w:r>
        <w:fldChar w:fldCharType="begin"/>
      </w:r>
      <w:r>
        <w:instrText xml:space="preserve"> HYPERLINK \l "_Toc6676" </w:instrText>
      </w:r>
      <w:r>
        <w:fldChar w:fldCharType="separate"/>
      </w:r>
      <w:r>
        <w:rPr>
          <w:rFonts w:hint="eastAsia"/>
        </w:rPr>
        <w:t>7.2  施工检测</w:t>
      </w:r>
      <w:r>
        <w:tab/>
      </w:r>
      <w:r>
        <w:fldChar w:fldCharType="begin"/>
      </w:r>
      <w:r>
        <w:instrText xml:space="preserve"> PAGEREF _Toc6676 \h </w:instrText>
      </w:r>
      <w:r>
        <w:fldChar w:fldCharType="separate"/>
      </w:r>
      <w:r>
        <w:t>26</w:t>
      </w:r>
      <w:r>
        <w:fldChar w:fldCharType="end"/>
      </w:r>
      <w:r>
        <w:fldChar w:fldCharType="end"/>
      </w:r>
    </w:p>
    <w:p w14:paraId="4E26EC15">
      <w:pPr>
        <w:pStyle w:val="14"/>
        <w:tabs>
          <w:tab w:val="right" w:leader="dot" w:pos="8306"/>
        </w:tabs>
      </w:pPr>
      <w:r>
        <w:fldChar w:fldCharType="begin"/>
      </w:r>
      <w:r>
        <w:instrText xml:space="preserve"> HYPERLINK \l "_Toc15573" </w:instrText>
      </w:r>
      <w:r>
        <w:fldChar w:fldCharType="separate"/>
      </w:r>
      <w:r>
        <w:rPr>
          <w:rFonts w:hint="eastAsia"/>
        </w:rPr>
        <w:t>7.3  验收</w:t>
      </w:r>
      <w:r>
        <w:tab/>
      </w:r>
      <w:r>
        <w:fldChar w:fldCharType="begin"/>
      </w:r>
      <w:r>
        <w:instrText xml:space="preserve"> PAGEREF _Toc15573 \h </w:instrText>
      </w:r>
      <w:r>
        <w:fldChar w:fldCharType="separate"/>
      </w:r>
      <w:r>
        <w:t>26</w:t>
      </w:r>
      <w:r>
        <w:fldChar w:fldCharType="end"/>
      </w:r>
      <w:r>
        <w:fldChar w:fldCharType="end"/>
      </w:r>
    </w:p>
    <w:p w14:paraId="463BC462">
      <w:pPr>
        <w:pStyle w:val="13"/>
        <w:tabs>
          <w:tab w:val="right" w:leader="dot" w:pos="8306"/>
        </w:tabs>
      </w:pPr>
      <w:r>
        <w:fldChar w:fldCharType="begin"/>
      </w:r>
      <w:r>
        <w:instrText xml:space="preserve"> HYPERLINK \l "_Toc29919" </w:instrText>
      </w:r>
      <w:r>
        <w:fldChar w:fldCharType="separate"/>
      </w:r>
      <w:r>
        <w:rPr>
          <w:rFonts w:hint="eastAsia"/>
        </w:rPr>
        <w:t>8  开挖与监测</w:t>
      </w:r>
      <w:r>
        <w:tab/>
      </w:r>
      <w:r>
        <w:fldChar w:fldCharType="begin"/>
      </w:r>
      <w:r>
        <w:instrText xml:space="preserve"> PAGEREF _Toc29919 \h </w:instrText>
      </w:r>
      <w:r>
        <w:fldChar w:fldCharType="separate"/>
      </w:r>
      <w:r>
        <w:t>28</w:t>
      </w:r>
      <w:r>
        <w:fldChar w:fldCharType="end"/>
      </w:r>
      <w:r>
        <w:fldChar w:fldCharType="end"/>
      </w:r>
    </w:p>
    <w:p w14:paraId="7DE9CCDF">
      <w:pPr>
        <w:pStyle w:val="14"/>
        <w:tabs>
          <w:tab w:val="right" w:leader="dot" w:pos="8306"/>
        </w:tabs>
      </w:pPr>
      <w:r>
        <w:fldChar w:fldCharType="begin"/>
      </w:r>
      <w:r>
        <w:instrText xml:space="preserve"> HYPERLINK \l "_Toc24525" </w:instrText>
      </w:r>
      <w:r>
        <w:fldChar w:fldCharType="separate"/>
      </w:r>
      <w:r>
        <w:rPr>
          <w:rFonts w:hint="eastAsia"/>
        </w:rPr>
        <w:t xml:space="preserve">8.1  </w:t>
      </w:r>
      <w:r>
        <w:t>一般规定</w:t>
      </w:r>
      <w:r>
        <w:tab/>
      </w:r>
      <w:r>
        <w:fldChar w:fldCharType="begin"/>
      </w:r>
      <w:r>
        <w:instrText xml:space="preserve"> PAGEREF _Toc24525 \h </w:instrText>
      </w:r>
      <w:r>
        <w:fldChar w:fldCharType="separate"/>
      </w:r>
      <w:r>
        <w:t>28</w:t>
      </w:r>
      <w:r>
        <w:fldChar w:fldCharType="end"/>
      </w:r>
      <w:r>
        <w:fldChar w:fldCharType="end"/>
      </w:r>
    </w:p>
    <w:p w14:paraId="0D658F16">
      <w:pPr>
        <w:pStyle w:val="14"/>
        <w:tabs>
          <w:tab w:val="right" w:leader="dot" w:pos="8306"/>
        </w:tabs>
      </w:pPr>
      <w:r>
        <w:fldChar w:fldCharType="begin"/>
      </w:r>
      <w:r>
        <w:instrText xml:space="preserve"> HYPERLINK \l "_Toc18962" </w:instrText>
      </w:r>
      <w:r>
        <w:fldChar w:fldCharType="separate"/>
      </w:r>
      <w:r>
        <w:rPr>
          <w:rFonts w:hint="eastAsia"/>
        </w:rPr>
        <w:t>8.2  土方开挖</w:t>
      </w:r>
      <w:r>
        <w:tab/>
      </w:r>
      <w:r>
        <w:fldChar w:fldCharType="begin"/>
      </w:r>
      <w:r>
        <w:instrText xml:space="preserve"> PAGEREF _Toc18962 \h </w:instrText>
      </w:r>
      <w:r>
        <w:fldChar w:fldCharType="separate"/>
      </w:r>
      <w:r>
        <w:t>28</w:t>
      </w:r>
      <w:r>
        <w:fldChar w:fldCharType="end"/>
      </w:r>
      <w:r>
        <w:fldChar w:fldCharType="end"/>
      </w:r>
    </w:p>
    <w:p w14:paraId="0C2EED14">
      <w:pPr>
        <w:pStyle w:val="14"/>
        <w:tabs>
          <w:tab w:val="right" w:leader="dot" w:pos="8306"/>
        </w:tabs>
      </w:pPr>
      <w:r>
        <w:fldChar w:fldCharType="begin"/>
      </w:r>
      <w:r>
        <w:instrText xml:space="preserve"> HYPERLINK \l "_Toc7561" </w:instrText>
      </w:r>
      <w:r>
        <w:fldChar w:fldCharType="separate"/>
      </w:r>
      <w:r>
        <w:rPr>
          <w:rFonts w:hint="eastAsia"/>
        </w:rPr>
        <w:t>8.3</w:t>
      </w:r>
      <w:r>
        <w:t xml:space="preserve">  </w:t>
      </w:r>
      <w:r>
        <w:rPr>
          <w:rFonts w:hint="eastAsia"/>
        </w:rPr>
        <w:t>监测</w:t>
      </w:r>
      <w:r>
        <w:tab/>
      </w:r>
      <w:r>
        <w:fldChar w:fldCharType="begin"/>
      </w:r>
      <w:r>
        <w:instrText xml:space="preserve"> PAGEREF _Toc7561 \h </w:instrText>
      </w:r>
      <w:r>
        <w:fldChar w:fldCharType="separate"/>
      </w:r>
      <w:r>
        <w:t>29</w:t>
      </w:r>
      <w:r>
        <w:fldChar w:fldCharType="end"/>
      </w:r>
      <w:r>
        <w:fldChar w:fldCharType="end"/>
      </w:r>
    </w:p>
    <w:p w14:paraId="7F49C093">
      <w:pPr>
        <w:pStyle w:val="13"/>
        <w:tabs>
          <w:tab w:val="right" w:leader="dot" w:pos="8306"/>
        </w:tabs>
      </w:pPr>
      <w:r>
        <w:fldChar w:fldCharType="begin"/>
      </w:r>
      <w:r>
        <w:instrText xml:space="preserve"> HYPERLINK \l "_Toc29185" </w:instrText>
      </w:r>
      <w:r>
        <w:fldChar w:fldCharType="separate"/>
      </w:r>
      <w:r>
        <w:rPr>
          <w:rFonts w:hint="eastAsia"/>
        </w:rPr>
        <w:t>附录</w:t>
      </w:r>
      <w:r>
        <w:t>A  U</w:t>
      </w:r>
      <w:r>
        <w:rPr>
          <w:rFonts w:hint="eastAsia"/>
        </w:rPr>
        <w:t>型钢板桩规格参数</w:t>
      </w:r>
      <w:r>
        <w:tab/>
      </w:r>
      <w:r>
        <w:fldChar w:fldCharType="begin"/>
      </w:r>
      <w:r>
        <w:instrText xml:space="preserve"> PAGEREF _Toc29185 \h </w:instrText>
      </w:r>
      <w:r>
        <w:fldChar w:fldCharType="separate"/>
      </w:r>
      <w:r>
        <w:t>32</w:t>
      </w:r>
      <w:r>
        <w:fldChar w:fldCharType="end"/>
      </w:r>
      <w:r>
        <w:fldChar w:fldCharType="end"/>
      </w:r>
    </w:p>
    <w:p w14:paraId="4B6DBCF7">
      <w:pPr>
        <w:pStyle w:val="13"/>
        <w:tabs>
          <w:tab w:val="right" w:leader="dot" w:pos="8306"/>
        </w:tabs>
      </w:pPr>
      <w:r>
        <w:fldChar w:fldCharType="begin"/>
      </w:r>
      <w:r>
        <w:instrText xml:space="preserve"> HYPERLINK \l "_Toc14061" </w:instrText>
      </w:r>
      <w:r>
        <w:fldChar w:fldCharType="separate"/>
      </w:r>
      <w:r>
        <w:rPr>
          <w:rFonts w:hint="eastAsia"/>
        </w:rPr>
        <w:t>附录B  水平地基反力系数</w:t>
      </w:r>
      <w:r>
        <w:tab/>
      </w:r>
      <w:r>
        <w:fldChar w:fldCharType="begin"/>
      </w:r>
      <w:r>
        <w:instrText xml:space="preserve"> PAGEREF _Toc14061 \h </w:instrText>
      </w:r>
      <w:r>
        <w:fldChar w:fldCharType="separate"/>
      </w:r>
      <w:r>
        <w:t>33</w:t>
      </w:r>
      <w:r>
        <w:fldChar w:fldCharType="end"/>
      </w:r>
      <w:r>
        <w:fldChar w:fldCharType="end"/>
      </w:r>
    </w:p>
    <w:p w14:paraId="4BF7296B">
      <w:pPr>
        <w:pStyle w:val="13"/>
        <w:tabs>
          <w:tab w:val="right" w:leader="dot" w:pos="8306"/>
        </w:tabs>
      </w:pPr>
      <w:r>
        <w:fldChar w:fldCharType="begin"/>
      </w:r>
      <w:r>
        <w:instrText xml:space="preserve"> HYPERLINK \l "_Toc21599" </w:instrText>
      </w:r>
      <w:r>
        <w:fldChar w:fldCharType="separate"/>
      </w:r>
      <w:r>
        <w:t>附录</w:t>
      </w:r>
      <w:r>
        <w:rPr>
          <w:rFonts w:hint="eastAsia"/>
        </w:rPr>
        <w:t>C  涂层系统的选用</w:t>
      </w:r>
      <w:r>
        <w:tab/>
      </w:r>
      <w:r>
        <w:fldChar w:fldCharType="begin"/>
      </w:r>
      <w:r>
        <w:instrText xml:space="preserve"> PAGEREF _Toc21599 \h </w:instrText>
      </w:r>
      <w:r>
        <w:fldChar w:fldCharType="separate"/>
      </w:r>
      <w:r>
        <w:t>34</w:t>
      </w:r>
      <w:r>
        <w:fldChar w:fldCharType="end"/>
      </w:r>
      <w:r>
        <w:fldChar w:fldCharType="end"/>
      </w:r>
    </w:p>
    <w:p w14:paraId="63FCD7F8">
      <w:pPr>
        <w:pStyle w:val="13"/>
        <w:tabs>
          <w:tab w:val="right" w:leader="dot" w:pos="8306"/>
        </w:tabs>
      </w:pPr>
      <w:r>
        <w:fldChar w:fldCharType="begin"/>
      </w:r>
      <w:r>
        <w:instrText xml:space="preserve"> HYPERLINK \l "_Toc24022" </w:instrText>
      </w:r>
      <w:r>
        <w:fldChar w:fldCharType="separate"/>
      </w:r>
      <w:r>
        <w:t>附录</w:t>
      </w:r>
      <w:r>
        <w:rPr>
          <w:rFonts w:hint="eastAsia"/>
        </w:rPr>
        <w:t>D  常用的封闭剂、封闭涂料和涂装涂料</w:t>
      </w:r>
      <w:r>
        <w:tab/>
      </w:r>
      <w:r>
        <w:fldChar w:fldCharType="begin"/>
      </w:r>
      <w:r>
        <w:instrText xml:space="preserve"> PAGEREF _Toc24022 \h </w:instrText>
      </w:r>
      <w:r>
        <w:fldChar w:fldCharType="separate"/>
      </w:r>
      <w:r>
        <w:t>36</w:t>
      </w:r>
      <w:r>
        <w:fldChar w:fldCharType="end"/>
      </w:r>
      <w:r>
        <w:fldChar w:fldCharType="end"/>
      </w:r>
    </w:p>
    <w:p w14:paraId="75F626B9">
      <w:pPr>
        <w:pStyle w:val="13"/>
        <w:tabs>
          <w:tab w:val="right" w:leader="dot" w:pos="8306"/>
        </w:tabs>
      </w:pPr>
      <w:r>
        <w:fldChar w:fldCharType="begin"/>
      </w:r>
      <w:r>
        <w:instrText xml:space="preserve"> HYPERLINK \l "_Toc26813" </w:instrText>
      </w:r>
      <w:r>
        <w:fldChar w:fldCharType="separate"/>
      </w:r>
      <w:r>
        <w:t>附录</w:t>
      </w:r>
      <w:r>
        <w:rPr>
          <w:rFonts w:hint="eastAsia"/>
        </w:rPr>
        <w:t>E  金属热喷涂系统的选用</w:t>
      </w:r>
      <w:r>
        <w:tab/>
      </w:r>
      <w:r>
        <w:fldChar w:fldCharType="begin"/>
      </w:r>
      <w:r>
        <w:instrText xml:space="preserve"> PAGEREF _Toc26813 \h </w:instrText>
      </w:r>
      <w:r>
        <w:fldChar w:fldCharType="separate"/>
      </w:r>
      <w:r>
        <w:t>37</w:t>
      </w:r>
      <w:r>
        <w:fldChar w:fldCharType="end"/>
      </w:r>
      <w:r>
        <w:fldChar w:fldCharType="end"/>
      </w:r>
    </w:p>
    <w:p w14:paraId="7F387B0B">
      <w:pPr>
        <w:pStyle w:val="13"/>
        <w:tabs>
          <w:tab w:val="right" w:leader="dot" w:pos="8306"/>
        </w:tabs>
      </w:pPr>
      <w:r>
        <w:fldChar w:fldCharType="begin"/>
      </w:r>
      <w:r>
        <w:instrText xml:space="preserve"> HYPERLINK \l "_Toc11279" </w:instrText>
      </w:r>
      <w:r>
        <w:fldChar w:fldCharType="separate"/>
      </w:r>
      <w:r>
        <w:t>附录</w:t>
      </w:r>
      <w:r>
        <w:rPr>
          <w:rFonts w:hint="eastAsia"/>
        </w:rPr>
        <w:t>F  钢板桩压桩记录表</w:t>
      </w:r>
      <w:r>
        <w:tab/>
      </w:r>
      <w:r>
        <w:fldChar w:fldCharType="begin"/>
      </w:r>
      <w:r>
        <w:instrText xml:space="preserve"> PAGEREF _Toc11279 \h </w:instrText>
      </w:r>
      <w:r>
        <w:fldChar w:fldCharType="separate"/>
      </w:r>
      <w:r>
        <w:t>39</w:t>
      </w:r>
      <w:r>
        <w:fldChar w:fldCharType="end"/>
      </w:r>
      <w:r>
        <w:fldChar w:fldCharType="end"/>
      </w:r>
    </w:p>
    <w:p w14:paraId="34D54E4E">
      <w:pPr>
        <w:pStyle w:val="13"/>
        <w:tabs>
          <w:tab w:val="right" w:leader="dot" w:pos="8306"/>
        </w:tabs>
      </w:pPr>
      <w:r>
        <w:fldChar w:fldCharType="begin"/>
      </w:r>
      <w:r>
        <w:instrText xml:space="preserve"> HYPERLINK \l "_Toc26676" </w:instrText>
      </w:r>
      <w:r>
        <w:fldChar w:fldCharType="separate"/>
      </w:r>
      <w:r>
        <w:t>附录</w:t>
      </w:r>
      <w:r>
        <w:rPr>
          <w:rFonts w:hint="eastAsia"/>
        </w:rPr>
        <w:t>G  钢板桩拔桩阻力</w:t>
      </w:r>
      <w:r>
        <w:tab/>
      </w:r>
      <w:r>
        <w:fldChar w:fldCharType="begin"/>
      </w:r>
      <w:r>
        <w:instrText xml:space="preserve"> PAGEREF _Toc26676 \h </w:instrText>
      </w:r>
      <w:r>
        <w:fldChar w:fldCharType="separate"/>
      </w:r>
      <w:r>
        <w:t>40</w:t>
      </w:r>
      <w:r>
        <w:fldChar w:fldCharType="end"/>
      </w:r>
      <w:r>
        <w:fldChar w:fldCharType="end"/>
      </w:r>
    </w:p>
    <w:p w14:paraId="7629E32B">
      <w:pPr>
        <w:pStyle w:val="13"/>
        <w:tabs>
          <w:tab w:val="right" w:leader="dot" w:pos="8306"/>
        </w:tabs>
      </w:pPr>
      <w:r>
        <w:fldChar w:fldCharType="begin"/>
      </w:r>
      <w:r>
        <w:instrText xml:space="preserve"> HYPERLINK \l "_Toc19171" </w:instrText>
      </w:r>
      <w:r>
        <w:fldChar w:fldCharType="separate"/>
      </w:r>
      <w:r>
        <w:rPr>
          <w:rFonts w:hint="eastAsia"/>
        </w:rPr>
        <w:t>标准用词说明</w:t>
      </w:r>
      <w:r>
        <w:tab/>
      </w:r>
      <w:r>
        <w:fldChar w:fldCharType="begin"/>
      </w:r>
      <w:r>
        <w:instrText xml:space="preserve"> PAGEREF _Toc19171 \h </w:instrText>
      </w:r>
      <w:r>
        <w:fldChar w:fldCharType="separate"/>
      </w:r>
      <w:r>
        <w:t>41</w:t>
      </w:r>
      <w:r>
        <w:fldChar w:fldCharType="end"/>
      </w:r>
      <w:r>
        <w:fldChar w:fldCharType="end"/>
      </w:r>
    </w:p>
    <w:p w14:paraId="3FFCEAD9">
      <w:pPr>
        <w:pStyle w:val="13"/>
        <w:tabs>
          <w:tab w:val="right" w:leader="dot" w:pos="8306"/>
        </w:tabs>
      </w:pPr>
      <w:r>
        <w:fldChar w:fldCharType="begin"/>
      </w:r>
      <w:r>
        <w:instrText xml:space="preserve"> HYPERLINK \l "_Toc8496" </w:instrText>
      </w:r>
      <w:r>
        <w:fldChar w:fldCharType="separate"/>
      </w:r>
      <w:r>
        <w:rPr>
          <w:rFonts w:hint="eastAsia"/>
        </w:rPr>
        <w:t>引用标准名录</w:t>
      </w:r>
      <w:r>
        <w:tab/>
      </w:r>
      <w:r>
        <w:fldChar w:fldCharType="begin"/>
      </w:r>
      <w:r>
        <w:instrText xml:space="preserve"> PAGEREF _Toc8496 \h </w:instrText>
      </w:r>
      <w:r>
        <w:fldChar w:fldCharType="separate"/>
      </w:r>
      <w:r>
        <w:t>42</w:t>
      </w:r>
      <w:r>
        <w:fldChar w:fldCharType="end"/>
      </w:r>
      <w:r>
        <w:fldChar w:fldCharType="end"/>
      </w:r>
    </w:p>
    <w:p w14:paraId="64CA54FB">
      <w:pPr>
        <w:pStyle w:val="13"/>
      </w:pPr>
      <w:r>
        <w:rPr>
          <w:rFonts w:hint="eastAsia"/>
        </w:rPr>
        <w:fldChar w:fldCharType="end"/>
      </w:r>
      <w:bookmarkEnd w:id="1"/>
    </w:p>
    <w:p w14:paraId="412B0C55">
      <w:pPr>
        <w:sectPr>
          <w:footerReference r:id="rId11" w:type="default"/>
          <w:pgSz w:w="11906" w:h="16838"/>
          <w:pgMar w:top="1440" w:right="1800" w:bottom="1440" w:left="1800" w:header="851" w:footer="992" w:gutter="0"/>
          <w:pgNumType w:start="1"/>
          <w:cols w:space="720" w:num="1"/>
          <w:docGrid w:type="lines" w:linePitch="312" w:charSpace="0"/>
        </w:sectPr>
      </w:pPr>
      <w:bookmarkStart w:id="2" w:name="_Toc25300"/>
    </w:p>
    <w:p w14:paraId="2B84E8FB">
      <w:pPr>
        <w:widowControl/>
        <w:jc w:val="center"/>
        <w:rPr>
          <w:b/>
          <w:bCs/>
          <w:sz w:val="32"/>
          <w:szCs w:val="32"/>
        </w:rPr>
      </w:pPr>
      <w:r>
        <w:rPr>
          <w:b/>
          <w:kern w:val="0"/>
          <w:sz w:val="32"/>
          <w:szCs w:val="32"/>
        </w:rPr>
        <w:t>Contents</w:t>
      </w:r>
    </w:p>
    <w:p w14:paraId="24EA9F54">
      <w:pPr>
        <w:pStyle w:val="13"/>
        <w:tabs>
          <w:tab w:val="right" w:leader="dot" w:pos="8306"/>
        </w:tabs>
      </w:pPr>
      <w:r>
        <w:fldChar w:fldCharType="begin"/>
      </w:r>
      <w:r>
        <w:instrText xml:space="preserve"> HYPERLINK \l "_Toc14827" </w:instrText>
      </w:r>
      <w:r>
        <w:fldChar w:fldCharType="separate"/>
      </w:r>
      <w:r>
        <w:rPr>
          <w:rFonts w:hint="eastAsia"/>
        </w:rPr>
        <w:t xml:space="preserve">1  </w:t>
      </w:r>
      <w:r>
        <w:rPr>
          <w:rStyle w:val="22"/>
          <w:color w:val="auto"/>
          <w:szCs w:val="24"/>
          <w:u w:val="none"/>
        </w:rPr>
        <w:t xml:space="preserve">General </w:t>
      </w:r>
      <w:r>
        <w:rPr>
          <w:rStyle w:val="22"/>
          <w:rFonts w:hint="eastAsia"/>
          <w:color w:val="auto"/>
          <w:szCs w:val="24"/>
          <w:u w:val="none"/>
        </w:rPr>
        <w:t>p</w:t>
      </w:r>
      <w:r>
        <w:rPr>
          <w:rStyle w:val="22"/>
          <w:color w:val="auto"/>
          <w:szCs w:val="24"/>
          <w:u w:val="none"/>
        </w:rPr>
        <w:t>rovisions</w:t>
      </w:r>
      <w:r>
        <w:tab/>
      </w:r>
      <w:r>
        <w:t>1</w:t>
      </w:r>
      <w:r>
        <w:fldChar w:fldCharType="end"/>
      </w:r>
    </w:p>
    <w:p w14:paraId="57EF318E">
      <w:pPr>
        <w:pStyle w:val="13"/>
        <w:tabs>
          <w:tab w:val="right" w:leader="dot" w:pos="8306"/>
        </w:tabs>
      </w:pPr>
      <w:r>
        <w:fldChar w:fldCharType="begin"/>
      </w:r>
      <w:r>
        <w:instrText xml:space="preserve"> HYPERLINK \l "_Toc5174" </w:instrText>
      </w:r>
      <w:r>
        <w:fldChar w:fldCharType="separate"/>
      </w:r>
      <w:r>
        <w:rPr>
          <w:rFonts w:hint="eastAsia"/>
        </w:rPr>
        <w:t xml:space="preserve">2  </w:t>
      </w:r>
      <w:r>
        <w:rPr>
          <w:rFonts w:cs="Arial"/>
          <w:color w:val="111111"/>
        </w:rPr>
        <w:t xml:space="preserve">Terms and </w:t>
      </w:r>
      <w:r>
        <w:rPr>
          <w:rFonts w:hint="eastAsia" w:cs="Arial"/>
          <w:color w:val="111111"/>
        </w:rPr>
        <w:t>s</w:t>
      </w:r>
      <w:r>
        <w:rPr>
          <w:rFonts w:cs="Arial"/>
          <w:color w:val="111111"/>
        </w:rPr>
        <w:t>ymbols</w:t>
      </w:r>
      <w:r>
        <w:tab/>
      </w:r>
      <w:r>
        <w:t>2</w:t>
      </w:r>
      <w:r>
        <w:fldChar w:fldCharType="end"/>
      </w:r>
    </w:p>
    <w:p w14:paraId="0E4CFED6">
      <w:pPr>
        <w:pStyle w:val="14"/>
        <w:tabs>
          <w:tab w:val="right" w:leader="dot" w:pos="8306"/>
        </w:tabs>
      </w:pPr>
      <w:r>
        <w:fldChar w:fldCharType="begin"/>
      </w:r>
      <w:r>
        <w:instrText xml:space="preserve"> HYPERLINK \l "_Toc24388" </w:instrText>
      </w:r>
      <w:r>
        <w:fldChar w:fldCharType="separate"/>
      </w:r>
      <w:r>
        <w:rPr>
          <w:rFonts w:hint="eastAsia"/>
        </w:rPr>
        <w:t xml:space="preserve">2.1  </w:t>
      </w:r>
      <w:r>
        <w:rPr>
          <w:rFonts w:cs="Arial"/>
          <w:color w:val="111111"/>
        </w:rPr>
        <w:t>Term</w:t>
      </w:r>
      <w:r>
        <w:rPr>
          <w:rFonts w:hint="eastAsia" w:cs="Arial"/>
          <w:color w:val="111111"/>
        </w:rPr>
        <w:t>s</w:t>
      </w:r>
      <w:r>
        <w:tab/>
      </w:r>
      <w:r>
        <w:t>2</w:t>
      </w:r>
      <w:r>
        <w:fldChar w:fldCharType="end"/>
      </w:r>
    </w:p>
    <w:p w14:paraId="3AD920F3">
      <w:pPr>
        <w:pStyle w:val="14"/>
        <w:tabs>
          <w:tab w:val="right" w:leader="dot" w:pos="8306"/>
        </w:tabs>
      </w:pPr>
      <w:r>
        <w:fldChar w:fldCharType="begin"/>
      </w:r>
      <w:r>
        <w:instrText xml:space="preserve"> HYPERLINK \l "_Toc20351" </w:instrText>
      </w:r>
      <w:r>
        <w:fldChar w:fldCharType="separate"/>
      </w:r>
      <w:r>
        <w:rPr>
          <w:rFonts w:hint="eastAsia"/>
        </w:rPr>
        <w:t>2.2  Symbols</w:t>
      </w:r>
      <w:r>
        <w:tab/>
      </w:r>
      <w:r>
        <w:rPr>
          <w:rFonts w:hint="eastAsia"/>
        </w:rPr>
        <w:t>4</w:t>
      </w:r>
      <w:r>
        <w:rPr>
          <w:rFonts w:hint="eastAsia"/>
        </w:rPr>
        <w:fldChar w:fldCharType="end"/>
      </w:r>
    </w:p>
    <w:p w14:paraId="36D1CF83">
      <w:pPr>
        <w:pStyle w:val="13"/>
        <w:tabs>
          <w:tab w:val="right" w:leader="dot" w:pos="8306"/>
        </w:tabs>
      </w:pPr>
      <w:r>
        <w:fldChar w:fldCharType="begin"/>
      </w:r>
      <w:r>
        <w:instrText xml:space="preserve"> HYPERLINK \l "_Toc17449" </w:instrText>
      </w:r>
      <w:r>
        <w:fldChar w:fldCharType="separate"/>
      </w:r>
      <w:r>
        <w:rPr>
          <w:rFonts w:hint="eastAsia"/>
        </w:rPr>
        <w:t>3</w:t>
      </w:r>
      <w:r>
        <w:t xml:space="preserve"> </w:t>
      </w:r>
      <w:r>
        <w:rPr>
          <w:rFonts w:hint="eastAsia"/>
        </w:rPr>
        <w:t xml:space="preserve"> </w:t>
      </w:r>
      <w:r>
        <w:rPr>
          <w:rStyle w:val="22"/>
          <w:color w:val="auto"/>
          <w:szCs w:val="24"/>
          <w:u w:val="none"/>
        </w:rPr>
        <w:t xml:space="preserve">Basic </w:t>
      </w:r>
      <w:r>
        <w:rPr>
          <w:rStyle w:val="22"/>
          <w:rFonts w:hint="eastAsia"/>
          <w:color w:val="auto"/>
          <w:szCs w:val="24"/>
          <w:u w:val="none"/>
        </w:rPr>
        <w:t>r</w:t>
      </w:r>
      <w:r>
        <w:rPr>
          <w:rStyle w:val="22"/>
          <w:color w:val="auto"/>
          <w:szCs w:val="24"/>
          <w:u w:val="none"/>
        </w:rPr>
        <w:t>equirements</w:t>
      </w:r>
      <w:r>
        <w:tab/>
      </w:r>
      <w:r>
        <w:t>6</w:t>
      </w:r>
      <w:r>
        <w:fldChar w:fldCharType="end"/>
      </w:r>
    </w:p>
    <w:p w14:paraId="2A12A823">
      <w:pPr>
        <w:pStyle w:val="13"/>
        <w:tabs>
          <w:tab w:val="right" w:leader="dot" w:pos="8306"/>
        </w:tabs>
      </w:pPr>
      <w:r>
        <w:fldChar w:fldCharType="begin"/>
      </w:r>
      <w:r>
        <w:instrText xml:space="preserve"> HYPERLINK \l "_Toc23182" </w:instrText>
      </w:r>
      <w:r>
        <w:fldChar w:fldCharType="separate"/>
      </w:r>
      <w:r>
        <w:rPr>
          <w:rFonts w:hint="eastAsia"/>
        </w:rPr>
        <w:t xml:space="preserve">4 </w:t>
      </w:r>
      <w:r>
        <w:t xml:space="preserve"> </w:t>
      </w:r>
      <w:r>
        <w:rPr>
          <w:rFonts w:cs="Arial"/>
          <w:color w:val="111111"/>
        </w:rPr>
        <w:t xml:space="preserve">Survey and </w:t>
      </w:r>
      <w:r>
        <w:rPr>
          <w:rFonts w:hint="eastAsia" w:cs="Arial"/>
          <w:color w:val="111111"/>
        </w:rPr>
        <w:t>e</w:t>
      </w:r>
      <w:r>
        <w:rPr>
          <w:rFonts w:cs="Arial"/>
          <w:color w:val="111111"/>
        </w:rPr>
        <w:t xml:space="preserve">nvironmental </w:t>
      </w:r>
      <w:r>
        <w:rPr>
          <w:rFonts w:hint="eastAsia" w:cs="Arial"/>
          <w:color w:val="111111"/>
        </w:rPr>
        <w:t>i</w:t>
      </w:r>
      <w:r>
        <w:rPr>
          <w:rFonts w:cs="Arial"/>
          <w:color w:val="111111"/>
        </w:rPr>
        <w:t xml:space="preserve">nvestigation </w:t>
      </w:r>
      <w:r>
        <w:tab/>
      </w:r>
      <w:r>
        <w:rPr>
          <w:rFonts w:hint="eastAsia"/>
        </w:rPr>
        <w:t>7</w:t>
      </w:r>
      <w:r>
        <w:rPr>
          <w:rFonts w:hint="eastAsia"/>
        </w:rPr>
        <w:fldChar w:fldCharType="end"/>
      </w:r>
    </w:p>
    <w:p w14:paraId="28C90E7F">
      <w:pPr>
        <w:pStyle w:val="14"/>
        <w:tabs>
          <w:tab w:val="right" w:leader="dot" w:pos="8306"/>
        </w:tabs>
      </w:pPr>
      <w:r>
        <w:fldChar w:fldCharType="begin"/>
      </w:r>
      <w:r>
        <w:instrText xml:space="preserve"> HYPERLINK \l "_Toc142" </w:instrText>
      </w:r>
      <w:r>
        <w:fldChar w:fldCharType="separate"/>
      </w:r>
      <w:r>
        <w:rPr>
          <w:rFonts w:hint="eastAsia"/>
        </w:rPr>
        <w:t xml:space="preserve">4.1  </w:t>
      </w:r>
      <w:r>
        <w:rPr>
          <w:rFonts w:cs="Arial"/>
          <w:color w:val="111111"/>
        </w:rPr>
        <w:t xml:space="preserve">General </w:t>
      </w:r>
      <w:r>
        <w:rPr>
          <w:rFonts w:hint="eastAsia" w:cs="Arial"/>
          <w:color w:val="111111"/>
        </w:rPr>
        <w:t>p</w:t>
      </w:r>
      <w:r>
        <w:rPr>
          <w:rFonts w:cs="Arial"/>
          <w:color w:val="111111"/>
        </w:rPr>
        <w:t>rovisions</w:t>
      </w:r>
      <w:r>
        <w:tab/>
      </w:r>
      <w:r>
        <w:rPr>
          <w:rFonts w:hint="eastAsia"/>
        </w:rPr>
        <w:t>7</w:t>
      </w:r>
      <w:r>
        <w:rPr>
          <w:rFonts w:hint="eastAsia"/>
        </w:rPr>
        <w:fldChar w:fldCharType="end"/>
      </w:r>
    </w:p>
    <w:p w14:paraId="443DF86D">
      <w:pPr>
        <w:pStyle w:val="14"/>
        <w:tabs>
          <w:tab w:val="right" w:leader="dot" w:pos="8306"/>
        </w:tabs>
      </w:pPr>
      <w:r>
        <w:fldChar w:fldCharType="begin"/>
      </w:r>
      <w:r>
        <w:instrText xml:space="preserve"> HYPERLINK \l "_Toc25584" </w:instrText>
      </w:r>
      <w:r>
        <w:fldChar w:fldCharType="separate"/>
      </w:r>
      <w:r>
        <w:rPr>
          <w:rFonts w:hint="eastAsia"/>
        </w:rPr>
        <w:t xml:space="preserve">4.2  </w:t>
      </w:r>
      <w:r>
        <w:rPr>
          <w:rFonts w:cs="Arial"/>
          <w:color w:val="111111"/>
        </w:rPr>
        <w:t>Survey requirements</w:t>
      </w:r>
      <w:r>
        <w:tab/>
      </w:r>
      <w:r>
        <w:rPr>
          <w:rFonts w:hint="eastAsia"/>
        </w:rPr>
        <w:t>7</w:t>
      </w:r>
      <w:r>
        <w:rPr>
          <w:rFonts w:hint="eastAsia"/>
        </w:rPr>
        <w:fldChar w:fldCharType="end"/>
      </w:r>
    </w:p>
    <w:p w14:paraId="187042B8">
      <w:pPr>
        <w:pStyle w:val="14"/>
        <w:tabs>
          <w:tab w:val="right" w:leader="dot" w:pos="8306"/>
        </w:tabs>
      </w:pPr>
      <w:r>
        <w:fldChar w:fldCharType="begin"/>
      </w:r>
      <w:r>
        <w:instrText xml:space="preserve"> HYPERLINK \l "_Toc18134" </w:instrText>
      </w:r>
      <w:r>
        <w:fldChar w:fldCharType="separate"/>
      </w:r>
      <w:r>
        <w:rPr>
          <w:rFonts w:hint="eastAsia"/>
        </w:rPr>
        <w:t>4</w:t>
      </w:r>
      <w:r>
        <w:t>.3</w:t>
      </w:r>
      <w:r>
        <w:rPr>
          <w:rFonts w:hint="eastAsia"/>
        </w:rPr>
        <w:t xml:space="preserve"> </w:t>
      </w:r>
      <w:r>
        <w:t xml:space="preserve"> </w:t>
      </w:r>
      <w:r>
        <w:rPr>
          <w:rFonts w:cs="Arial"/>
          <w:color w:val="111111"/>
        </w:rPr>
        <w:t>Environmental investigation</w:t>
      </w:r>
      <w:r>
        <w:tab/>
      </w:r>
      <w:r>
        <w:rPr>
          <w:rFonts w:hint="eastAsia"/>
        </w:rPr>
        <w:t>7</w:t>
      </w:r>
      <w:r>
        <w:rPr>
          <w:rFonts w:hint="eastAsia"/>
        </w:rPr>
        <w:fldChar w:fldCharType="end"/>
      </w:r>
    </w:p>
    <w:p w14:paraId="25BC4D82">
      <w:pPr>
        <w:pStyle w:val="13"/>
        <w:tabs>
          <w:tab w:val="right" w:leader="dot" w:pos="8306"/>
        </w:tabs>
      </w:pPr>
      <w:r>
        <w:fldChar w:fldCharType="begin"/>
      </w:r>
      <w:r>
        <w:instrText xml:space="preserve"> HYPERLINK \l "_Toc3953" </w:instrText>
      </w:r>
      <w:r>
        <w:fldChar w:fldCharType="separate"/>
      </w:r>
      <w:r>
        <w:rPr>
          <w:rFonts w:hint="eastAsia"/>
        </w:rPr>
        <w:t>5</w:t>
      </w:r>
      <w:r>
        <w:t xml:space="preserve"> </w:t>
      </w:r>
      <w:r>
        <w:rPr>
          <w:rFonts w:hint="eastAsia"/>
        </w:rPr>
        <w:t xml:space="preserve"> </w:t>
      </w:r>
      <w:r>
        <w:rPr>
          <w:rFonts w:cs="Arial"/>
          <w:color w:val="111111"/>
        </w:rPr>
        <w:t>Support design</w:t>
      </w:r>
      <w:r>
        <w:tab/>
      </w:r>
      <w:r>
        <w:rPr>
          <w:rFonts w:hint="eastAsia"/>
        </w:rPr>
        <w:t>8</w:t>
      </w:r>
      <w:r>
        <w:rPr>
          <w:rFonts w:hint="eastAsia"/>
        </w:rPr>
        <w:fldChar w:fldCharType="end"/>
      </w:r>
    </w:p>
    <w:p w14:paraId="43F644B3">
      <w:pPr>
        <w:pStyle w:val="14"/>
        <w:tabs>
          <w:tab w:val="right" w:leader="dot" w:pos="8306"/>
        </w:tabs>
      </w:pPr>
      <w:r>
        <w:fldChar w:fldCharType="begin"/>
      </w:r>
      <w:r>
        <w:instrText xml:space="preserve"> HYPERLINK \l "_Toc22630" </w:instrText>
      </w:r>
      <w:r>
        <w:fldChar w:fldCharType="separate"/>
      </w:r>
      <w:r>
        <w:t>5.1</w:t>
      </w:r>
      <w:r>
        <w:rPr>
          <w:rFonts w:hint="eastAsia"/>
        </w:rPr>
        <w:t xml:space="preserve">  </w:t>
      </w:r>
      <w:r>
        <w:rPr>
          <w:rFonts w:cs="Arial"/>
          <w:color w:val="111111"/>
        </w:rPr>
        <w:t xml:space="preserve">General </w:t>
      </w:r>
      <w:r>
        <w:rPr>
          <w:rFonts w:hint="eastAsia" w:cs="Arial"/>
          <w:color w:val="111111"/>
        </w:rPr>
        <w:t>p</w:t>
      </w:r>
      <w:r>
        <w:rPr>
          <w:rFonts w:cs="Arial"/>
          <w:color w:val="111111"/>
        </w:rPr>
        <w:t>rovisions</w:t>
      </w:r>
      <w:r>
        <w:tab/>
      </w:r>
      <w:r>
        <w:fldChar w:fldCharType="end"/>
      </w:r>
      <w:r>
        <w:rPr>
          <w:rFonts w:hint="eastAsia"/>
        </w:rPr>
        <w:t>8</w:t>
      </w:r>
    </w:p>
    <w:p w14:paraId="59B66403">
      <w:pPr>
        <w:pStyle w:val="14"/>
        <w:tabs>
          <w:tab w:val="right" w:leader="dot" w:pos="8306"/>
        </w:tabs>
      </w:pPr>
      <w:r>
        <w:fldChar w:fldCharType="begin"/>
      </w:r>
      <w:r>
        <w:instrText xml:space="preserve"> HYPERLINK \l "_Toc28965" </w:instrText>
      </w:r>
      <w:r>
        <w:fldChar w:fldCharType="separate"/>
      </w:r>
      <w:r>
        <w:t>5.2</w:t>
      </w:r>
      <w:r>
        <w:rPr>
          <w:rFonts w:hint="eastAsia"/>
        </w:rPr>
        <w:t xml:space="preserve">  Design calculations</w:t>
      </w:r>
      <w:r>
        <w:tab/>
      </w:r>
      <w:r>
        <w:fldChar w:fldCharType="end"/>
      </w:r>
      <w:r>
        <w:rPr>
          <w:rFonts w:hint="eastAsia"/>
        </w:rPr>
        <w:t>9</w:t>
      </w:r>
    </w:p>
    <w:p w14:paraId="4527B0E3">
      <w:pPr>
        <w:pStyle w:val="14"/>
        <w:tabs>
          <w:tab w:val="right" w:leader="dot" w:pos="8306"/>
        </w:tabs>
      </w:pPr>
      <w:r>
        <w:fldChar w:fldCharType="begin"/>
      </w:r>
      <w:r>
        <w:instrText xml:space="preserve"> HYPERLINK \l "_Toc30785" </w:instrText>
      </w:r>
      <w:r>
        <w:fldChar w:fldCharType="separate"/>
      </w:r>
      <w:r>
        <w:rPr>
          <w:rFonts w:hint="eastAsia"/>
        </w:rPr>
        <w:t>5</w:t>
      </w:r>
      <w:r>
        <w:t>.3</w:t>
      </w:r>
      <w:r>
        <w:rPr>
          <w:rFonts w:hint="eastAsia"/>
        </w:rPr>
        <w:t xml:space="preserve">  </w:t>
      </w:r>
      <w:r>
        <w:rPr>
          <w:rFonts w:cs="Arial"/>
          <w:color w:val="111111"/>
        </w:rPr>
        <w:t>Layout and construction</w:t>
      </w:r>
      <w:r>
        <w:tab/>
      </w:r>
      <w:r>
        <w:rPr>
          <w:rFonts w:hint="eastAsia"/>
        </w:rPr>
        <w:t>1</w:t>
      </w:r>
      <w:r>
        <w:rPr>
          <w:rFonts w:hint="eastAsia"/>
        </w:rPr>
        <w:fldChar w:fldCharType="end"/>
      </w:r>
      <w:r>
        <w:rPr>
          <w:rFonts w:hint="eastAsia"/>
        </w:rPr>
        <w:t>2</w:t>
      </w:r>
    </w:p>
    <w:p w14:paraId="1EB9E097">
      <w:pPr>
        <w:pStyle w:val="14"/>
        <w:tabs>
          <w:tab w:val="right" w:leader="dot" w:pos="8306"/>
        </w:tabs>
      </w:pPr>
      <w:r>
        <w:fldChar w:fldCharType="begin"/>
      </w:r>
      <w:r>
        <w:instrText xml:space="preserve"> HYPERLINK \l "_Toc30785" </w:instrText>
      </w:r>
      <w:r>
        <w:fldChar w:fldCharType="separate"/>
      </w:r>
      <w:r>
        <w:rPr>
          <w:rFonts w:hint="eastAsia"/>
        </w:rPr>
        <w:t>5</w:t>
      </w:r>
      <w:r>
        <w:t>.</w:t>
      </w:r>
      <w:r>
        <w:rPr>
          <w:rFonts w:hint="eastAsia"/>
        </w:rPr>
        <w:t>4  Anti-seepage and water-stopping design</w:t>
      </w:r>
      <w:r>
        <w:tab/>
      </w:r>
      <w:r>
        <w:rPr>
          <w:rFonts w:hint="eastAsia"/>
        </w:rPr>
        <w:t>1</w:t>
      </w:r>
      <w:r>
        <w:rPr>
          <w:rFonts w:hint="eastAsia"/>
        </w:rPr>
        <w:fldChar w:fldCharType="end"/>
      </w:r>
      <w:r>
        <w:rPr>
          <w:rFonts w:hint="eastAsia"/>
        </w:rPr>
        <w:t>4</w:t>
      </w:r>
    </w:p>
    <w:p w14:paraId="5BE9B873">
      <w:pPr>
        <w:pStyle w:val="14"/>
        <w:tabs>
          <w:tab w:val="right" w:leader="dot" w:pos="8306"/>
        </w:tabs>
      </w:pPr>
      <w:r>
        <w:fldChar w:fldCharType="begin"/>
      </w:r>
      <w:r>
        <w:instrText xml:space="preserve"> HYPERLINK \l "_Toc10838" </w:instrText>
      </w:r>
      <w:r>
        <w:fldChar w:fldCharType="separate"/>
      </w:r>
      <w:r>
        <w:rPr>
          <w:rFonts w:hint="eastAsia"/>
        </w:rPr>
        <w:t>5.5  Anti-corrosion design</w:t>
      </w:r>
      <w:r>
        <w:tab/>
      </w:r>
      <w:r>
        <w:rPr>
          <w:rFonts w:hint="eastAsia"/>
        </w:rPr>
        <w:t>1</w:t>
      </w:r>
      <w:r>
        <w:rPr>
          <w:rFonts w:hint="eastAsia"/>
        </w:rPr>
        <w:fldChar w:fldCharType="end"/>
      </w:r>
      <w:r>
        <w:rPr>
          <w:rFonts w:hint="eastAsia"/>
        </w:rPr>
        <w:t>7</w:t>
      </w:r>
    </w:p>
    <w:p w14:paraId="30560B70">
      <w:pPr>
        <w:pStyle w:val="13"/>
        <w:tabs>
          <w:tab w:val="right" w:leader="dot" w:pos="8306"/>
        </w:tabs>
      </w:pPr>
      <w:r>
        <w:fldChar w:fldCharType="begin"/>
      </w:r>
      <w:r>
        <w:instrText xml:space="preserve"> HYPERLINK \l "_Toc19343" </w:instrText>
      </w:r>
      <w:r>
        <w:fldChar w:fldCharType="separate"/>
      </w:r>
      <w:r>
        <w:rPr>
          <w:rFonts w:hint="eastAsia"/>
        </w:rPr>
        <w:t>6</w:t>
      </w:r>
      <w:r>
        <w:t xml:space="preserve"> </w:t>
      </w:r>
      <w:r>
        <w:rPr>
          <w:rFonts w:hint="eastAsia"/>
        </w:rPr>
        <w:t xml:space="preserve"> </w:t>
      </w:r>
      <w:r>
        <w:rPr>
          <w:rFonts w:cs="Arial"/>
          <w:color w:val="111111"/>
        </w:rPr>
        <w:t>Construction</w:t>
      </w:r>
      <w:r>
        <w:tab/>
      </w:r>
      <w:r>
        <w:rPr>
          <w:rFonts w:hint="eastAsia"/>
        </w:rPr>
        <w:t>1</w:t>
      </w:r>
      <w:r>
        <w:rPr>
          <w:rFonts w:hint="eastAsia"/>
        </w:rPr>
        <w:fldChar w:fldCharType="end"/>
      </w:r>
      <w:r>
        <w:rPr>
          <w:rFonts w:hint="eastAsia"/>
        </w:rPr>
        <w:t>9</w:t>
      </w:r>
    </w:p>
    <w:p w14:paraId="7001A499">
      <w:pPr>
        <w:pStyle w:val="14"/>
        <w:tabs>
          <w:tab w:val="right" w:leader="dot" w:pos="8306"/>
        </w:tabs>
      </w:pPr>
      <w:r>
        <w:fldChar w:fldCharType="begin"/>
      </w:r>
      <w:r>
        <w:instrText xml:space="preserve"> HYPERLINK \l "_Toc22632" </w:instrText>
      </w:r>
      <w:r>
        <w:fldChar w:fldCharType="separate"/>
      </w:r>
      <w:r>
        <w:rPr>
          <w:rFonts w:hint="eastAsia"/>
        </w:rPr>
        <w:t xml:space="preserve">6.1  </w:t>
      </w:r>
      <w:r>
        <w:rPr>
          <w:rFonts w:cs="Arial"/>
          <w:color w:val="111111"/>
        </w:rPr>
        <w:t xml:space="preserve">General </w:t>
      </w:r>
      <w:r>
        <w:rPr>
          <w:rFonts w:hint="eastAsia" w:cs="Arial"/>
          <w:color w:val="111111"/>
        </w:rPr>
        <w:t>p</w:t>
      </w:r>
      <w:r>
        <w:rPr>
          <w:rFonts w:cs="Arial"/>
          <w:color w:val="111111"/>
        </w:rPr>
        <w:t>rovisions</w:t>
      </w:r>
      <w:r>
        <w:tab/>
      </w:r>
      <w:r>
        <w:rPr>
          <w:rFonts w:hint="eastAsia"/>
        </w:rPr>
        <w:t>1</w:t>
      </w:r>
      <w:r>
        <w:rPr>
          <w:rFonts w:hint="eastAsia"/>
        </w:rPr>
        <w:fldChar w:fldCharType="end"/>
      </w:r>
      <w:r>
        <w:rPr>
          <w:rFonts w:hint="eastAsia"/>
        </w:rPr>
        <w:t>9</w:t>
      </w:r>
    </w:p>
    <w:p w14:paraId="0A14646B">
      <w:pPr>
        <w:pStyle w:val="14"/>
        <w:tabs>
          <w:tab w:val="right" w:leader="dot" w:pos="8306"/>
        </w:tabs>
      </w:pPr>
      <w:r>
        <w:fldChar w:fldCharType="begin"/>
      </w:r>
      <w:r>
        <w:instrText xml:space="preserve"> HYPERLINK \l "_Toc23422" </w:instrText>
      </w:r>
      <w:r>
        <w:fldChar w:fldCharType="separate"/>
      </w:r>
      <w:r>
        <w:rPr>
          <w:rFonts w:hint="eastAsia"/>
        </w:rPr>
        <w:t xml:space="preserve">6.2  </w:t>
      </w:r>
      <w:r>
        <w:rPr>
          <w:rFonts w:cs="Arial"/>
          <w:color w:val="111111"/>
        </w:rPr>
        <w:t>Transporting, hoisting and stacking</w:t>
      </w:r>
      <w:r>
        <w:tab/>
      </w:r>
      <w:r>
        <w:rPr>
          <w:rFonts w:hint="eastAsia"/>
        </w:rPr>
        <w:t>1</w:t>
      </w:r>
      <w:r>
        <w:rPr>
          <w:rFonts w:hint="eastAsia"/>
        </w:rPr>
        <w:fldChar w:fldCharType="end"/>
      </w:r>
      <w:r>
        <w:rPr>
          <w:rFonts w:hint="eastAsia"/>
        </w:rPr>
        <w:t>9</w:t>
      </w:r>
    </w:p>
    <w:p w14:paraId="4B5D0076">
      <w:pPr>
        <w:pStyle w:val="14"/>
        <w:tabs>
          <w:tab w:val="right" w:leader="dot" w:pos="8306"/>
        </w:tabs>
      </w:pPr>
      <w:r>
        <w:fldChar w:fldCharType="begin"/>
      </w:r>
      <w:r>
        <w:instrText xml:space="preserve"> HYPERLINK \l "_Toc9161" </w:instrText>
      </w:r>
      <w:r>
        <w:fldChar w:fldCharType="separate"/>
      </w:r>
      <w:r>
        <w:rPr>
          <w:rFonts w:hint="eastAsia"/>
        </w:rPr>
        <w:t>6.3  Pressing piles</w:t>
      </w:r>
      <w:r>
        <w:tab/>
      </w:r>
      <w:r>
        <w:rPr>
          <w:rFonts w:hint="eastAsia"/>
        </w:rPr>
        <w:t>2</w:t>
      </w:r>
      <w:r>
        <w:rPr>
          <w:rFonts w:hint="eastAsia"/>
        </w:rPr>
        <w:fldChar w:fldCharType="end"/>
      </w:r>
      <w:r>
        <w:rPr>
          <w:rFonts w:hint="eastAsia"/>
        </w:rPr>
        <w:t>0</w:t>
      </w:r>
    </w:p>
    <w:p w14:paraId="49E7936C">
      <w:pPr>
        <w:pStyle w:val="14"/>
        <w:tabs>
          <w:tab w:val="right" w:leader="dot" w:pos="8306"/>
        </w:tabs>
      </w:pPr>
      <w:r>
        <w:fldChar w:fldCharType="begin"/>
      </w:r>
      <w:r>
        <w:instrText xml:space="preserve"> HYPERLINK \l "_Toc10993" </w:instrText>
      </w:r>
      <w:r>
        <w:fldChar w:fldCharType="separate"/>
      </w:r>
      <w:r>
        <w:rPr>
          <w:rFonts w:hint="eastAsia"/>
        </w:rPr>
        <w:t>6.4  Connecting piles</w:t>
      </w:r>
      <w:r>
        <w:tab/>
      </w:r>
      <w:r>
        <w:rPr>
          <w:rFonts w:hint="eastAsia"/>
        </w:rPr>
        <w:t>2</w:t>
      </w:r>
      <w:r>
        <w:rPr>
          <w:rFonts w:hint="eastAsia"/>
        </w:rPr>
        <w:fldChar w:fldCharType="end"/>
      </w:r>
      <w:r>
        <w:rPr>
          <w:rFonts w:hint="eastAsia"/>
        </w:rPr>
        <w:t>3</w:t>
      </w:r>
    </w:p>
    <w:p w14:paraId="540F66EE">
      <w:pPr>
        <w:pStyle w:val="14"/>
        <w:tabs>
          <w:tab w:val="right" w:leader="dot" w:pos="8306"/>
        </w:tabs>
      </w:pPr>
      <w:r>
        <w:fldChar w:fldCharType="begin"/>
      </w:r>
      <w:r>
        <w:instrText xml:space="preserve"> HYPERLINK \l "_Toc14161" </w:instrText>
      </w:r>
      <w:r>
        <w:fldChar w:fldCharType="separate"/>
      </w:r>
      <w:r>
        <w:rPr>
          <w:rFonts w:hint="eastAsia"/>
        </w:rPr>
        <w:t xml:space="preserve">6.5  Pulling piles and </w:t>
      </w:r>
      <w:r>
        <w:rPr>
          <w:rFonts w:cs="Arial"/>
          <w:color w:val="111111"/>
        </w:rPr>
        <w:t>recovery</w:t>
      </w:r>
      <w:r>
        <w:tab/>
      </w:r>
      <w:r>
        <w:rPr>
          <w:rFonts w:hint="eastAsia"/>
        </w:rPr>
        <w:t>2</w:t>
      </w:r>
      <w:r>
        <w:rPr>
          <w:rFonts w:hint="eastAsia"/>
        </w:rPr>
        <w:fldChar w:fldCharType="end"/>
      </w:r>
      <w:r>
        <w:rPr>
          <w:rFonts w:hint="eastAsia"/>
        </w:rPr>
        <w:t>3</w:t>
      </w:r>
    </w:p>
    <w:p w14:paraId="6DECAA59">
      <w:pPr>
        <w:pStyle w:val="13"/>
        <w:tabs>
          <w:tab w:val="right" w:leader="dot" w:pos="8306"/>
        </w:tabs>
      </w:pPr>
      <w:r>
        <w:fldChar w:fldCharType="begin"/>
      </w:r>
      <w:r>
        <w:instrText xml:space="preserve"> HYPERLINK \l "_Toc32558" </w:instrText>
      </w:r>
      <w:r>
        <w:fldChar w:fldCharType="separate"/>
      </w:r>
      <w:r>
        <w:rPr>
          <w:rFonts w:hint="eastAsia"/>
        </w:rPr>
        <w:t>7  Testing and acceptance check</w:t>
      </w:r>
      <w:r>
        <w:tab/>
      </w:r>
      <w:r>
        <w:fldChar w:fldCharType="end"/>
      </w:r>
      <w:r>
        <w:rPr>
          <w:rFonts w:hint="eastAsia"/>
        </w:rPr>
        <w:t>25</w:t>
      </w:r>
    </w:p>
    <w:p w14:paraId="2B501C22">
      <w:pPr>
        <w:pStyle w:val="14"/>
        <w:tabs>
          <w:tab w:val="right" w:leader="dot" w:pos="8306"/>
        </w:tabs>
      </w:pPr>
      <w:r>
        <w:fldChar w:fldCharType="begin"/>
      </w:r>
      <w:r>
        <w:instrText xml:space="preserve"> HYPERLINK \l "_Toc30699" </w:instrText>
      </w:r>
      <w:r>
        <w:fldChar w:fldCharType="separate"/>
      </w:r>
      <w:r>
        <w:rPr>
          <w:rFonts w:hint="eastAsia"/>
        </w:rPr>
        <w:t>7.1  Acceptance inspection</w:t>
      </w:r>
      <w:r>
        <w:tab/>
      </w:r>
      <w:r>
        <w:rPr>
          <w:rFonts w:hint="eastAsia"/>
        </w:rPr>
        <w:t>2</w:t>
      </w:r>
      <w:r>
        <w:rPr>
          <w:rFonts w:hint="eastAsia"/>
        </w:rPr>
        <w:fldChar w:fldCharType="end"/>
      </w:r>
      <w:r>
        <w:rPr>
          <w:rFonts w:hint="eastAsia"/>
        </w:rPr>
        <w:t>5</w:t>
      </w:r>
    </w:p>
    <w:p w14:paraId="3B540B4F">
      <w:pPr>
        <w:pStyle w:val="14"/>
        <w:tabs>
          <w:tab w:val="right" w:leader="dot" w:pos="8306"/>
        </w:tabs>
      </w:pPr>
      <w:r>
        <w:fldChar w:fldCharType="begin"/>
      </w:r>
      <w:r>
        <w:instrText xml:space="preserve"> HYPERLINK \l "_Toc30614" </w:instrText>
      </w:r>
      <w:r>
        <w:fldChar w:fldCharType="separate"/>
      </w:r>
      <w:r>
        <w:rPr>
          <w:rFonts w:hint="eastAsia"/>
        </w:rPr>
        <w:t>7.2  Construction inspection</w:t>
      </w:r>
      <w:r>
        <w:tab/>
      </w:r>
      <w:r>
        <w:fldChar w:fldCharType="end"/>
      </w:r>
      <w:r>
        <w:rPr>
          <w:rFonts w:hint="eastAsia"/>
        </w:rPr>
        <w:t>26</w:t>
      </w:r>
    </w:p>
    <w:p w14:paraId="2242B011">
      <w:pPr>
        <w:pStyle w:val="14"/>
        <w:tabs>
          <w:tab w:val="right" w:leader="dot" w:pos="8306"/>
        </w:tabs>
      </w:pPr>
      <w:r>
        <w:fldChar w:fldCharType="begin"/>
      </w:r>
      <w:r>
        <w:instrText xml:space="preserve"> HYPERLINK \l "_Toc30699" </w:instrText>
      </w:r>
      <w:r>
        <w:fldChar w:fldCharType="separate"/>
      </w:r>
      <w:r>
        <w:rPr>
          <w:rFonts w:hint="eastAsia"/>
        </w:rPr>
        <w:t>7.3  Project accptance</w:t>
      </w:r>
      <w:r>
        <w:tab/>
      </w:r>
      <w:r>
        <w:fldChar w:fldCharType="end"/>
      </w:r>
      <w:r>
        <w:rPr>
          <w:rFonts w:hint="eastAsia"/>
        </w:rPr>
        <w:t>26</w:t>
      </w:r>
    </w:p>
    <w:p w14:paraId="736931E6">
      <w:pPr>
        <w:pStyle w:val="13"/>
        <w:tabs>
          <w:tab w:val="right" w:leader="dot" w:pos="8306"/>
        </w:tabs>
      </w:pPr>
      <w:r>
        <w:fldChar w:fldCharType="begin"/>
      </w:r>
      <w:r>
        <w:instrText xml:space="preserve"> HYPERLINK \l "_Toc32558" </w:instrText>
      </w:r>
      <w:r>
        <w:fldChar w:fldCharType="separate"/>
      </w:r>
      <w:r>
        <w:rPr>
          <w:rFonts w:hint="eastAsia"/>
        </w:rPr>
        <w:t>8  Excavation and monitoring</w:t>
      </w:r>
      <w:r>
        <w:tab/>
      </w:r>
      <w:r>
        <w:rPr>
          <w:rFonts w:hint="eastAsia"/>
        </w:rPr>
        <w:t>2</w:t>
      </w:r>
      <w:r>
        <w:rPr>
          <w:rFonts w:hint="eastAsia"/>
        </w:rPr>
        <w:fldChar w:fldCharType="end"/>
      </w:r>
      <w:r>
        <w:rPr>
          <w:rFonts w:hint="eastAsia"/>
        </w:rPr>
        <w:t>8</w:t>
      </w:r>
    </w:p>
    <w:p w14:paraId="25AC2776">
      <w:pPr>
        <w:pStyle w:val="14"/>
        <w:tabs>
          <w:tab w:val="right" w:leader="dot" w:pos="8306"/>
        </w:tabs>
      </w:pPr>
      <w:r>
        <w:fldChar w:fldCharType="begin"/>
      </w:r>
      <w:r>
        <w:instrText xml:space="preserve"> HYPERLINK \l "_Toc30699" </w:instrText>
      </w:r>
      <w:r>
        <w:fldChar w:fldCharType="separate"/>
      </w:r>
      <w:r>
        <w:rPr>
          <w:rFonts w:hint="eastAsia"/>
        </w:rPr>
        <w:t>8.1  General requirements</w:t>
      </w:r>
      <w:r>
        <w:tab/>
      </w:r>
      <w:r>
        <w:rPr>
          <w:rFonts w:hint="eastAsia"/>
        </w:rPr>
        <w:t>2</w:t>
      </w:r>
      <w:r>
        <w:rPr>
          <w:rFonts w:hint="eastAsia"/>
        </w:rPr>
        <w:fldChar w:fldCharType="end"/>
      </w:r>
      <w:r>
        <w:rPr>
          <w:rFonts w:hint="eastAsia"/>
        </w:rPr>
        <w:t>8</w:t>
      </w:r>
    </w:p>
    <w:p w14:paraId="5872AAB7">
      <w:pPr>
        <w:pStyle w:val="14"/>
        <w:tabs>
          <w:tab w:val="right" w:leader="dot" w:pos="8306"/>
        </w:tabs>
      </w:pPr>
      <w:r>
        <w:fldChar w:fldCharType="begin"/>
      </w:r>
      <w:r>
        <w:instrText xml:space="preserve"> HYPERLINK \l "_Toc30614" </w:instrText>
      </w:r>
      <w:r>
        <w:fldChar w:fldCharType="separate"/>
      </w:r>
      <w:r>
        <w:rPr>
          <w:rFonts w:hint="eastAsia"/>
        </w:rPr>
        <w:t>8.2  Excavation</w:t>
      </w:r>
      <w:r>
        <w:tab/>
      </w:r>
      <w:r>
        <w:rPr>
          <w:rFonts w:hint="eastAsia"/>
        </w:rPr>
        <w:t>2</w:t>
      </w:r>
      <w:r>
        <w:rPr>
          <w:rFonts w:hint="eastAsia"/>
        </w:rPr>
        <w:fldChar w:fldCharType="end"/>
      </w:r>
      <w:r>
        <w:rPr>
          <w:rFonts w:hint="eastAsia"/>
        </w:rPr>
        <w:t>8</w:t>
      </w:r>
    </w:p>
    <w:p w14:paraId="420C07F2">
      <w:pPr>
        <w:pStyle w:val="14"/>
        <w:tabs>
          <w:tab w:val="right" w:leader="dot" w:pos="8306"/>
        </w:tabs>
      </w:pPr>
      <w:r>
        <w:fldChar w:fldCharType="begin"/>
      </w:r>
      <w:r>
        <w:instrText xml:space="preserve"> HYPERLINK \l "_Toc30699" </w:instrText>
      </w:r>
      <w:r>
        <w:fldChar w:fldCharType="separate"/>
      </w:r>
      <w:r>
        <w:rPr>
          <w:rFonts w:hint="eastAsia"/>
        </w:rPr>
        <w:t>8.3  Monitoring</w:t>
      </w:r>
      <w:r>
        <w:tab/>
      </w:r>
      <w:r>
        <w:rPr>
          <w:rFonts w:hint="eastAsia"/>
        </w:rPr>
        <w:t>2</w:t>
      </w:r>
      <w:r>
        <w:rPr>
          <w:rFonts w:hint="eastAsia"/>
        </w:rPr>
        <w:fldChar w:fldCharType="end"/>
      </w:r>
      <w:r>
        <w:rPr>
          <w:rFonts w:hint="eastAsia"/>
        </w:rPr>
        <w:t>9</w:t>
      </w:r>
    </w:p>
    <w:p w14:paraId="6299A41B"/>
    <w:p w14:paraId="3B398DCE">
      <w:pPr>
        <w:pStyle w:val="13"/>
      </w:pPr>
      <w:r>
        <w:fldChar w:fldCharType="begin"/>
      </w:r>
      <w:r>
        <w:instrText xml:space="preserve"> HYPERLINK \l "_Toc32558" </w:instrText>
      </w:r>
      <w:r>
        <w:fldChar w:fldCharType="separate"/>
      </w:r>
      <w:r>
        <w:rPr>
          <w:rFonts w:cs="宋体"/>
        </w:rPr>
        <w:t>Appendix</w:t>
      </w:r>
      <w:r>
        <w:rPr>
          <w:rFonts w:hint="eastAsia" w:cs="宋体"/>
        </w:rPr>
        <w:t xml:space="preserve"> </w:t>
      </w:r>
      <w:r>
        <w:rPr>
          <w:rFonts w:cs="宋体"/>
        </w:rPr>
        <w:t>A</w:t>
      </w:r>
      <w:r>
        <w:rPr>
          <w:rFonts w:hint="eastAsia" w:cs="宋体"/>
        </w:rPr>
        <w:t xml:space="preserve"> </w:t>
      </w:r>
      <w:r>
        <w:rPr>
          <w:rFonts w:cs="宋体"/>
        </w:rPr>
        <w:t>U-shaped steel sheet pile specifications</w:t>
      </w:r>
      <w:r>
        <w:tab/>
      </w:r>
      <w:r>
        <w:rPr>
          <w:rFonts w:hint="eastAsia"/>
        </w:rPr>
        <w:t>3</w:t>
      </w:r>
      <w:r>
        <w:rPr>
          <w:rFonts w:hint="eastAsia"/>
        </w:rPr>
        <w:fldChar w:fldCharType="end"/>
      </w:r>
      <w:r>
        <w:rPr>
          <w:rFonts w:hint="eastAsia"/>
        </w:rPr>
        <w:t>2</w:t>
      </w:r>
    </w:p>
    <w:p w14:paraId="2A01E431">
      <w:pPr>
        <w:pStyle w:val="13"/>
        <w:tabs>
          <w:tab w:val="right" w:leader="dot" w:pos="8306"/>
        </w:tabs>
      </w:pPr>
      <w:r>
        <w:rPr>
          <w:rFonts w:hint="eastAsia"/>
          <w:lang w:val="zh-CN"/>
        </w:rPr>
        <w:fldChar w:fldCharType="begin"/>
      </w:r>
      <w:r>
        <w:rPr>
          <w:rFonts w:hint="eastAsia"/>
        </w:rPr>
        <w:instrText xml:space="preserve"> HYPERLINK \l _Toc32558 </w:instrText>
      </w:r>
      <w:r>
        <w:rPr>
          <w:rFonts w:hint="eastAsia"/>
          <w:lang w:val="zh-CN"/>
        </w:rPr>
        <w:fldChar w:fldCharType="separate"/>
      </w:r>
      <w:r>
        <w:fldChar w:fldCharType="begin"/>
      </w:r>
      <w:r>
        <w:instrText xml:space="preserve"> HYPERLINK \l "_Toc32558" </w:instrText>
      </w:r>
      <w:r>
        <w:fldChar w:fldCharType="separate"/>
      </w:r>
      <w:r>
        <w:rPr>
          <w:rFonts w:cs="宋体"/>
          <w:szCs w:val="24"/>
        </w:rPr>
        <w:t>Appendix</w:t>
      </w:r>
      <w:r>
        <w:rPr>
          <w:rFonts w:hint="eastAsia" w:cs="宋体"/>
          <w:szCs w:val="24"/>
        </w:rPr>
        <w:t xml:space="preserve"> B </w:t>
      </w:r>
      <w:r>
        <w:rPr>
          <w:rFonts w:cs="宋体"/>
          <w:szCs w:val="24"/>
        </w:rPr>
        <w:t>Reaction</w:t>
      </w:r>
      <w:r>
        <w:rPr>
          <w:rFonts w:hint="eastAsia" w:cs="宋体"/>
          <w:szCs w:val="24"/>
        </w:rPr>
        <w:t xml:space="preserve"> </w:t>
      </w:r>
      <w:r>
        <w:rPr>
          <w:rFonts w:cs="宋体"/>
          <w:szCs w:val="24"/>
        </w:rPr>
        <w:t>coefficient</w:t>
      </w:r>
      <w:r>
        <w:rPr>
          <w:rFonts w:hint="eastAsia" w:cs="宋体"/>
          <w:szCs w:val="24"/>
        </w:rPr>
        <w:t xml:space="preserve"> </w:t>
      </w:r>
      <w:r>
        <w:rPr>
          <w:rFonts w:cs="宋体"/>
          <w:szCs w:val="24"/>
        </w:rPr>
        <w:t>of</w:t>
      </w:r>
      <w:r>
        <w:rPr>
          <w:rFonts w:hint="eastAsia" w:cs="宋体"/>
          <w:szCs w:val="24"/>
        </w:rPr>
        <w:t xml:space="preserve"> </w:t>
      </w:r>
      <w:r>
        <w:rPr>
          <w:rFonts w:cs="宋体"/>
          <w:szCs w:val="24"/>
        </w:rPr>
        <w:t>horizontal</w:t>
      </w:r>
      <w:r>
        <w:rPr>
          <w:rFonts w:hint="eastAsia" w:cs="宋体"/>
          <w:szCs w:val="24"/>
        </w:rPr>
        <w:t xml:space="preserve"> </w:t>
      </w:r>
      <w:r>
        <w:rPr>
          <w:rFonts w:cs="宋体"/>
          <w:szCs w:val="24"/>
        </w:rPr>
        <w:t>foundations</w:t>
      </w:r>
      <w:r>
        <w:tab/>
      </w:r>
      <w:r>
        <w:fldChar w:fldCharType="end"/>
      </w:r>
      <w:r>
        <w:t>3</w:t>
      </w:r>
      <w:r>
        <w:rPr>
          <w:rFonts w:hint="eastAsia"/>
        </w:rPr>
        <w:t>3</w:t>
      </w:r>
    </w:p>
    <w:p w14:paraId="259BE2CD">
      <w:pPr>
        <w:pStyle w:val="13"/>
        <w:tabs>
          <w:tab w:val="right" w:leader="dot" w:pos="8306"/>
        </w:tabs>
      </w:pPr>
      <w:r>
        <w:fldChar w:fldCharType="begin"/>
      </w:r>
      <w:r>
        <w:instrText xml:space="preserve"> HYPERLINK \l "_Toc32558" </w:instrText>
      </w:r>
      <w:r>
        <w:fldChar w:fldCharType="separate"/>
      </w:r>
      <w:r>
        <w:rPr>
          <w:rFonts w:cs="宋体"/>
          <w:szCs w:val="24"/>
        </w:rPr>
        <w:t>Appendix</w:t>
      </w:r>
      <w:r>
        <w:rPr>
          <w:rFonts w:hint="eastAsia" w:cs="宋体"/>
          <w:szCs w:val="24"/>
        </w:rPr>
        <w:t xml:space="preserve"> C </w:t>
      </w:r>
      <w:r>
        <w:rPr>
          <w:rFonts w:cs="宋体"/>
          <w:szCs w:val="24"/>
        </w:rPr>
        <w:t xml:space="preserve">Selection of </w:t>
      </w:r>
      <w:r>
        <w:rPr>
          <w:rFonts w:hint="eastAsia" w:cs="宋体"/>
          <w:szCs w:val="24"/>
        </w:rPr>
        <w:t>c</w:t>
      </w:r>
      <w:r>
        <w:rPr>
          <w:rFonts w:cs="宋体"/>
          <w:szCs w:val="24"/>
        </w:rPr>
        <w:t xml:space="preserve">oating </w:t>
      </w:r>
      <w:r>
        <w:rPr>
          <w:rFonts w:hint="eastAsia" w:cs="宋体"/>
          <w:szCs w:val="24"/>
        </w:rPr>
        <w:t>s</w:t>
      </w:r>
      <w:r>
        <w:rPr>
          <w:rFonts w:cs="宋体"/>
          <w:szCs w:val="24"/>
        </w:rPr>
        <w:t>ystems</w:t>
      </w:r>
      <w:r>
        <w:rPr>
          <w:rFonts w:cs="宋体"/>
          <w:szCs w:val="24"/>
        </w:rPr>
        <w:tab/>
      </w:r>
      <w:r>
        <w:rPr>
          <w:rFonts w:cs="宋体"/>
          <w:szCs w:val="24"/>
        </w:rPr>
        <w:fldChar w:fldCharType="end"/>
      </w:r>
      <w:r>
        <w:t>3</w:t>
      </w:r>
      <w:r>
        <w:rPr>
          <w:rFonts w:hint="eastAsia"/>
        </w:rPr>
        <w:t>4</w:t>
      </w:r>
    </w:p>
    <w:p w14:paraId="68589262">
      <w:pPr>
        <w:pStyle w:val="13"/>
        <w:tabs>
          <w:tab w:val="right" w:leader="dot" w:pos="8306"/>
        </w:tabs>
      </w:pPr>
      <w:r>
        <w:rPr>
          <w:rFonts w:cs="宋体"/>
          <w:szCs w:val="24"/>
        </w:rPr>
        <w:t>Appendix</w:t>
      </w:r>
      <w:r>
        <w:rPr>
          <w:rFonts w:hint="eastAsia" w:cs="宋体"/>
          <w:szCs w:val="24"/>
        </w:rPr>
        <w:t xml:space="preserve"> D </w:t>
      </w:r>
      <w:r>
        <w:rPr>
          <w:rFonts w:cs="宋体"/>
          <w:szCs w:val="24"/>
        </w:rPr>
        <w:t>Commonly used sealants, sealing coatings and coating coatings</w:t>
      </w:r>
      <w:r>
        <w:rPr>
          <w:rFonts w:cs="宋体"/>
          <w:szCs w:val="24"/>
        </w:rPr>
        <w:tab/>
      </w:r>
      <w:r>
        <w:rPr>
          <w:rFonts w:hint="eastAsia" w:cs="宋体"/>
          <w:szCs w:val="24"/>
        </w:rPr>
        <w:t>36</w:t>
      </w:r>
      <w:r>
        <w:rPr>
          <w:rFonts w:hint="eastAsia"/>
          <w:lang w:val="zh-CN"/>
        </w:rPr>
        <w:fldChar w:fldCharType="end"/>
      </w:r>
    </w:p>
    <w:p w14:paraId="28F4B77C">
      <w:pPr>
        <w:pStyle w:val="13"/>
        <w:tabs>
          <w:tab w:val="right" w:leader="dot" w:pos="8306"/>
        </w:tabs>
      </w:pPr>
      <w:r>
        <w:fldChar w:fldCharType="begin"/>
      </w:r>
      <w:r>
        <w:instrText xml:space="preserve"> HYPERLINK \l "_Toc32558" </w:instrText>
      </w:r>
      <w:r>
        <w:fldChar w:fldCharType="separate"/>
      </w:r>
      <w:r>
        <w:rPr>
          <w:rFonts w:cs="宋体"/>
          <w:szCs w:val="24"/>
        </w:rPr>
        <w:t>Appendix</w:t>
      </w:r>
      <w:r>
        <w:rPr>
          <w:rFonts w:hint="eastAsia" w:cs="宋体"/>
          <w:szCs w:val="24"/>
        </w:rPr>
        <w:t xml:space="preserve"> E </w:t>
      </w:r>
      <w:r>
        <w:rPr>
          <w:rFonts w:cs="宋体"/>
          <w:szCs w:val="24"/>
        </w:rPr>
        <w:t xml:space="preserve">Selection of </w:t>
      </w:r>
      <w:r>
        <w:rPr>
          <w:rFonts w:hint="eastAsia" w:cs="宋体"/>
          <w:szCs w:val="24"/>
        </w:rPr>
        <w:t>t</w:t>
      </w:r>
      <w:r>
        <w:rPr>
          <w:rFonts w:cs="宋体"/>
          <w:szCs w:val="24"/>
        </w:rPr>
        <w:t xml:space="preserve">hermal </w:t>
      </w:r>
      <w:r>
        <w:rPr>
          <w:rFonts w:hint="eastAsia" w:cs="宋体"/>
          <w:szCs w:val="24"/>
        </w:rPr>
        <w:t>m</w:t>
      </w:r>
      <w:r>
        <w:rPr>
          <w:rFonts w:cs="宋体"/>
          <w:szCs w:val="24"/>
        </w:rPr>
        <w:t xml:space="preserve">etal </w:t>
      </w:r>
      <w:r>
        <w:rPr>
          <w:rFonts w:hint="eastAsia" w:cs="宋体"/>
          <w:szCs w:val="24"/>
        </w:rPr>
        <w:t>s</w:t>
      </w:r>
      <w:r>
        <w:rPr>
          <w:rFonts w:cs="宋体"/>
          <w:szCs w:val="24"/>
        </w:rPr>
        <w:t xml:space="preserve">pray </w:t>
      </w:r>
      <w:r>
        <w:rPr>
          <w:rFonts w:hint="eastAsia" w:cs="宋体"/>
          <w:szCs w:val="24"/>
        </w:rPr>
        <w:t>s</w:t>
      </w:r>
      <w:r>
        <w:rPr>
          <w:rFonts w:cs="宋体"/>
          <w:szCs w:val="24"/>
        </w:rPr>
        <w:t>ystems</w:t>
      </w:r>
      <w:r>
        <w:tab/>
      </w:r>
      <w:r>
        <w:fldChar w:fldCharType="end"/>
      </w:r>
      <w:r>
        <w:rPr>
          <w:rFonts w:hint="eastAsia"/>
        </w:rPr>
        <w:t>37</w:t>
      </w:r>
    </w:p>
    <w:p w14:paraId="4F2FC984">
      <w:pPr>
        <w:pStyle w:val="13"/>
        <w:tabs>
          <w:tab w:val="right" w:leader="dot" w:pos="8306"/>
        </w:tabs>
      </w:pPr>
      <w:r>
        <w:fldChar w:fldCharType="begin"/>
      </w:r>
      <w:r>
        <w:instrText xml:space="preserve"> HYPERLINK \l "_Toc32558" </w:instrText>
      </w:r>
      <w:r>
        <w:fldChar w:fldCharType="separate"/>
      </w:r>
      <w:r>
        <w:rPr>
          <w:rFonts w:cs="宋体"/>
          <w:szCs w:val="24"/>
        </w:rPr>
        <w:t>Appendix</w:t>
      </w:r>
      <w:r>
        <w:rPr>
          <w:rFonts w:hint="eastAsia" w:cs="宋体"/>
          <w:szCs w:val="24"/>
        </w:rPr>
        <w:t xml:space="preserve"> F </w:t>
      </w:r>
      <w:r>
        <w:rPr>
          <w:rFonts w:cs="宋体"/>
          <w:szCs w:val="24"/>
        </w:rPr>
        <w:t xml:space="preserve">Records of </w:t>
      </w:r>
      <w:r>
        <w:rPr>
          <w:rFonts w:hint="eastAsia" w:cs="宋体"/>
          <w:szCs w:val="24"/>
        </w:rPr>
        <w:t>p</w:t>
      </w:r>
      <w:r>
        <w:rPr>
          <w:rFonts w:cs="宋体"/>
          <w:szCs w:val="24"/>
        </w:rPr>
        <w:t xml:space="preserve">ile </w:t>
      </w:r>
      <w:r>
        <w:rPr>
          <w:rFonts w:hint="eastAsia" w:cs="宋体"/>
          <w:szCs w:val="24"/>
        </w:rPr>
        <w:t>s</w:t>
      </w:r>
      <w:r>
        <w:rPr>
          <w:rFonts w:cs="宋体"/>
          <w:szCs w:val="24"/>
        </w:rPr>
        <w:t xml:space="preserve">inking of </w:t>
      </w:r>
      <w:r>
        <w:rPr>
          <w:rFonts w:hint="eastAsia" w:cs="宋体"/>
          <w:szCs w:val="24"/>
        </w:rPr>
        <w:t>s</w:t>
      </w:r>
      <w:r>
        <w:rPr>
          <w:rFonts w:cs="宋体"/>
          <w:szCs w:val="24"/>
        </w:rPr>
        <w:t xml:space="preserve">teel </w:t>
      </w:r>
      <w:r>
        <w:rPr>
          <w:rFonts w:hint="eastAsia" w:cs="宋体"/>
          <w:szCs w:val="24"/>
        </w:rPr>
        <w:t>s</w:t>
      </w:r>
      <w:r>
        <w:rPr>
          <w:rFonts w:cs="宋体"/>
          <w:szCs w:val="24"/>
        </w:rPr>
        <w:t xml:space="preserve">heet </w:t>
      </w:r>
      <w:r>
        <w:rPr>
          <w:rFonts w:hint="eastAsia" w:cs="宋体"/>
          <w:szCs w:val="24"/>
        </w:rPr>
        <w:t>p</w:t>
      </w:r>
      <w:r>
        <w:rPr>
          <w:rFonts w:cs="宋体"/>
          <w:szCs w:val="24"/>
        </w:rPr>
        <w:t>iles</w:t>
      </w:r>
      <w:r>
        <w:tab/>
      </w:r>
      <w:r>
        <w:fldChar w:fldCharType="end"/>
      </w:r>
      <w:r>
        <w:rPr>
          <w:rFonts w:hint="eastAsia"/>
        </w:rPr>
        <w:t>39</w:t>
      </w:r>
    </w:p>
    <w:p w14:paraId="7752B301">
      <w:pPr>
        <w:pStyle w:val="13"/>
        <w:tabs>
          <w:tab w:val="right" w:leader="dot" w:pos="8306"/>
        </w:tabs>
      </w:pPr>
      <w:r>
        <w:fldChar w:fldCharType="begin"/>
      </w:r>
      <w:r>
        <w:instrText xml:space="preserve"> HYPERLINK \l "_Toc32558" </w:instrText>
      </w:r>
      <w:r>
        <w:fldChar w:fldCharType="separate"/>
      </w:r>
      <w:r>
        <w:rPr>
          <w:rFonts w:cs="宋体"/>
          <w:szCs w:val="24"/>
        </w:rPr>
        <w:t>Appendix</w:t>
      </w:r>
      <w:r>
        <w:rPr>
          <w:rFonts w:hint="eastAsia" w:cs="宋体"/>
          <w:szCs w:val="24"/>
        </w:rPr>
        <w:t xml:space="preserve"> G </w:t>
      </w:r>
      <w:bookmarkStart w:id="3" w:name="OLE_LINK2"/>
      <w:r>
        <w:rPr>
          <w:rFonts w:cs="宋体"/>
          <w:szCs w:val="24"/>
        </w:rPr>
        <w:t>Pile pulling resistance of steel sheet pile</w:t>
      </w:r>
      <w:bookmarkEnd w:id="3"/>
      <w:r>
        <w:tab/>
      </w:r>
      <w:r>
        <w:rPr>
          <w:rFonts w:hint="eastAsia"/>
        </w:rPr>
        <w:t>4</w:t>
      </w:r>
      <w:r>
        <w:rPr>
          <w:rFonts w:hint="eastAsia"/>
        </w:rPr>
        <w:fldChar w:fldCharType="end"/>
      </w:r>
      <w:r>
        <w:rPr>
          <w:rFonts w:hint="eastAsia"/>
        </w:rPr>
        <w:t>0</w:t>
      </w:r>
    </w:p>
    <w:p w14:paraId="3AAA1657">
      <w:pPr>
        <w:pStyle w:val="13"/>
        <w:tabs>
          <w:tab w:val="right" w:leader="dot" w:pos="8306"/>
        </w:tabs>
      </w:pPr>
      <w:r>
        <w:fldChar w:fldCharType="begin"/>
      </w:r>
      <w:r>
        <w:instrText xml:space="preserve"> HYPERLINK \l "_Toc32558" </w:instrText>
      </w:r>
      <w:r>
        <w:fldChar w:fldCharType="separate"/>
      </w:r>
      <w:r>
        <w:rPr>
          <w:rFonts w:cs="宋体"/>
          <w:szCs w:val="24"/>
        </w:rPr>
        <w:t>Explanation</w:t>
      </w:r>
      <w:r>
        <w:rPr>
          <w:rFonts w:hint="eastAsia" w:cs="宋体"/>
          <w:szCs w:val="24"/>
        </w:rPr>
        <w:t xml:space="preserve"> </w:t>
      </w:r>
      <w:r>
        <w:rPr>
          <w:rFonts w:cs="宋体"/>
          <w:szCs w:val="24"/>
        </w:rPr>
        <w:t>of</w:t>
      </w:r>
      <w:r>
        <w:rPr>
          <w:rFonts w:hint="eastAsia" w:cs="宋体"/>
          <w:szCs w:val="24"/>
        </w:rPr>
        <w:t xml:space="preserve"> </w:t>
      </w:r>
      <w:r>
        <w:rPr>
          <w:rFonts w:cs="宋体"/>
          <w:szCs w:val="24"/>
        </w:rPr>
        <w:t>standard</w:t>
      </w:r>
      <w:r>
        <w:rPr>
          <w:rFonts w:hint="eastAsia" w:cs="宋体"/>
          <w:szCs w:val="24"/>
        </w:rPr>
        <w:t xml:space="preserve"> </w:t>
      </w:r>
      <w:r>
        <w:rPr>
          <w:rFonts w:cs="宋体"/>
          <w:szCs w:val="24"/>
        </w:rPr>
        <w:t>terminology</w:t>
      </w:r>
      <w:r>
        <w:tab/>
      </w:r>
      <w:r>
        <w:fldChar w:fldCharType="end"/>
      </w:r>
      <w:r>
        <w:rPr>
          <w:rFonts w:hint="eastAsia"/>
        </w:rPr>
        <w:t>41</w:t>
      </w:r>
    </w:p>
    <w:p w14:paraId="2A27CD84">
      <w:pPr>
        <w:pStyle w:val="13"/>
        <w:tabs>
          <w:tab w:val="right" w:leader="dot" w:pos="8306"/>
        </w:tabs>
      </w:pPr>
      <w:r>
        <w:fldChar w:fldCharType="begin"/>
      </w:r>
      <w:r>
        <w:instrText xml:space="preserve"> HYPERLINK \l "_Toc32558" </w:instrText>
      </w:r>
      <w:r>
        <w:fldChar w:fldCharType="separate"/>
      </w:r>
      <w:r>
        <w:rPr>
          <w:rFonts w:cs="宋体"/>
          <w:szCs w:val="24"/>
        </w:rPr>
        <w:t>Citations</w:t>
      </w:r>
      <w:r>
        <w:rPr>
          <w:rFonts w:hint="eastAsia" w:cs="宋体"/>
          <w:szCs w:val="24"/>
        </w:rPr>
        <w:t xml:space="preserve"> </w:t>
      </w:r>
      <w:r>
        <w:rPr>
          <w:rFonts w:cs="宋体"/>
          <w:szCs w:val="24"/>
        </w:rPr>
        <w:t>to</w:t>
      </w:r>
      <w:r>
        <w:rPr>
          <w:rFonts w:hint="eastAsia" w:cs="宋体"/>
          <w:szCs w:val="24"/>
        </w:rPr>
        <w:t xml:space="preserve"> </w:t>
      </w:r>
      <w:r>
        <w:rPr>
          <w:rFonts w:cs="宋体"/>
          <w:szCs w:val="24"/>
        </w:rPr>
        <w:t>the</w:t>
      </w:r>
      <w:r>
        <w:rPr>
          <w:rFonts w:hint="eastAsia" w:cs="宋体"/>
          <w:szCs w:val="24"/>
        </w:rPr>
        <w:t xml:space="preserve"> s</w:t>
      </w:r>
      <w:r>
        <w:rPr>
          <w:rFonts w:cs="宋体"/>
          <w:szCs w:val="24"/>
        </w:rPr>
        <w:t>tandard</w:t>
      </w:r>
      <w:r>
        <w:rPr>
          <w:rFonts w:hint="eastAsia" w:cs="宋体"/>
          <w:szCs w:val="24"/>
        </w:rPr>
        <w:t xml:space="preserve"> d</w:t>
      </w:r>
      <w:r>
        <w:rPr>
          <w:rFonts w:cs="宋体"/>
          <w:szCs w:val="24"/>
        </w:rPr>
        <w:t>irectory</w:t>
      </w:r>
      <w:r>
        <w:tab/>
      </w:r>
      <w:r>
        <w:rPr>
          <w:rFonts w:hint="eastAsia"/>
        </w:rPr>
        <w:t>4</w:t>
      </w:r>
      <w:r>
        <w:rPr>
          <w:rFonts w:hint="eastAsia"/>
        </w:rPr>
        <w:fldChar w:fldCharType="end"/>
      </w:r>
      <w:r>
        <w:rPr>
          <w:rFonts w:hint="eastAsia"/>
        </w:rPr>
        <w:t>2</w:t>
      </w:r>
    </w:p>
    <w:p w14:paraId="5404067C"/>
    <w:p w14:paraId="3979B277"/>
    <w:p w14:paraId="0CC05CE5">
      <w:pPr>
        <w:sectPr>
          <w:pgSz w:w="11906" w:h="16838"/>
          <w:pgMar w:top="1440" w:right="1800" w:bottom="1440" w:left="1800" w:header="851" w:footer="992" w:gutter="0"/>
          <w:cols w:space="720" w:num="1"/>
          <w:docGrid w:type="lines" w:linePitch="312" w:charSpace="0"/>
        </w:sectPr>
      </w:pPr>
    </w:p>
    <w:p w14:paraId="4AB8729D">
      <w:pPr>
        <w:pStyle w:val="2"/>
      </w:pPr>
      <w:bookmarkStart w:id="4" w:name="_Toc6204"/>
      <w:r>
        <w:rPr>
          <w:rFonts w:hint="eastAsia"/>
        </w:rPr>
        <w:t>1  总  则</w:t>
      </w:r>
      <w:bookmarkEnd w:id="2"/>
      <w:bookmarkEnd w:id="4"/>
    </w:p>
    <w:p w14:paraId="2111DE6F">
      <w:r>
        <w:rPr>
          <w:rFonts w:hint="eastAsia"/>
        </w:rPr>
        <w:t>1.0.1  为了在静压钢板桩支护的勘察、设计、施工、监测、检测和验收中做到技术先进、安全适用、经济合理、确保质量、绿色低碳，特制定本规程。</w:t>
      </w:r>
    </w:p>
    <w:p w14:paraId="458F034B">
      <w:r>
        <w:rPr>
          <w:rFonts w:hint="eastAsia"/>
        </w:rPr>
        <w:t>1.0.2  本规程适用于广西壮族自治区内静压钢板桩支护的勘察、设计、施工、监测、检测和验收。</w:t>
      </w:r>
    </w:p>
    <w:p w14:paraId="1A7E2C37">
      <w:r>
        <w:rPr>
          <w:rFonts w:hint="eastAsia"/>
        </w:rPr>
        <w:t>1.0.3  静压钢板桩支护的设计和施工应综合考虑地质条件、施工条件、周边环境要求及支护结构使用期等因素，重视地方经验，合理选择静压钢板桩施工工艺，强化施工质量及安全控制。</w:t>
      </w:r>
    </w:p>
    <w:p w14:paraId="7572F6E5">
      <w:r>
        <w:rPr>
          <w:rFonts w:hint="eastAsia"/>
        </w:rPr>
        <w:t>1.0.4  静压钢板桩支护技术除应符合本规程的规定外，尚应符合国家、行业和广西壮族自治区现行有关标准的规定。</w:t>
      </w:r>
    </w:p>
    <w:p w14:paraId="5676A2E1"/>
    <w:p w14:paraId="20537CF7">
      <w:pPr>
        <w:pStyle w:val="2"/>
      </w:pPr>
      <w:r>
        <w:br w:type="page"/>
      </w:r>
      <w:bookmarkStart w:id="5" w:name="_Toc16931"/>
      <w:bookmarkStart w:id="6" w:name="_Toc17920"/>
      <w:r>
        <w:rPr>
          <w:rFonts w:hint="eastAsia"/>
        </w:rPr>
        <w:t>2  术语与符号</w:t>
      </w:r>
      <w:bookmarkEnd w:id="5"/>
      <w:bookmarkEnd w:id="6"/>
    </w:p>
    <w:p w14:paraId="3DEDC06F">
      <w:pPr>
        <w:pStyle w:val="3"/>
        <w:ind w:firstLine="281"/>
      </w:pPr>
      <w:bookmarkStart w:id="7" w:name="_Toc8240"/>
      <w:bookmarkStart w:id="8" w:name="_Toc7404"/>
      <w:r>
        <w:rPr>
          <w:rFonts w:hint="eastAsia"/>
        </w:rPr>
        <w:t>2.1  术语</w:t>
      </w:r>
      <w:bookmarkEnd w:id="7"/>
      <w:bookmarkEnd w:id="8"/>
    </w:p>
    <w:p w14:paraId="64FC3EB5">
      <w:r>
        <w:rPr>
          <w:rFonts w:hint="eastAsia"/>
        </w:rPr>
        <w:t>2.1.1  钢板桩  steel sheet piling</w:t>
      </w:r>
    </w:p>
    <w:p w14:paraId="3BFEA488">
      <w:pPr>
        <w:ind w:firstLine="420" w:firstLineChars="200"/>
      </w:pPr>
      <w:r>
        <w:rPr>
          <w:rFonts w:hint="eastAsia"/>
        </w:rPr>
        <w:t>以钢材为原料，经热轧或冷弯工艺加工而成，截面为U形、Z形、直线形等形状，并通过两侧锁口交互连接的支护用型钢。</w:t>
      </w:r>
    </w:p>
    <w:p w14:paraId="32FADC22">
      <w:r>
        <w:rPr>
          <w:rFonts w:hint="eastAsia"/>
        </w:rPr>
        <w:t xml:space="preserve">2.1.2 </w:t>
      </w:r>
      <w:r>
        <w:t xml:space="preserve"> </w:t>
      </w:r>
      <w:r>
        <w:rPr>
          <w:rFonts w:hint="eastAsia"/>
        </w:rPr>
        <w:t>静压沉桩法  press-in pile driving method</w:t>
      </w:r>
    </w:p>
    <w:p w14:paraId="5CDBDF50">
      <w:pPr>
        <w:ind w:firstLine="420" w:firstLineChars="200"/>
      </w:pPr>
      <w:r>
        <w:rPr>
          <w:rFonts w:hint="eastAsia"/>
        </w:rPr>
        <w:t>通过静压植桩机自重和反力基座上的配重提供反力，先将数根钢板桩压入土中；调离配重后，再通过静力压桩机夹住数根已经压入土中的钢板桩，将其拔出阻力作为反力，将下一根钢板桩压入土中的施工方法。</w:t>
      </w:r>
    </w:p>
    <w:p w14:paraId="7A12ED88">
      <w:r>
        <w:rPr>
          <w:rFonts w:hint="eastAsia"/>
        </w:rPr>
        <w:t>2.1.3  高压射水辅助静压沉桩法  press-in pile driving method with water jetting method</w:t>
      </w:r>
    </w:p>
    <w:p w14:paraId="432F62B5">
      <w:pPr>
        <w:ind w:firstLine="420" w:firstLineChars="200"/>
      </w:pPr>
      <w:r>
        <w:rPr>
          <w:rFonts w:hint="eastAsia"/>
        </w:rPr>
        <w:t>静压沉桩的同时，在桩前端的地层喷射高压水，从而降低桩端阻力、桩侧摩擦阻力及锁口间阻力，将钢板沉入土中的施工方法。</w:t>
      </w:r>
    </w:p>
    <w:p w14:paraId="0BEA8D9A">
      <w:r>
        <w:rPr>
          <w:rFonts w:hint="eastAsia"/>
        </w:rPr>
        <w:t>2.1.4  螺旋钻辅助静压沉桩法  press-in pile driving method with integral augering method</w:t>
      </w:r>
    </w:p>
    <w:p w14:paraId="40470A3D">
      <w:pPr>
        <w:ind w:firstLine="420" w:firstLineChars="200"/>
      </w:pPr>
      <w:r>
        <w:rPr>
          <w:rFonts w:hint="eastAsia"/>
        </w:rPr>
        <w:t>静压沉桩的同时，通过螺旋钻钻掘桩前端地层来降低压桩阻力的施工方法。</w:t>
      </w:r>
    </w:p>
    <w:p w14:paraId="00608FF8">
      <w:r>
        <w:rPr>
          <w:rFonts w:hint="eastAsia"/>
        </w:rPr>
        <w:t>2.1.5  钢板桩支护结构  retaining structure of steel sheet pile</w:t>
      </w:r>
    </w:p>
    <w:p w14:paraId="137FCD5A">
      <w:pPr>
        <w:ind w:firstLine="420" w:firstLineChars="200"/>
      </w:pPr>
      <w:r>
        <w:rPr>
          <w:rFonts w:hint="eastAsia"/>
        </w:rPr>
        <w:t>由钢板桩墙、锚杆(索)支撑、冠梁、围等构件组成的为基坑提供支挡抗力的结构，常用的支护结构类型包括悬臂式、锚碇式、桩锚式和内支撑式。</w:t>
      </w:r>
    </w:p>
    <w:p w14:paraId="28F5A846">
      <w:r>
        <w:rPr>
          <w:rFonts w:hint="eastAsia"/>
        </w:rPr>
        <w:t>2.1.6  钢板桩墙  steel sheet piling wall</w:t>
      </w:r>
    </w:p>
    <w:p w14:paraId="73455E93">
      <w:pPr>
        <w:ind w:firstLine="420" w:firstLineChars="200"/>
      </w:pPr>
      <w:r>
        <w:rPr>
          <w:rFonts w:hint="eastAsia"/>
        </w:rPr>
        <w:t>由钢板桩两侧锁口交互连接形成连续封闭具有止水功能的挡土结构。</w:t>
      </w:r>
    </w:p>
    <w:p w14:paraId="474A14F4">
      <w:r>
        <w:rPr>
          <w:rFonts w:hint="eastAsia"/>
        </w:rPr>
        <w:t>2.1.7  锁口  interlocks</w:t>
      </w:r>
    </w:p>
    <w:p w14:paraId="0012AFAF">
      <w:pPr>
        <w:ind w:firstLine="420" w:firstLineChars="200"/>
      </w:pPr>
      <w:r>
        <w:rPr>
          <w:rFonts w:hint="eastAsia"/>
        </w:rPr>
        <w:t>钢板桩之间交互联接的接口部位。</w:t>
      </w:r>
    </w:p>
    <w:p w14:paraId="67EA7449">
      <w:r>
        <w:rPr>
          <w:rFonts w:hint="eastAsia"/>
        </w:rPr>
        <w:t>2.1.8  锚杆(索)  anchor</w:t>
      </w:r>
    </w:p>
    <w:p w14:paraId="287BF8B4">
      <w:pPr>
        <w:ind w:firstLine="420" w:firstLineChars="200"/>
      </w:pPr>
      <w:r>
        <w:rPr>
          <w:rFonts w:hint="eastAsia"/>
        </w:rPr>
        <w:t>由杆体(钢绞线、预应力螺纹钢筋、普通钢筋或钢管)注浆固结体、锚具、套管所组成的一端与支护结构构件连接，另一端锚固在稳定岩土体内的受拉杆件。杆体采用钢绞线时，亦可称为锚索。</w:t>
      </w:r>
    </w:p>
    <w:p w14:paraId="3700CCE2">
      <w:r>
        <w:rPr>
          <w:rFonts w:hint="eastAsia"/>
        </w:rPr>
        <w:t>2.1.9  内支撑  strut</w:t>
      </w:r>
    </w:p>
    <w:p w14:paraId="34C0DC7C">
      <w:pPr>
        <w:ind w:firstLine="420" w:firstLineChars="200"/>
      </w:pPr>
      <w:r>
        <w:rPr>
          <w:rFonts w:hint="eastAsia"/>
        </w:rPr>
        <w:t>用以支撑钢板桩墙，设置在基坑内的由钢或钢筋混凝土构件组成的结构，包括水平支撑和竖向斜撑。</w:t>
      </w:r>
    </w:p>
    <w:p w14:paraId="65D7477A">
      <w:r>
        <w:rPr>
          <w:rFonts w:hint="eastAsia"/>
        </w:rPr>
        <w:t>2.1.10</w:t>
      </w:r>
      <w:r>
        <w:t xml:space="preserve"> </w:t>
      </w:r>
      <w:r>
        <w:rPr>
          <w:rFonts w:hint="eastAsia"/>
        </w:rPr>
        <w:t xml:space="preserve"> </w:t>
      </w:r>
      <w:r>
        <w:t>冠梁</w:t>
      </w:r>
      <w:r>
        <w:rPr>
          <w:rFonts w:hint="eastAsia"/>
        </w:rPr>
        <w:t xml:space="preserve">  </w:t>
      </w:r>
      <w:r>
        <w:t>capping beam</w:t>
      </w:r>
    </w:p>
    <w:p w14:paraId="0EDE09A3">
      <w:pPr>
        <w:ind w:firstLine="420" w:firstLineChars="200"/>
      </w:pPr>
      <w:r>
        <w:t>设置在支护构件顶部的将支护构件连为整体的混凝土、型钢或者组合型钢形成的梁。</w:t>
      </w:r>
    </w:p>
    <w:p w14:paraId="77245E6B">
      <w:r>
        <w:rPr>
          <w:rFonts w:hint="eastAsia"/>
        </w:rPr>
        <w:t>2.1.11  围檩  waling</w:t>
      </w:r>
    </w:p>
    <w:p w14:paraId="49473584">
      <w:pPr>
        <w:ind w:firstLine="420" w:firstLineChars="200"/>
      </w:pPr>
      <w:r>
        <w:rPr>
          <w:rFonts w:hint="eastAsia"/>
        </w:rPr>
        <w:t>设置在钢板桩墙侧面的连接支锚杆件的钢梁或钢筋混凝土梁。</w:t>
      </w:r>
    </w:p>
    <w:p w14:paraId="4BDCF287">
      <w:r>
        <w:rPr>
          <w:rFonts w:hint="eastAsia"/>
        </w:rPr>
        <w:t>2.1.12  楔形桩  tapered steel sheet pile</w:t>
      </w:r>
    </w:p>
    <w:p w14:paraId="7650FC42">
      <w:pPr>
        <w:ind w:firstLine="420" w:firstLineChars="200"/>
      </w:pPr>
      <w:r>
        <w:rPr>
          <w:rFonts w:hint="eastAsia"/>
        </w:rPr>
        <w:t>顶部和底部宽度不同的异形钢板桩，主要用于钢板桩墙纵向纠偏。</w:t>
      </w:r>
    </w:p>
    <w:p w14:paraId="1BEA5A4D">
      <w:r>
        <w:rPr>
          <w:rFonts w:hint="eastAsia"/>
        </w:rPr>
        <w:t>2.1.13  双排钢板桩墙  double-row steel sheet piling wall</w:t>
      </w:r>
    </w:p>
    <w:p w14:paraId="08970C39">
      <w:pPr>
        <w:ind w:firstLine="420" w:firstLineChars="200"/>
      </w:pPr>
      <w:r>
        <w:rPr>
          <w:rFonts w:hint="eastAsia"/>
        </w:rPr>
        <w:t>沿基坑侧壁排列设置的由前、后两排钢板桩和拉杆或连梁连接组成的挡土结构。</w:t>
      </w:r>
    </w:p>
    <w:p w14:paraId="25BCAECA">
      <w:r>
        <w:rPr>
          <w:rFonts w:hint="eastAsia"/>
        </w:rPr>
        <w:t>2.1.14  嵌固深度  embedded depth</w:t>
      </w:r>
    </w:p>
    <w:p w14:paraId="528A4B2E">
      <w:pPr>
        <w:ind w:firstLine="420" w:firstLineChars="200"/>
      </w:pPr>
      <w:r>
        <w:rPr>
          <w:rFonts w:hint="eastAsia"/>
        </w:rPr>
        <w:t>为保证支护结构的整体稳定，钢板桩墙在基坑底面以下的埋置深度。</w:t>
      </w:r>
    </w:p>
    <w:p w14:paraId="1E730EB6"/>
    <w:p w14:paraId="3F081E47">
      <w:r>
        <w:rPr>
          <w:rFonts w:hint="eastAsia"/>
        </w:rPr>
        <w:t>2.1.15  止水帷幕  water cut-off curtain</w:t>
      </w:r>
    </w:p>
    <w:p w14:paraId="357E728B">
      <w:pPr>
        <w:ind w:firstLine="420" w:firstLineChars="200"/>
      </w:pPr>
      <w:r>
        <w:rPr>
          <w:rFonts w:hint="eastAsia"/>
        </w:rPr>
        <w:t>用于阻截或减少地下水流入的连续防渗体。</w:t>
      </w:r>
    </w:p>
    <w:p w14:paraId="4EFD15C9">
      <w:r>
        <w:rPr>
          <w:rFonts w:hint="eastAsia"/>
        </w:rPr>
        <w:t>2.1.16  腐蚀裕量法  corrosion allowance method</w:t>
      </w:r>
    </w:p>
    <w:p w14:paraId="5E39B14F">
      <w:pPr>
        <w:ind w:firstLine="420" w:firstLineChars="200"/>
      </w:pPr>
      <w:r>
        <w:rPr>
          <w:rFonts w:hint="eastAsia"/>
        </w:rPr>
        <w:t>设计金属构件时，考虑使用期内可能产生的腐蚀损耗而采用增加相应厚度的方法。</w:t>
      </w:r>
    </w:p>
    <w:p w14:paraId="6654161D">
      <w:r>
        <w:rPr>
          <w:rFonts w:hint="eastAsia"/>
        </w:rPr>
        <w:t>2.1.17  涂层  coating</w:t>
      </w:r>
    </w:p>
    <w:p w14:paraId="42E13E63">
      <w:pPr>
        <w:ind w:firstLine="420" w:firstLineChars="200"/>
      </w:pPr>
      <w:r>
        <w:rPr>
          <w:rFonts w:hint="eastAsia"/>
        </w:rPr>
        <w:t>由某一种涂料以一道或多道单一涂覆作业在经表面预处理后的被保护结构物表面所形成的保护层。</w:t>
      </w:r>
    </w:p>
    <w:p w14:paraId="56232C5D">
      <w:r>
        <w:rPr>
          <w:rFonts w:hint="eastAsia"/>
        </w:rPr>
        <w:t>2.1.18  金属热喷涂  hot metal spraying</w:t>
      </w:r>
    </w:p>
    <w:p w14:paraId="1E69C1CE">
      <w:pPr>
        <w:ind w:firstLine="420" w:firstLineChars="200"/>
      </w:pPr>
      <w:r>
        <w:rPr>
          <w:rFonts w:hint="eastAsia"/>
        </w:rPr>
        <w:t>用高压空气、惰性气体或电弧等将熔融的耐蚀金属喷射到经表面预处理后的被保护结构物表面，从而形成保护性涂层的工艺过程。</w:t>
      </w:r>
    </w:p>
    <w:p w14:paraId="5A3CC364">
      <w:r>
        <w:rPr>
          <w:rFonts w:hint="eastAsia"/>
        </w:rPr>
        <w:t>2.1.19  压桩阻力  resistance against pressing-in pile</w:t>
      </w:r>
    </w:p>
    <w:p w14:paraId="6820BF13">
      <w:pPr>
        <w:ind w:firstLine="420" w:firstLineChars="200"/>
      </w:pPr>
      <w:r>
        <w:rPr>
          <w:rFonts w:hint="eastAsia"/>
        </w:rPr>
        <w:t>压桩过程中土体对桩身的总阻力。</w:t>
      </w:r>
    </w:p>
    <w:p w14:paraId="4B4F1D62">
      <w:r>
        <w:rPr>
          <w:rFonts w:hint="eastAsia"/>
        </w:rPr>
        <w:t>2.1.20  试压桩  pilot piles</w:t>
      </w:r>
    </w:p>
    <w:p w14:paraId="35271E81">
      <w:pPr>
        <w:ind w:firstLine="420" w:firstLineChars="200"/>
      </w:pPr>
      <w:r>
        <w:rPr>
          <w:rFonts w:hint="eastAsia"/>
        </w:rPr>
        <w:t>为检验压桩机性能和场地地基承载力，校核场地地质情况，在工程桩施工前进行的试验性静压桩。</w:t>
      </w:r>
    </w:p>
    <w:p w14:paraId="38CA15E7">
      <w:r>
        <w:rPr>
          <w:rFonts w:hint="eastAsia"/>
        </w:rPr>
        <w:t>2.1.21  监测报警值  alarm value of monitoring</w:t>
      </w:r>
    </w:p>
    <w:p w14:paraId="3BB70CFE">
      <w:pPr>
        <w:ind w:firstLine="420" w:firstLineChars="200"/>
      </w:pPr>
      <w:r>
        <w:rPr>
          <w:rFonts w:hint="eastAsia"/>
        </w:rPr>
        <w:t>为保证工程及周边环境安全，对监测对象可能产生的异常、危险的位移量(变形)和结构的应力值等所设定的预警数值。</w:t>
      </w:r>
    </w:p>
    <w:p w14:paraId="787A5073">
      <w:pPr>
        <w:ind w:firstLine="420" w:firstLineChars="200"/>
      </w:pPr>
    </w:p>
    <w:p w14:paraId="076D465D">
      <w:pPr>
        <w:ind w:firstLine="420" w:firstLineChars="200"/>
      </w:pPr>
    </w:p>
    <w:p w14:paraId="0631178F">
      <w:pPr>
        <w:ind w:firstLine="420" w:firstLineChars="200"/>
      </w:pPr>
    </w:p>
    <w:p w14:paraId="24617E26">
      <w:pPr>
        <w:ind w:firstLine="420" w:firstLineChars="200"/>
      </w:pPr>
    </w:p>
    <w:p w14:paraId="4B31504B">
      <w:pPr>
        <w:pStyle w:val="3"/>
        <w:ind w:firstLine="281"/>
        <w:rPr>
          <w:position w:val="-464"/>
          <w:sz w:val="21"/>
          <w:szCs w:val="24"/>
        </w:rPr>
      </w:pPr>
      <w:r>
        <w:rPr>
          <w:rFonts w:hint="eastAsia"/>
        </w:rPr>
        <w:br w:type="page"/>
      </w:r>
      <w:bookmarkStart w:id="9" w:name="_Toc7824"/>
      <w:bookmarkStart w:id="10" w:name="_Toc29102"/>
      <w:r>
        <w:rPr>
          <w:rFonts w:hint="eastAsia"/>
        </w:rPr>
        <w:t>2.2  符号</w:t>
      </w:r>
      <w:bookmarkEnd w:id="9"/>
      <w:bookmarkEnd w:id="10"/>
    </w:p>
    <w:tbl>
      <w:tblPr>
        <w:tblStyle w:val="17"/>
        <w:tblW w:w="8528" w:type="dxa"/>
        <w:tblInd w:w="0" w:type="dxa"/>
        <w:tblLayout w:type="fixed"/>
        <w:tblCellMar>
          <w:top w:w="0" w:type="dxa"/>
          <w:left w:w="108" w:type="dxa"/>
          <w:bottom w:w="0" w:type="dxa"/>
          <w:right w:w="108" w:type="dxa"/>
        </w:tblCellMar>
      </w:tblPr>
      <w:tblGrid>
        <w:gridCol w:w="1533"/>
        <w:gridCol w:w="6995"/>
      </w:tblGrid>
      <w:tr w14:paraId="218E182D">
        <w:tblPrEx>
          <w:tblCellMar>
            <w:top w:w="0" w:type="dxa"/>
            <w:left w:w="108" w:type="dxa"/>
            <w:bottom w:w="0" w:type="dxa"/>
            <w:right w:w="108" w:type="dxa"/>
          </w:tblCellMar>
        </w:tblPrEx>
        <w:tc>
          <w:tcPr>
            <w:tcW w:w="1533" w:type="dxa"/>
          </w:tcPr>
          <w:p w14:paraId="3DE23AF1">
            <w:pPr>
              <w:spacing w:line="360" w:lineRule="auto"/>
              <w:ind w:right="-108" w:firstLine="630" w:firstLineChars="300"/>
              <w:jc w:val="left"/>
              <w:rPr>
                <w:i/>
                <w:kern w:val="0"/>
              </w:rPr>
            </w:pPr>
            <w:r>
              <w:rPr>
                <w:rFonts w:hint="eastAsia"/>
                <w:i/>
                <w:kern w:val="0"/>
              </w:rPr>
              <w:t>H</w:t>
            </w:r>
            <w:r>
              <w:rPr>
                <w:rFonts w:hint="eastAsia"/>
              </w:rPr>
              <w:t>—</w:t>
            </w:r>
          </w:p>
        </w:tc>
        <w:tc>
          <w:tcPr>
            <w:tcW w:w="6995" w:type="dxa"/>
            <w:vAlign w:val="center"/>
          </w:tcPr>
          <w:p w14:paraId="2AFC0665">
            <w:pPr>
              <w:snapToGrid w:val="0"/>
              <w:spacing w:line="360" w:lineRule="auto"/>
              <w:rPr>
                <w:kern w:val="0"/>
              </w:rPr>
            </w:pPr>
            <w:r>
              <w:rPr>
                <w:rFonts w:hint="eastAsia"/>
                <w:kern w:val="0"/>
              </w:rPr>
              <w:t>支护高度；</w:t>
            </w:r>
          </w:p>
        </w:tc>
      </w:tr>
      <w:tr w14:paraId="553D8E94">
        <w:tblPrEx>
          <w:tblCellMar>
            <w:top w:w="0" w:type="dxa"/>
            <w:left w:w="108" w:type="dxa"/>
            <w:bottom w:w="0" w:type="dxa"/>
            <w:right w:w="108" w:type="dxa"/>
          </w:tblCellMar>
        </w:tblPrEx>
        <w:tc>
          <w:tcPr>
            <w:tcW w:w="1533" w:type="dxa"/>
          </w:tcPr>
          <w:p w14:paraId="634234C3">
            <w:pPr>
              <w:spacing w:line="360" w:lineRule="auto"/>
              <w:ind w:right="-108" w:firstLine="630" w:firstLineChars="300"/>
              <w:jc w:val="left"/>
            </w:pPr>
            <w:r>
              <w:rPr>
                <w:i/>
                <w:kern w:val="0"/>
              </w:rPr>
              <w:t>N</w:t>
            </w:r>
            <w:r>
              <w:rPr>
                <w:rFonts w:hint="eastAsia"/>
              </w:rPr>
              <w:t>—</w:t>
            </w:r>
          </w:p>
        </w:tc>
        <w:tc>
          <w:tcPr>
            <w:tcW w:w="6995" w:type="dxa"/>
            <w:vAlign w:val="center"/>
          </w:tcPr>
          <w:p w14:paraId="7DEF0270">
            <w:pPr>
              <w:snapToGrid w:val="0"/>
              <w:spacing w:line="360" w:lineRule="auto"/>
            </w:pPr>
            <w:r>
              <w:rPr>
                <w:kern w:val="0"/>
              </w:rPr>
              <w:t>作用</w:t>
            </w:r>
            <w:r>
              <w:rPr>
                <w:rFonts w:hint="eastAsia"/>
                <w:kern w:val="0"/>
              </w:rPr>
              <w:t>在</w:t>
            </w:r>
            <w:r>
              <w:rPr>
                <w:kern w:val="0"/>
              </w:rPr>
              <w:t>每米</w:t>
            </w:r>
            <w:r>
              <w:rPr>
                <w:rFonts w:hint="eastAsia"/>
                <w:kern w:val="0"/>
              </w:rPr>
              <w:t>钢板桩上</w:t>
            </w:r>
            <w:r>
              <w:rPr>
                <w:kern w:val="0"/>
              </w:rPr>
              <w:t>轴向力</w:t>
            </w:r>
            <w:r>
              <w:rPr>
                <w:rFonts w:hint="eastAsia"/>
                <w:kern w:val="0"/>
              </w:rPr>
              <w:t>标准值；</w:t>
            </w:r>
          </w:p>
        </w:tc>
      </w:tr>
      <w:tr w14:paraId="11563394">
        <w:tblPrEx>
          <w:tblCellMar>
            <w:top w:w="0" w:type="dxa"/>
            <w:left w:w="108" w:type="dxa"/>
            <w:bottom w:w="0" w:type="dxa"/>
            <w:right w:w="108" w:type="dxa"/>
          </w:tblCellMar>
        </w:tblPrEx>
        <w:tc>
          <w:tcPr>
            <w:tcW w:w="1533" w:type="dxa"/>
          </w:tcPr>
          <w:p w14:paraId="3593A267">
            <w:pPr>
              <w:spacing w:line="360" w:lineRule="auto"/>
              <w:ind w:right="102"/>
              <w:jc w:val="center"/>
              <w:rPr>
                <w:i/>
                <w:kern w:val="0"/>
              </w:rPr>
            </w:pPr>
            <w:r>
              <w:rPr>
                <w:rFonts w:hint="eastAsia"/>
                <w:i/>
                <w:kern w:val="0"/>
              </w:rPr>
              <w:t xml:space="preserve">  </w:t>
            </w:r>
            <w:r>
              <w:rPr>
                <w:i/>
                <w:kern w:val="0"/>
              </w:rPr>
              <w:t>M</w:t>
            </w:r>
            <w:r>
              <w:rPr>
                <w:rFonts w:hint="eastAsia"/>
                <w:kern w:val="0"/>
                <w:vertAlign w:val="subscript"/>
              </w:rPr>
              <w:t>max</w:t>
            </w:r>
            <w:r>
              <w:rPr>
                <w:rFonts w:hint="eastAsia"/>
              </w:rPr>
              <w:t>—</w:t>
            </w:r>
          </w:p>
        </w:tc>
        <w:tc>
          <w:tcPr>
            <w:tcW w:w="6995" w:type="dxa"/>
            <w:vAlign w:val="center"/>
          </w:tcPr>
          <w:p w14:paraId="7BCA0CB3">
            <w:pPr>
              <w:snapToGrid w:val="0"/>
              <w:spacing w:line="360" w:lineRule="auto"/>
              <w:rPr>
                <w:kern w:val="0"/>
              </w:rPr>
            </w:pPr>
            <w:r>
              <w:rPr>
                <w:kern w:val="0"/>
              </w:rPr>
              <w:t>作用</w:t>
            </w:r>
            <w:r>
              <w:rPr>
                <w:rFonts w:hint="eastAsia"/>
                <w:kern w:val="0"/>
              </w:rPr>
              <w:t>在</w:t>
            </w:r>
            <w:r>
              <w:rPr>
                <w:kern w:val="0"/>
              </w:rPr>
              <w:t>每米</w:t>
            </w:r>
            <w:r>
              <w:rPr>
                <w:rFonts w:hint="eastAsia"/>
                <w:kern w:val="0"/>
              </w:rPr>
              <w:t>钢</w:t>
            </w:r>
            <w:r>
              <w:rPr>
                <w:kern w:val="0"/>
              </w:rPr>
              <w:t>板桩</w:t>
            </w:r>
            <w:r>
              <w:rPr>
                <w:rFonts w:hint="eastAsia"/>
                <w:kern w:val="0"/>
              </w:rPr>
              <w:t>上</w:t>
            </w:r>
            <w:r>
              <w:rPr>
                <w:kern w:val="0"/>
              </w:rPr>
              <w:t>最大弯矩</w:t>
            </w:r>
            <w:r>
              <w:rPr>
                <w:rFonts w:hint="eastAsia"/>
                <w:kern w:val="0"/>
              </w:rPr>
              <w:t>标准值（</w:t>
            </w:r>
            <w:r>
              <w:rPr>
                <w:rFonts w:hint="eastAsia"/>
              </w:rPr>
              <w:t>kN</w:t>
            </w:r>
            <w:r>
              <w:t>·</w:t>
            </w:r>
            <w:r>
              <w:rPr>
                <w:rFonts w:hint="eastAsia"/>
              </w:rPr>
              <w:t>m/m</w:t>
            </w:r>
            <w:r>
              <w:rPr>
                <w:rFonts w:hint="eastAsia"/>
                <w:kern w:val="0"/>
              </w:rPr>
              <w:t>）；</w:t>
            </w:r>
          </w:p>
        </w:tc>
      </w:tr>
      <w:tr w14:paraId="60F3D567">
        <w:tblPrEx>
          <w:tblCellMar>
            <w:top w:w="0" w:type="dxa"/>
            <w:left w:w="108" w:type="dxa"/>
            <w:bottom w:w="0" w:type="dxa"/>
            <w:right w:w="108" w:type="dxa"/>
          </w:tblCellMar>
        </w:tblPrEx>
        <w:tc>
          <w:tcPr>
            <w:tcW w:w="1533" w:type="dxa"/>
          </w:tcPr>
          <w:p w14:paraId="330574AE">
            <w:pPr>
              <w:spacing w:line="360" w:lineRule="auto"/>
              <w:ind w:right="312"/>
              <w:jc w:val="right"/>
              <w:rPr>
                <w:i/>
              </w:rPr>
            </w:pPr>
            <w:r>
              <w:rPr>
                <w:rFonts w:hint="eastAsia"/>
                <w:i/>
                <w:kern w:val="0"/>
              </w:rPr>
              <w:t xml:space="preserve">     </w:t>
            </w:r>
            <w:r>
              <w:rPr>
                <w:i/>
                <w:kern w:val="0"/>
              </w:rPr>
              <w:t>A</w:t>
            </w:r>
            <w:r>
              <w:rPr>
                <w:rFonts w:hint="eastAsia"/>
              </w:rPr>
              <w:t>—</w:t>
            </w:r>
          </w:p>
        </w:tc>
        <w:tc>
          <w:tcPr>
            <w:tcW w:w="6995" w:type="dxa"/>
            <w:vAlign w:val="center"/>
          </w:tcPr>
          <w:p w14:paraId="735A0EB9">
            <w:pPr>
              <w:snapToGrid w:val="0"/>
              <w:spacing w:line="360" w:lineRule="auto"/>
            </w:pPr>
            <w:r>
              <w:rPr>
                <w:rFonts w:hint="eastAsia"/>
                <w:kern w:val="0"/>
              </w:rPr>
              <w:t>每延米</w:t>
            </w:r>
            <w:r>
              <w:rPr>
                <w:kern w:val="0"/>
              </w:rPr>
              <w:t>钢板桩的截面面积</w:t>
            </w:r>
            <w:r>
              <w:rPr>
                <w:rFonts w:hint="eastAsia"/>
                <w:kern w:val="0"/>
              </w:rPr>
              <w:t>；</w:t>
            </w:r>
          </w:p>
        </w:tc>
      </w:tr>
      <w:tr w14:paraId="0AA4CAC4">
        <w:tblPrEx>
          <w:tblCellMar>
            <w:top w:w="0" w:type="dxa"/>
            <w:left w:w="108" w:type="dxa"/>
            <w:bottom w:w="0" w:type="dxa"/>
            <w:right w:w="108" w:type="dxa"/>
          </w:tblCellMar>
        </w:tblPrEx>
        <w:tc>
          <w:tcPr>
            <w:tcW w:w="1533" w:type="dxa"/>
          </w:tcPr>
          <w:p w14:paraId="054EB68D">
            <w:pPr>
              <w:spacing w:line="360" w:lineRule="auto"/>
              <w:ind w:right="312"/>
              <w:jc w:val="center"/>
              <w:rPr>
                <w:i/>
                <w:kern w:val="0"/>
              </w:rPr>
            </w:pPr>
            <w:r>
              <w:rPr>
                <w:rFonts w:hint="eastAsia"/>
                <w:i/>
                <w:iCs/>
              </w:rPr>
              <w:t xml:space="preserve">     </w:t>
            </w:r>
            <w:r>
              <w:rPr>
                <w:i/>
                <w:iCs/>
              </w:rPr>
              <w:t>α</w:t>
            </w:r>
            <w:r>
              <w:rPr>
                <w:rFonts w:hint="eastAsia"/>
              </w:rPr>
              <w:t>—</w:t>
            </w:r>
          </w:p>
        </w:tc>
        <w:tc>
          <w:tcPr>
            <w:tcW w:w="6995" w:type="dxa"/>
            <w:vAlign w:val="center"/>
          </w:tcPr>
          <w:p w14:paraId="37BDE271">
            <w:pPr>
              <w:snapToGrid w:val="0"/>
              <w:spacing w:line="360" w:lineRule="auto"/>
              <w:rPr>
                <w:kern w:val="0"/>
              </w:rPr>
            </w:pPr>
            <w:r>
              <w:rPr>
                <w:rFonts w:hint="eastAsia"/>
              </w:rPr>
              <w:t>折减系数；</w:t>
            </w:r>
          </w:p>
        </w:tc>
      </w:tr>
      <w:tr w14:paraId="6896E8D6">
        <w:tblPrEx>
          <w:tblCellMar>
            <w:top w:w="0" w:type="dxa"/>
            <w:left w:w="108" w:type="dxa"/>
            <w:bottom w:w="0" w:type="dxa"/>
            <w:right w:w="108" w:type="dxa"/>
          </w:tblCellMar>
        </w:tblPrEx>
        <w:tc>
          <w:tcPr>
            <w:tcW w:w="1533" w:type="dxa"/>
          </w:tcPr>
          <w:p w14:paraId="6F038024">
            <w:pPr>
              <w:spacing w:line="360" w:lineRule="auto"/>
              <w:ind w:right="102"/>
              <w:jc w:val="center"/>
              <w:rPr>
                <w:i/>
              </w:rPr>
            </w:pPr>
            <w:r>
              <w:rPr>
                <w:rFonts w:hint="eastAsia"/>
                <w:i/>
                <w:kern w:val="0"/>
              </w:rPr>
              <w:t xml:space="preserve">   </w:t>
            </w:r>
            <w:r>
              <w:rPr>
                <w:i/>
                <w:kern w:val="0"/>
              </w:rPr>
              <w:t>W</w:t>
            </w:r>
            <w:r>
              <w:rPr>
                <w:rFonts w:hint="eastAsia"/>
                <w:i/>
                <w:kern w:val="0"/>
                <w:vertAlign w:val="subscript"/>
              </w:rPr>
              <w:t>z</w:t>
            </w:r>
            <w:r>
              <w:rPr>
                <w:rFonts w:hint="eastAsia"/>
              </w:rPr>
              <w:t>—</w:t>
            </w:r>
          </w:p>
        </w:tc>
        <w:tc>
          <w:tcPr>
            <w:tcW w:w="6995" w:type="dxa"/>
            <w:vAlign w:val="center"/>
          </w:tcPr>
          <w:p w14:paraId="7457D518">
            <w:pPr>
              <w:snapToGrid w:val="0"/>
              <w:spacing w:line="360" w:lineRule="auto"/>
            </w:pPr>
            <w:r>
              <w:rPr>
                <w:rFonts w:hint="eastAsia"/>
                <w:kern w:val="0"/>
              </w:rPr>
              <w:t>每延米</w:t>
            </w:r>
            <w:r>
              <w:rPr>
                <w:kern w:val="0"/>
              </w:rPr>
              <w:t>钢板桩的</w:t>
            </w:r>
            <w:r>
              <w:rPr>
                <w:rFonts w:hint="eastAsia"/>
                <w:kern w:val="0"/>
              </w:rPr>
              <w:t>截面惯性</w:t>
            </w:r>
            <w:r>
              <w:rPr>
                <w:kern w:val="0"/>
              </w:rPr>
              <w:t>矩</w:t>
            </w:r>
            <w:r>
              <w:rPr>
                <w:rFonts w:hint="eastAsia"/>
                <w:kern w:val="0"/>
              </w:rPr>
              <w:t>；</w:t>
            </w:r>
          </w:p>
        </w:tc>
      </w:tr>
      <w:tr w14:paraId="603378DE">
        <w:tblPrEx>
          <w:tblCellMar>
            <w:top w:w="0" w:type="dxa"/>
            <w:left w:w="108" w:type="dxa"/>
            <w:bottom w:w="0" w:type="dxa"/>
            <w:right w:w="108" w:type="dxa"/>
          </w:tblCellMar>
        </w:tblPrEx>
        <w:tc>
          <w:tcPr>
            <w:tcW w:w="1533" w:type="dxa"/>
          </w:tcPr>
          <w:p w14:paraId="006F41F9">
            <w:pPr>
              <w:spacing w:line="360" w:lineRule="auto"/>
              <w:ind w:right="102"/>
              <w:jc w:val="center"/>
              <w:rPr>
                <w:i/>
                <w:kern w:val="0"/>
              </w:rPr>
            </w:pPr>
            <w:r>
              <w:rPr>
                <w:rFonts w:hint="eastAsia"/>
                <w:position w:val="-12"/>
              </w:rPr>
              <w:t xml:space="preserve"> </w:t>
            </w:r>
            <w:r>
              <w:rPr>
                <w:rFonts w:hint="eastAsia"/>
                <w:position w:val="-12"/>
              </w:rPr>
              <w:object>
                <v:shape id="_x0000_i1025" o:spt="75" type="#_x0000_t75" style="height:18pt;width:12.85pt;" o:ole="t" filled="f" o:preferrelative="t" stroked="f" coordsize="21600,21600">
                  <v:path/>
                  <v:fill on="f" focussize="0,0"/>
                  <v:stroke on="f" joinstyle="miter"/>
                  <v:imagedata r:id="rId35" o:title=""/>
                  <o:lock v:ext="edit" aspectratio="f"/>
                  <w10:wrap type="none"/>
                  <w10:anchorlock/>
                </v:shape>
                <o:OLEObject Type="Embed" ProgID="Equation.DSMT4" ShapeID="_x0000_i1025" DrawAspect="Content" ObjectID="_1468075725" r:id="rId34">
                  <o:LockedField>false</o:LockedField>
                </o:OLEObject>
              </w:object>
            </w:r>
            <w:r>
              <w:rPr>
                <w:kern w:val="0"/>
              </w:rPr>
              <w:t>—</w:t>
            </w:r>
          </w:p>
        </w:tc>
        <w:tc>
          <w:tcPr>
            <w:tcW w:w="6995" w:type="dxa"/>
            <w:vAlign w:val="center"/>
          </w:tcPr>
          <w:p w14:paraId="474293F8">
            <w:pPr>
              <w:snapToGrid w:val="0"/>
              <w:spacing w:line="360" w:lineRule="auto"/>
              <w:rPr>
                <w:kern w:val="0"/>
              </w:rPr>
            </w:pPr>
            <w:r>
              <w:rPr>
                <w:rFonts w:hint="eastAsia"/>
              </w:rPr>
              <w:t>支护结构重要性系数；</w:t>
            </w:r>
          </w:p>
        </w:tc>
      </w:tr>
      <w:tr w14:paraId="073D9942">
        <w:tblPrEx>
          <w:tblCellMar>
            <w:top w:w="0" w:type="dxa"/>
            <w:left w:w="108" w:type="dxa"/>
            <w:bottom w:w="0" w:type="dxa"/>
            <w:right w:w="108" w:type="dxa"/>
          </w:tblCellMar>
        </w:tblPrEx>
        <w:tc>
          <w:tcPr>
            <w:tcW w:w="1533" w:type="dxa"/>
          </w:tcPr>
          <w:p w14:paraId="31B0D7E8">
            <w:pPr>
              <w:spacing w:line="360" w:lineRule="auto"/>
              <w:ind w:right="312"/>
              <w:jc w:val="center"/>
              <w:rPr>
                <w:kern w:val="0"/>
                <w:position w:val="-10"/>
              </w:rPr>
            </w:pPr>
            <w:r>
              <w:rPr>
                <w:rFonts w:hint="eastAsia"/>
                <w:i/>
                <w:kern w:val="0"/>
              </w:rPr>
              <w:t xml:space="preserve">     </w:t>
            </w:r>
            <w:r>
              <w:rPr>
                <w:i/>
                <w:kern w:val="0"/>
              </w:rPr>
              <w:t>f</w:t>
            </w:r>
            <w:r>
              <w:rPr>
                <w:rFonts w:hint="eastAsia"/>
                <w:i/>
                <w:kern w:val="0"/>
              </w:rPr>
              <w:t xml:space="preserve"> </w:t>
            </w:r>
            <w:r>
              <w:rPr>
                <w:rFonts w:hint="eastAsia"/>
                <w:kern w:val="0"/>
              </w:rPr>
              <w:t>—</w:t>
            </w:r>
          </w:p>
        </w:tc>
        <w:tc>
          <w:tcPr>
            <w:tcW w:w="6995" w:type="dxa"/>
            <w:vAlign w:val="center"/>
          </w:tcPr>
          <w:p w14:paraId="6857B167">
            <w:pPr>
              <w:snapToGrid w:val="0"/>
              <w:spacing w:line="360" w:lineRule="auto"/>
            </w:pPr>
            <w:r>
              <w:rPr>
                <w:kern w:val="0"/>
              </w:rPr>
              <w:t>钢材的强度设计值</w:t>
            </w:r>
            <w:r>
              <w:rPr>
                <w:rFonts w:hint="eastAsia"/>
                <w:kern w:val="0"/>
              </w:rPr>
              <w:t>；</w:t>
            </w:r>
          </w:p>
        </w:tc>
      </w:tr>
      <w:tr w14:paraId="0C174301">
        <w:tblPrEx>
          <w:tblCellMar>
            <w:top w:w="0" w:type="dxa"/>
            <w:left w:w="108" w:type="dxa"/>
            <w:bottom w:w="0" w:type="dxa"/>
            <w:right w:w="108" w:type="dxa"/>
          </w:tblCellMar>
        </w:tblPrEx>
        <w:tc>
          <w:tcPr>
            <w:tcW w:w="1533" w:type="dxa"/>
          </w:tcPr>
          <w:p w14:paraId="612D2E79">
            <w:pPr>
              <w:spacing w:line="300" w:lineRule="auto"/>
              <w:ind w:right="-108" w:firstLine="420" w:firstLineChars="200"/>
            </w:pPr>
            <w:r>
              <w:rPr>
                <w:rFonts w:hint="eastAsia"/>
                <w:i/>
                <w:kern w:val="0"/>
              </w:rPr>
              <w:t>V</w:t>
            </w:r>
            <w:r>
              <w:rPr>
                <w:rFonts w:hint="eastAsia"/>
                <w:i/>
                <w:kern w:val="0"/>
                <w:vertAlign w:val="subscript"/>
              </w:rPr>
              <w:t>D</w:t>
            </w:r>
            <w:r>
              <w:rPr>
                <w:rFonts w:hint="eastAsia"/>
                <w:i/>
                <w:kern w:val="0"/>
              </w:rPr>
              <w:t>—</w:t>
            </w:r>
          </w:p>
        </w:tc>
        <w:tc>
          <w:tcPr>
            <w:tcW w:w="6995" w:type="dxa"/>
            <w:vAlign w:val="center"/>
          </w:tcPr>
          <w:p w14:paraId="1D5CCC53">
            <w:pPr>
              <w:snapToGrid w:val="0"/>
              <w:spacing w:line="300" w:lineRule="auto"/>
            </w:pPr>
            <w:r>
              <w:rPr>
                <w:kern w:val="0"/>
              </w:rPr>
              <w:t>作用</w:t>
            </w:r>
            <w:r>
              <w:rPr>
                <w:rFonts w:hint="eastAsia"/>
                <w:kern w:val="0"/>
              </w:rPr>
              <w:t>在</w:t>
            </w:r>
            <w:r>
              <w:rPr>
                <w:kern w:val="0"/>
              </w:rPr>
              <w:t>每</w:t>
            </w:r>
            <w:r>
              <w:rPr>
                <w:rFonts w:hint="eastAsia"/>
                <w:kern w:val="0"/>
              </w:rPr>
              <w:t>个钢</w:t>
            </w:r>
            <w:r>
              <w:rPr>
                <w:kern w:val="0"/>
              </w:rPr>
              <w:t>板桩</w:t>
            </w:r>
            <w:r>
              <w:rPr>
                <w:rFonts w:hint="eastAsia"/>
                <w:kern w:val="0"/>
              </w:rPr>
              <w:t>单元上的</w:t>
            </w:r>
            <w:r>
              <w:rPr>
                <w:kern w:val="0"/>
              </w:rPr>
              <w:t>最大</w:t>
            </w:r>
            <w:r>
              <w:rPr>
                <w:rFonts w:hint="eastAsia"/>
                <w:kern w:val="0"/>
              </w:rPr>
              <w:t>剪力标准值；</w:t>
            </w:r>
          </w:p>
        </w:tc>
      </w:tr>
      <w:tr w14:paraId="4E745B05">
        <w:tblPrEx>
          <w:tblCellMar>
            <w:top w:w="0" w:type="dxa"/>
            <w:left w:w="108" w:type="dxa"/>
            <w:bottom w:w="0" w:type="dxa"/>
            <w:right w:w="108" w:type="dxa"/>
          </w:tblCellMar>
        </w:tblPrEx>
        <w:tc>
          <w:tcPr>
            <w:tcW w:w="1533" w:type="dxa"/>
          </w:tcPr>
          <w:p w14:paraId="73722F56">
            <w:pPr>
              <w:spacing w:line="300" w:lineRule="auto"/>
              <w:ind w:right="-108"/>
              <w:jc w:val="center"/>
              <w:rPr>
                <w:i/>
              </w:rPr>
            </w:pPr>
            <w:r>
              <w:rPr>
                <w:rFonts w:hint="eastAsia"/>
                <w:i/>
                <w:kern w:val="0"/>
              </w:rPr>
              <w:t xml:space="preserve">  </w:t>
            </w:r>
            <w:r>
              <w:rPr>
                <w:i/>
                <w:kern w:val="0"/>
              </w:rPr>
              <w:t>t</w:t>
            </w:r>
            <w:r>
              <w:rPr>
                <w:i/>
                <w:kern w:val="0"/>
                <w:vertAlign w:val="subscript"/>
              </w:rPr>
              <w:t>w</w:t>
            </w:r>
            <w:r>
              <w:rPr>
                <w:rFonts w:hint="eastAsia"/>
              </w:rPr>
              <w:t>—</w:t>
            </w:r>
          </w:p>
        </w:tc>
        <w:tc>
          <w:tcPr>
            <w:tcW w:w="6995" w:type="dxa"/>
            <w:vAlign w:val="center"/>
          </w:tcPr>
          <w:p w14:paraId="7E8EFC5C">
            <w:pPr>
              <w:snapToGrid w:val="0"/>
              <w:spacing w:line="300" w:lineRule="auto"/>
            </w:pPr>
            <w:r>
              <w:rPr>
                <w:rFonts w:hint="eastAsia"/>
                <w:kern w:val="0"/>
              </w:rPr>
              <w:t>翼缘最小厚度；</w:t>
            </w:r>
          </w:p>
        </w:tc>
      </w:tr>
      <w:tr w14:paraId="2FF4E037">
        <w:tblPrEx>
          <w:tblCellMar>
            <w:top w:w="0" w:type="dxa"/>
            <w:left w:w="108" w:type="dxa"/>
            <w:bottom w:w="0" w:type="dxa"/>
            <w:right w:w="108" w:type="dxa"/>
          </w:tblCellMar>
        </w:tblPrEx>
        <w:tc>
          <w:tcPr>
            <w:tcW w:w="1533" w:type="dxa"/>
          </w:tcPr>
          <w:p w14:paraId="60D4A38F">
            <w:pPr>
              <w:spacing w:line="300" w:lineRule="auto"/>
              <w:ind w:right="-108"/>
              <w:jc w:val="center"/>
              <w:rPr>
                <w:i/>
              </w:rPr>
            </w:pPr>
            <w:r>
              <w:rPr>
                <w:rFonts w:hint="eastAsia"/>
                <w:i/>
                <w:kern w:val="0"/>
              </w:rPr>
              <w:t xml:space="preserve"> </w:t>
            </w:r>
            <w:r>
              <w:rPr>
                <w:i/>
                <w:kern w:val="0"/>
              </w:rPr>
              <w:t>t</w:t>
            </w:r>
            <w:r>
              <w:rPr>
                <w:rFonts w:hint="eastAsia"/>
                <w:i/>
                <w:kern w:val="0"/>
                <w:vertAlign w:val="subscript"/>
              </w:rPr>
              <w:t>f</w:t>
            </w:r>
            <w:r>
              <w:rPr>
                <w:rFonts w:hint="eastAsia"/>
              </w:rPr>
              <w:t>—</w:t>
            </w:r>
          </w:p>
        </w:tc>
        <w:tc>
          <w:tcPr>
            <w:tcW w:w="6995" w:type="dxa"/>
            <w:vAlign w:val="center"/>
          </w:tcPr>
          <w:p w14:paraId="58938F7F">
            <w:pPr>
              <w:snapToGrid w:val="0"/>
              <w:spacing w:line="300" w:lineRule="auto"/>
            </w:pPr>
            <w:r>
              <w:rPr>
                <w:rFonts w:hint="eastAsia"/>
                <w:kern w:val="0"/>
              </w:rPr>
              <w:t>腹板最小厚度；</w:t>
            </w:r>
          </w:p>
        </w:tc>
      </w:tr>
      <w:tr w14:paraId="3D1DB2E6">
        <w:tblPrEx>
          <w:tblCellMar>
            <w:top w:w="0" w:type="dxa"/>
            <w:left w:w="108" w:type="dxa"/>
            <w:bottom w:w="0" w:type="dxa"/>
            <w:right w:w="108" w:type="dxa"/>
          </w:tblCellMar>
        </w:tblPrEx>
        <w:tc>
          <w:tcPr>
            <w:tcW w:w="1533" w:type="dxa"/>
          </w:tcPr>
          <w:p w14:paraId="604A7917">
            <w:pPr>
              <w:spacing w:line="300" w:lineRule="auto"/>
              <w:ind w:right="-108"/>
              <w:jc w:val="center"/>
              <w:rPr>
                <w:i/>
                <w:kern w:val="0"/>
              </w:rPr>
            </w:pPr>
            <w:r>
              <w:rPr>
                <w:rFonts w:hint="eastAsia"/>
                <w:i/>
                <w:kern w:val="0"/>
              </w:rPr>
              <w:t xml:space="preserve"> </w:t>
            </w:r>
            <w:r>
              <w:rPr>
                <w:i/>
                <w:kern w:val="0"/>
              </w:rPr>
              <w:t>h</w:t>
            </w:r>
            <w:r>
              <w:rPr>
                <w:rFonts w:hint="eastAsia"/>
                <w:i/>
                <w:kern w:val="0"/>
                <w:vertAlign w:val="subscript"/>
              </w:rPr>
              <w:t>1</w:t>
            </w:r>
            <w:r>
              <w:rPr>
                <w:rFonts w:hint="eastAsia"/>
              </w:rPr>
              <w:t>—</w:t>
            </w:r>
          </w:p>
        </w:tc>
        <w:tc>
          <w:tcPr>
            <w:tcW w:w="6995" w:type="dxa"/>
            <w:vAlign w:val="center"/>
          </w:tcPr>
          <w:p w14:paraId="241462C4">
            <w:pPr>
              <w:snapToGrid w:val="0"/>
              <w:spacing w:line="300" w:lineRule="auto"/>
              <w:rPr>
                <w:kern w:val="0"/>
              </w:rPr>
            </w:pPr>
            <w:r>
              <w:rPr>
                <w:rFonts w:hint="eastAsia"/>
                <w:kern w:val="0"/>
              </w:rPr>
              <w:t>钢板桩断面总高度；</w:t>
            </w:r>
          </w:p>
        </w:tc>
      </w:tr>
      <w:tr w14:paraId="43D18BD4">
        <w:tblPrEx>
          <w:tblCellMar>
            <w:top w:w="0" w:type="dxa"/>
            <w:left w:w="108" w:type="dxa"/>
            <w:bottom w:w="0" w:type="dxa"/>
            <w:right w:w="108" w:type="dxa"/>
          </w:tblCellMar>
        </w:tblPrEx>
        <w:tc>
          <w:tcPr>
            <w:tcW w:w="1533" w:type="dxa"/>
          </w:tcPr>
          <w:p w14:paraId="3764F626">
            <w:pPr>
              <w:spacing w:line="300" w:lineRule="auto"/>
              <w:ind w:right="-108"/>
              <w:jc w:val="center"/>
              <w:rPr>
                <w:i/>
                <w:kern w:val="0"/>
              </w:rPr>
            </w:pPr>
            <w:r>
              <w:rPr>
                <w:rFonts w:hint="eastAsia"/>
                <w:i/>
                <w:kern w:val="0"/>
              </w:rPr>
              <w:t xml:space="preserve"> </w:t>
            </w:r>
            <w:r>
              <w:rPr>
                <w:i/>
                <w:kern w:val="0"/>
              </w:rPr>
              <w:t>f</w:t>
            </w:r>
            <w:r>
              <w:rPr>
                <w:rFonts w:hint="eastAsia"/>
                <w:i/>
                <w:kern w:val="0"/>
              </w:rPr>
              <w:t>v</w:t>
            </w:r>
            <w:r>
              <w:rPr>
                <w:rFonts w:hint="eastAsia"/>
                <w:kern w:val="0"/>
              </w:rPr>
              <w:t>—</w:t>
            </w:r>
          </w:p>
        </w:tc>
        <w:tc>
          <w:tcPr>
            <w:tcW w:w="6995" w:type="dxa"/>
            <w:vAlign w:val="center"/>
          </w:tcPr>
          <w:p w14:paraId="3743EC6B">
            <w:pPr>
              <w:snapToGrid w:val="0"/>
              <w:spacing w:line="300" w:lineRule="auto"/>
              <w:rPr>
                <w:kern w:val="0"/>
              </w:rPr>
            </w:pPr>
            <w:r>
              <w:rPr>
                <w:kern w:val="0"/>
              </w:rPr>
              <w:t>钢材的</w:t>
            </w:r>
            <w:r>
              <w:rPr>
                <w:rFonts w:hint="eastAsia"/>
                <w:kern w:val="0"/>
              </w:rPr>
              <w:t>抗剪</w:t>
            </w:r>
            <w:r>
              <w:rPr>
                <w:kern w:val="0"/>
              </w:rPr>
              <w:t>强度设计值</w:t>
            </w:r>
            <w:r>
              <w:rPr>
                <w:rFonts w:hint="eastAsia"/>
                <w:kern w:val="0"/>
              </w:rPr>
              <w:t>；</w:t>
            </w:r>
          </w:p>
        </w:tc>
      </w:tr>
      <w:tr w14:paraId="06269210">
        <w:tblPrEx>
          <w:tblCellMar>
            <w:top w:w="0" w:type="dxa"/>
            <w:left w:w="108" w:type="dxa"/>
            <w:bottom w:w="0" w:type="dxa"/>
            <w:right w:w="108" w:type="dxa"/>
          </w:tblCellMar>
        </w:tblPrEx>
        <w:tc>
          <w:tcPr>
            <w:tcW w:w="1533" w:type="dxa"/>
          </w:tcPr>
          <w:p w14:paraId="58EE1E61">
            <w:pPr>
              <w:spacing w:line="300" w:lineRule="auto"/>
              <w:ind w:right="-108"/>
              <w:jc w:val="center"/>
              <w:rPr>
                <w:i/>
                <w:kern w:val="0"/>
              </w:rPr>
            </w:pPr>
            <w:r>
              <w:rPr>
                <w:position w:val="-14"/>
              </w:rPr>
              <w:drawing>
                <wp:inline distT="0" distB="0" distL="114300" distR="114300">
                  <wp:extent cx="254000" cy="241300"/>
                  <wp:effectExtent l="0" t="0" r="5080" b="1905"/>
                  <wp:docPr id="1"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6"/>
                          <pic:cNvPicPr>
                            <a:picLocks noChangeAspect="1"/>
                          </pic:cNvPicPr>
                        </pic:nvPicPr>
                        <pic:blipFill>
                          <a:blip r:embed="rId36"/>
                          <a:stretch>
                            <a:fillRect/>
                          </a:stretch>
                        </pic:blipFill>
                        <pic:spPr>
                          <a:xfrm>
                            <a:off x="0" y="0"/>
                            <a:ext cx="254000" cy="241300"/>
                          </a:xfrm>
                          <a:prstGeom prst="rect">
                            <a:avLst/>
                          </a:prstGeom>
                          <a:noFill/>
                          <a:ln>
                            <a:noFill/>
                          </a:ln>
                        </pic:spPr>
                      </pic:pic>
                    </a:graphicData>
                  </a:graphic>
                </wp:inline>
              </w:drawing>
            </w:r>
            <w:r>
              <w:rPr>
                <w:kern w:val="0"/>
              </w:rPr>
              <w:t>—</w:t>
            </w:r>
          </w:p>
        </w:tc>
        <w:tc>
          <w:tcPr>
            <w:tcW w:w="6995" w:type="dxa"/>
            <w:vAlign w:val="center"/>
          </w:tcPr>
          <w:p w14:paraId="42104B53">
            <w:pPr>
              <w:snapToGrid w:val="0"/>
              <w:spacing w:line="300" w:lineRule="auto"/>
              <w:rPr>
                <w:kern w:val="0"/>
              </w:rPr>
            </w:pPr>
            <w:r>
              <w:rPr>
                <w:kern w:val="0"/>
              </w:rPr>
              <w:t>综合分项系数</w:t>
            </w:r>
            <w:r>
              <w:rPr>
                <w:rFonts w:hint="eastAsia"/>
                <w:kern w:val="0"/>
              </w:rPr>
              <w:t>；</w:t>
            </w:r>
          </w:p>
        </w:tc>
      </w:tr>
      <w:tr w14:paraId="70604118">
        <w:tblPrEx>
          <w:tblCellMar>
            <w:top w:w="0" w:type="dxa"/>
            <w:left w:w="108" w:type="dxa"/>
            <w:bottom w:w="0" w:type="dxa"/>
            <w:right w:w="108" w:type="dxa"/>
          </w:tblCellMar>
        </w:tblPrEx>
        <w:tc>
          <w:tcPr>
            <w:tcW w:w="1533" w:type="dxa"/>
          </w:tcPr>
          <w:p w14:paraId="10BE1A4D">
            <w:pPr>
              <w:spacing w:line="300" w:lineRule="auto"/>
              <w:ind w:right="-108" w:firstLine="420" w:firstLineChars="200"/>
            </w:pPr>
            <w:r>
              <w:rPr>
                <w:rFonts w:hint="eastAsia"/>
                <w:kern w:val="0"/>
              </w:rPr>
              <w:t xml:space="preserve"> </w:t>
            </w:r>
            <w:r>
              <w:rPr>
                <w:i/>
                <w:kern w:val="0"/>
              </w:rPr>
              <w:t>M</w:t>
            </w:r>
            <w:r>
              <w:rPr>
                <w:rFonts w:hint="eastAsia"/>
                <w:i/>
                <w:kern w:val="0"/>
                <w:vertAlign w:val="subscript"/>
              </w:rPr>
              <w:t>b</w:t>
            </w:r>
            <w:r>
              <w:rPr>
                <w:rFonts w:hint="eastAsia"/>
                <w:kern w:val="0"/>
                <w:vertAlign w:val="subscript"/>
              </w:rPr>
              <w:t>max</w:t>
            </w:r>
            <w:r>
              <w:rPr>
                <w:rFonts w:hint="eastAsia"/>
                <w:i/>
                <w:kern w:val="0"/>
              </w:rPr>
              <w:t>—</w:t>
            </w:r>
          </w:p>
        </w:tc>
        <w:tc>
          <w:tcPr>
            <w:tcW w:w="6995" w:type="dxa"/>
            <w:vAlign w:val="center"/>
          </w:tcPr>
          <w:p w14:paraId="6803AF12">
            <w:pPr>
              <w:snapToGrid w:val="0"/>
              <w:spacing w:line="300" w:lineRule="auto"/>
              <w:rPr>
                <w:rFonts w:ascii="宋体" w:hAnsi="宋体" w:cs="微软雅黑"/>
                <w:kern w:val="0"/>
              </w:rPr>
            </w:pPr>
            <w:r>
              <w:rPr>
                <w:rFonts w:hint="eastAsia" w:ascii="宋体" w:hAnsi="宋体" w:cs="微软雅黑"/>
                <w:kern w:val="0"/>
              </w:rPr>
              <w:t>作用标准值产生的围檩最大弯矩标准值</w:t>
            </w:r>
            <w:r>
              <w:rPr>
                <w:rFonts w:hint="eastAsia"/>
              </w:rPr>
              <w:t>（kN</w:t>
            </w:r>
            <w:r>
              <w:t>·</w:t>
            </w:r>
            <w:r>
              <w:rPr>
                <w:rFonts w:hint="eastAsia"/>
              </w:rPr>
              <w:t>m）；</w:t>
            </w:r>
          </w:p>
        </w:tc>
      </w:tr>
      <w:tr w14:paraId="55A99BBD">
        <w:tblPrEx>
          <w:tblCellMar>
            <w:top w:w="0" w:type="dxa"/>
            <w:left w:w="108" w:type="dxa"/>
            <w:bottom w:w="0" w:type="dxa"/>
            <w:right w:w="108" w:type="dxa"/>
          </w:tblCellMar>
        </w:tblPrEx>
        <w:tc>
          <w:tcPr>
            <w:tcW w:w="1533" w:type="dxa"/>
          </w:tcPr>
          <w:p w14:paraId="37AE23B7">
            <w:pPr>
              <w:spacing w:line="300" w:lineRule="auto"/>
              <w:ind w:right="-108"/>
              <w:jc w:val="center"/>
              <w:rPr>
                <w:i/>
              </w:rPr>
            </w:pPr>
            <w:r>
              <w:rPr>
                <w:rFonts w:hint="eastAsia"/>
              </w:rPr>
              <w:t xml:space="preserve">   R</w:t>
            </w:r>
            <w:r>
              <w:rPr>
                <w:rFonts w:hint="eastAsia"/>
                <w:vertAlign w:val="subscript"/>
              </w:rPr>
              <w:t>k</w:t>
            </w:r>
            <w:r>
              <w:rPr>
                <w:rFonts w:hint="eastAsia"/>
              </w:rPr>
              <w:t>—</w:t>
            </w:r>
          </w:p>
        </w:tc>
        <w:tc>
          <w:tcPr>
            <w:tcW w:w="6995" w:type="dxa"/>
            <w:vAlign w:val="center"/>
          </w:tcPr>
          <w:p w14:paraId="2E9CEFD5">
            <w:pPr>
              <w:snapToGrid w:val="0"/>
              <w:spacing w:line="300" w:lineRule="auto"/>
            </w:pPr>
            <w:r>
              <w:rPr>
                <w:rFonts w:hint="eastAsia" w:ascii="宋体" w:hAnsi="宋体" w:cs="微软雅黑"/>
                <w:kern w:val="0"/>
              </w:rPr>
              <w:t>支点力，为每米宽钢板桩墙的作用标准值</w:t>
            </w:r>
            <w:r>
              <w:rPr>
                <w:rFonts w:hint="eastAsia"/>
              </w:rPr>
              <w:t>；</w:t>
            </w:r>
          </w:p>
        </w:tc>
      </w:tr>
      <w:tr w14:paraId="3293AE3A">
        <w:tblPrEx>
          <w:tblCellMar>
            <w:top w:w="0" w:type="dxa"/>
            <w:left w:w="108" w:type="dxa"/>
            <w:bottom w:w="0" w:type="dxa"/>
            <w:right w:w="108" w:type="dxa"/>
          </w:tblCellMar>
        </w:tblPrEx>
        <w:tc>
          <w:tcPr>
            <w:tcW w:w="1533" w:type="dxa"/>
          </w:tcPr>
          <w:p w14:paraId="66C887EF">
            <w:pPr>
              <w:spacing w:line="300" w:lineRule="auto"/>
              <w:ind w:right="-108"/>
              <w:jc w:val="center"/>
              <w:rPr>
                <w:i/>
              </w:rPr>
            </w:pPr>
            <w:r>
              <w:rPr>
                <w:rFonts w:hint="eastAsia"/>
              </w:rPr>
              <w:t xml:space="preserve">   </w:t>
            </w:r>
            <w:r>
              <w:rPr>
                <w:rFonts w:hint="eastAsia"/>
                <w:i/>
                <w:kern w:val="0"/>
              </w:rPr>
              <w:t>l</w:t>
            </w:r>
            <w:r>
              <w:rPr>
                <w:rFonts w:hint="eastAsia"/>
                <w:i/>
                <w:kern w:val="0"/>
                <w:vertAlign w:val="subscript"/>
              </w:rPr>
              <w:t>a</w:t>
            </w:r>
            <w:r>
              <w:rPr>
                <w:rFonts w:hint="eastAsia"/>
              </w:rPr>
              <w:t>—</w:t>
            </w:r>
          </w:p>
        </w:tc>
        <w:tc>
          <w:tcPr>
            <w:tcW w:w="6995" w:type="dxa"/>
            <w:vAlign w:val="center"/>
          </w:tcPr>
          <w:p w14:paraId="3613D9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hint="eastAsia" w:ascii="宋体" w:hAnsi="宋体" w:cs="微软雅黑"/>
                <w:kern w:val="0"/>
                <w:lang w:eastAsia="ja-JP"/>
              </w:rPr>
              <w:t>相邻两点间间距；</w:t>
            </w:r>
          </w:p>
        </w:tc>
      </w:tr>
      <w:tr w14:paraId="22F7ACFA">
        <w:tblPrEx>
          <w:tblCellMar>
            <w:top w:w="0" w:type="dxa"/>
            <w:left w:w="108" w:type="dxa"/>
            <w:bottom w:w="0" w:type="dxa"/>
            <w:right w:w="108" w:type="dxa"/>
          </w:tblCellMar>
        </w:tblPrEx>
        <w:tc>
          <w:tcPr>
            <w:tcW w:w="1533" w:type="dxa"/>
          </w:tcPr>
          <w:p w14:paraId="668FA6C2">
            <w:pPr>
              <w:spacing w:line="300" w:lineRule="auto"/>
              <w:ind w:right="-108"/>
              <w:jc w:val="center"/>
              <w:rPr>
                <w:i/>
                <w:kern w:val="0"/>
              </w:rPr>
            </w:pPr>
            <w:r>
              <w:rPr>
                <w:rFonts w:hint="eastAsia"/>
                <w:i/>
                <w:kern w:val="0"/>
              </w:rPr>
              <w:t xml:space="preserve">  M</w:t>
            </w:r>
            <w:r>
              <w:rPr>
                <w:rFonts w:hint="eastAsia"/>
                <w:i/>
                <w:kern w:val="0"/>
                <w:vertAlign w:val="subscript"/>
              </w:rPr>
              <w:t>b</w:t>
            </w:r>
            <w:r>
              <w:rPr>
                <w:rFonts w:hint="eastAsia"/>
              </w:rPr>
              <w:t>—</w:t>
            </w:r>
          </w:p>
        </w:tc>
        <w:tc>
          <w:tcPr>
            <w:tcW w:w="6995" w:type="dxa"/>
            <w:vAlign w:val="center"/>
          </w:tcPr>
          <w:p w14:paraId="2FFD4974">
            <w:pPr>
              <w:snapToGrid w:val="0"/>
              <w:spacing w:line="300" w:lineRule="auto"/>
              <w:rPr>
                <w:kern w:val="0"/>
              </w:rPr>
            </w:pPr>
            <w:r>
              <w:rPr>
                <w:rFonts w:hint="eastAsia" w:ascii="宋体" w:hAnsi="宋体" w:cs="微软雅黑"/>
                <w:kern w:val="0"/>
                <w:lang w:eastAsia="ja-JP"/>
              </w:rPr>
              <w:t>作用标准值产生的围檩悬臂段最大弯矩标准值；</w:t>
            </w:r>
          </w:p>
        </w:tc>
      </w:tr>
      <w:tr w14:paraId="7611725C">
        <w:tblPrEx>
          <w:tblCellMar>
            <w:top w:w="0" w:type="dxa"/>
            <w:left w:w="108" w:type="dxa"/>
            <w:bottom w:w="0" w:type="dxa"/>
            <w:right w:w="108" w:type="dxa"/>
          </w:tblCellMar>
        </w:tblPrEx>
        <w:tc>
          <w:tcPr>
            <w:tcW w:w="1533" w:type="dxa"/>
          </w:tcPr>
          <w:p w14:paraId="12B3B163">
            <w:pPr>
              <w:spacing w:line="300" w:lineRule="auto"/>
              <w:ind w:right="-108"/>
              <w:jc w:val="center"/>
              <w:rPr>
                <w:i/>
                <w:kern w:val="0"/>
              </w:rPr>
            </w:pPr>
            <w:r>
              <w:rPr>
                <w:rFonts w:hint="eastAsia"/>
                <w:i/>
                <w:kern w:val="0"/>
              </w:rPr>
              <w:t xml:space="preserve">   l</w:t>
            </w:r>
            <w:r>
              <w:rPr>
                <w:rFonts w:hint="eastAsia"/>
                <w:i/>
                <w:kern w:val="0"/>
                <w:vertAlign w:val="subscript"/>
              </w:rPr>
              <w:t>b</w:t>
            </w:r>
            <w:r>
              <w:rPr>
                <w:rFonts w:hint="eastAsia"/>
                <w:kern w:val="0"/>
              </w:rPr>
              <w:t>—</w:t>
            </w:r>
          </w:p>
        </w:tc>
        <w:tc>
          <w:tcPr>
            <w:tcW w:w="6995" w:type="dxa"/>
            <w:vAlign w:val="center"/>
          </w:tcPr>
          <w:p w14:paraId="12A8F025">
            <w:pPr>
              <w:snapToGrid w:val="0"/>
              <w:spacing w:line="300" w:lineRule="auto"/>
              <w:rPr>
                <w:kern w:val="0"/>
              </w:rPr>
            </w:pPr>
            <w:r>
              <w:rPr>
                <w:rFonts w:hint="eastAsia" w:ascii="宋体" w:hAnsi="宋体" w:cs="微软雅黑"/>
                <w:kern w:val="0"/>
              </w:rPr>
              <w:t>围檩悬臂段长度；</w:t>
            </w:r>
          </w:p>
        </w:tc>
      </w:tr>
      <w:tr w14:paraId="4A936784">
        <w:tblPrEx>
          <w:tblCellMar>
            <w:top w:w="0" w:type="dxa"/>
            <w:left w:w="108" w:type="dxa"/>
            <w:bottom w:w="0" w:type="dxa"/>
            <w:right w:w="108" w:type="dxa"/>
          </w:tblCellMar>
        </w:tblPrEx>
        <w:tc>
          <w:tcPr>
            <w:tcW w:w="1533" w:type="dxa"/>
          </w:tcPr>
          <w:p w14:paraId="165D3919">
            <w:pPr>
              <w:spacing w:line="300" w:lineRule="auto"/>
              <w:ind w:right="-108" w:firstLine="630" w:firstLineChars="300"/>
            </w:pPr>
            <w:r>
              <w:rPr>
                <w:rFonts w:hint="eastAsia"/>
                <w:i/>
                <w:kern w:val="0"/>
              </w:rPr>
              <w:t>Q</w:t>
            </w:r>
            <w:r>
              <w:rPr>
                <w:rFonts w:hint="eastAsia"/>
                <w:i/>
                <w:kern w:val="0"/>
                <w:vertAlign w:val="subscript"/>
              </w:rPr>
              <w:t>uk</w:t>
            </w:r>
            <w:r>
              <w:rPr>
                <w:rFonts w:hint="eastAsia"/>
                <w:i/>
                <w:kern w:val="0"/>
              </w:rPr>
              <w:t>—</w:t>
            </w:r>
          </w:p>
        </w:tc>
        <w:tc>
          <w:tcPr>
            <w:tcW w:w="6995" w:type="dxa"/>
            <w:vAlign w:val="center"/>
          </w:tcPr>
          <w:p w14:paraId="1164295C">
            <w:pPr>
              <w:snapToGrid w:val="0"/>
              <w:spacing w:line="300" w:lineRule="auto"/>
            </w:pPr>
            <w:r>
              <w:rPr>
                <w:rFonts w:hint="eastAsia"/>
                <w:kern w:val="0"/>
              </w:rPr>
              <w:t>施工时的压桩阻力估算值；</w:t>
            </w:r>
          </w:p>
        </w:tc>
      </w:tr>
      <w:tr w14:paraId="5F77544C">
        <w:tblPrEx>
          <w:tblCellMar>
            <w:top w:w="0" w:type="dxa"/>
            <w:left w:w="108" w:type="dxa"/>
            <w:bottom w:w="0" w:type="dxa"/>
            <w:right w:w="108" w:type="dxa"/>
          </w:tblCellMar>
        </w:tblPrEx>
        <w:tc>
          <w:tcPr>
            <w:tcW w:w="1533" w:type="dxa"/>
          </w:tcPr>
          <w:p w14:paraId="13F71C88">
            <w:pPr>
              <w:spacing w:line="300" w:lineRule="auto"/>
              <w:ind w:right="-108"/>
              <w:jc w:val="center"/>
              <w:rPr>
                <w:i/>
              </w:rPr>
            </w:pPr>
            <w:r>
              <w:rPr>
                <w:rFonts w:hint="eastAsia"/>
                <w:i/>
                <w:kern w:val="0"/>
              </w:rPr>
              <w:t xml:space="preserve">    u</w:t>
            </w:r>
            <w:r>
              <w:rPr>
                <w:rFonts w:hint="eastAsia"/>
              </w:rPr>
              <w:t>—</w:t>
            </w:r>
          </w:p>
        </w:tc>
        <w:tc>
          <w:tcPr>
            <w:tcW w:w="6995" w:type="dxa"/>
            <w:vAlign w:val="center"/>
          </w:tcPr>
          <w:p w14:paraId="0A0E3E43">
            <w:pPr>
              <w:snapToGrid w:val="0"/>
              <w:spacing w:line="300" w:lineRule="auto"/>
            </w:pPr>
            <w:r>
              <w:rPr>
                <w:rFonts w:hint="eastAsia"/>
                <w:kern w:val="0"/>
              </w:rPr>
              <w:t>桩身周长；</w:t>
            </w:r>
          </w:p>
        </w:tc>
      </w:tr>
      <w:tr w14:paraId="6754C35D">
        <w:tblPrEx>
          <w:tblCellMar>
            <w:top w:w="0" w:type="dxa"/>
            <w:left w:w="108" w:type="dxa"/>
            <w:bottom w:w="0" w:type="dxa"/>
            <w:right w:w="108" w:type="dxa"/>
          </w:tblCellMar>
        </w:tblPrEx>
        <w:tc>
          <w:tcPr>
            <w:tcW w:w="1533" w:type="dxa"/>
          </w:tcPr>
          <w:p w14:paraId="7FE9DE24">
            <w:pPr>
              <w:spacing w:line="300" w:lineRule="auto"/>
              <w:ind w:right="-108"/>
              <w:jc w:val="center"/>
              <w:rPr>
                <w:i/>
              </w:rPr>
            </w:pPr>
            <w:r>
              <w:rPr>
                <w:rFonts w:hint="eastAsia"/>
                <w:i/>
                <w:kern w:val="0"/>
              </w:rPr>
              <w:t xml:space="preserve">   q</w:t>
            </w:r>
            <w:r>
              <w:rPr>
                <w:rFonts w:hint="eastAsia"/>
                <w:i/>
                <w:kern w:val="0"/>
                <w:vertAlign w:val="subscript"/>
              </w:rPr>
              <w:t>sik</w:t>
            </w:r>
            <w:r>
              <w:rPr>
                <w:rFonts w:hint="eastAsia"/>
              </w:rPr>
              <w:t>—</w:t>
            </w:r>
          </w:p>
        </w:tc>
        <w:tc>
          <w:tcPr>
            <w:tcW w:w="6995" w:type="dxa"/>
            <w:vAlign w:val="center"/>
          </w:tcPr>
          <w:p w14:paraId="49FC18EB">
            <w:pPr>
              <w:snapToGrid w:val="0"/>
              <w:spacing w:line="300" w:lineRule="auto"/>
            </w:pPr>
            <w:r>
              <w:rPr>
                <w:rFonts w:hint="eastAsia"/>
                <w:kern w:val="0"/>
              </w:rPr>
              <w:t>桩侧第</w:t>
            </w:r>
            <w:r>
              <w:rPr>
                <w:rFonts w:hint="eastAsia"/>
                <w:i/>
                <w:iCs/>
                <w:kern w:val="0"/>
              </w:rPr>
              <w:t>i</w:t>
            </w:r>
            <w:r>
              <w:rPr>
                <w:rFonts w:hint="eastAsia"/>
                <w:kern w:val="0"/>
              </w:rPr>
              <w:t>层土的极限侧阻力标准值；</w:t>
            </w:r>
          </w:p>
        </w:tc>
      </w:tr>
      <w:tr w14:paraId="7648E9D6">
        <w:tblPrEx>
          <w:tblCellMar>
            <w:top w:w="0" w:type="dxa"/>
            <w:left w:w="108" w:type="dxa"/>
            <w:bottom w:w="0" w:type="dxa"/>
            <w:right w:w="108" w:type="dxa"/>
          </w:tblCellMar>
        </w:tblPrEx>
        <w:tc>
          <w:tcPr>
            <w:tcW w:w="1533" w:type="dxa"/>
          </w:tcPr>
          <w:p w14:paraId="39D7B861">
            <w:pPr>
              <w:spacing w:line="300" w:lineRule="auto"/>
              <w:ind w:right="-108"/>
              <w:jc w:val="center"/>
              <w:rPr>
                <w:i/>
                <w:kern w:val="0"/>
              </w:rPr>
            </w:pPr>
            <w:r>
              <w:rPr>
                <w:rFonts w:hint="eastAsia"/>
                <w:i/>
                <w:kern w:val="0"/>
              </w:rPr>
              <w:t xml:space="preserve">  q</w:t>
            </w:r>
            <w:r>
              <w:rPr>
                <w:rFonts w:hint="eastAsia"/>
                <w:i/>
                <w:kern w:val="0"/>
                <w:vertAlign w:val="subscript"/>
              </w:rPr>
              <w:t>pk</w:t>
            </w:r>
            <w:r>
              <w:rPr>
                <w:rFonts w:hint="eastAsia"/>
              </w:rPr>
              <w:t>—</w:t>
            </w:r>
          </w:p>
        </w:tc>
        <w:tc>
          <w:tcPr>
            <w:tcW w:w="6995" w:type="dxa"/>
            <w:vAlign w:val="center"/>
          </w:tcPr>
          <w:p w14:paraId="23C922CD">
            <w:pPr>
              <w:snapToGrid w:val="0"/>
              <w:spacing w:line="300" w:lineRule="auto"/>
              <w:rPr>
                <w:kern w:val="0"/>
              </w:rPr>
            </w:pPr>
            <w:r>
              <w:rPr>
                <w:rFonts w:hint="eastAsia"/>
                <w:kern w:val="0"/>
              </w:rPr>
              <w:t>桩端处土的极限端阻力标准值；</w:t>
            </w:r>
          </w:p>
        </w:tc>
      </w:tr>
      <w:tr w14:paraId="3754E258">
        <w:tblPrEx>
          <w:tblCellMar>
            <w:top w:w="0" w:type="dxa"/>
            <w:left w:w="108" w:type="dxa"/>
            <w:bottom w:w="0" w:type="dxa"/>
            <w:right w:w="108" w:type="dxa"/>
          </w:tblCellMar>
        </w:tblPrEx>
        <w:tc>
          <w:tcPr>
            <w:tcW w:w="1533" w:type="dxa"/>
          </w:tcPr>
          <w:p w14:paraId="663FAF00">
            <w:pPr>
              <w:spacing w:line="300" w:lineRule="auto"/>
              <w:ind w:right="-108"/>
              <w:jc w:val="center"/>
              <w:rPr>
                <w:i/>
                <w:kern w:val="0"/>
              </w:rPr>
            </w:pPr>
            <w:r>
              <w:rPr>
                <w:rFonts w:hint="eastAsia"/>
                <w:i/>
                <w:kern w:val="0"/>
              </w:rPr>
              <w:t xml:space="preserve">  l</w:t>
            </w:r>
            <w:r>
              <w:rPr>
                <w:rFonts w:hint="eastAsia"/>
                <w:i/>
                <w:kern w:val="0"/>
                <w:vertAlign w:val="subscript"/>
              </w:rPr>
              <w:t>i</w:t>
            </w:r>
            <w:r>
              <w:rPr>
                <w:rFonts w:hint="eastAsia"/>
                <w:kern w:val="0"/>
              </w:rPr>
              <w:t>—</w:t>
            </w:r>
          </w:p>
        </w:tc>
        <w:tc>
          <w:tcPr>
            <w:tcW w:w="6995" w:type="dxa"/>
            <w:vAlign w:val="center"/>
          </w:tcPr>
          <w:p w14:paraId="3429815F">
            <w:pPr>
              <w:snapToGrid w:val="0"/>
              <w:spacing w:line="300" w:lineRule="auto"/>
              <w:rPr>
                <w:kern w:val="0"/>
              </w:rPr>
            </w:pPr>
            <w:r>
              <w:rPr>
                <w:rFonts w:hint="eastAsia"/>
                <w:kern w:val="0"/>
              </w:rPr>
              <w:t>第</w:t>
            </w:r>
            <w:r>
              <w:rPr>
                <w:rFonts w:hint="eastAsia"/>
                <w:i/>
                <w:iCs/>
                <w:kern w:val="0"/>
              </w:rPr>
              <w:t>i</w:t>
            </w:r>
            <w:r>
              <w:rPr>
                <w:rFonts w:hint="eastAsia"/>
                <w:kern w:val="0"/>
              </w:rPr>
              <w:t>层土的厚度；</w:t>
            </w:r>
          </w:p>
        </w:tc>
      </w:tr>
      <w:tr w14:paraId="27772E55">
        <w:tblPrEx>
          <w:tblCellMar>
            <w:top w:w="0" w:type="dxa"/>
            <w:left w:w="108" w:type="dxa"/>
            <w:bottom w:w="0" w:type="dxa"/>
            <w:right w:w="108" w:type="dxa"/>
          </w:tblCellMar>
        </w:tblPrEx>
        <w:tc>
          <w:tcPr>
            <w:tcW w:w="1533" w:type="dxa"/>
          </w:tcPr>
          <w:p w14:paraId="4E7C12B9">
            <w:pPr>
              <w:spacing w:line="300" w:lineRule="auto"/>
              <w:ind w:right="-108"/>
              <w:jc w:val="center"/>
              <w:rPr>
                <w:i/>
                <w:kern w:val="0"/>
              </w:rPr>
            </w:pPr>
            <w:r>
              <w:rPr>
                <w:rFonts w:hint="eastAsia"/>
                <w:kern w:val="0"/>
              </w:rPr>
              <w:t xml:space="preserve">  A</w:t>
            </w:r>
            <w:r>
              <w:rPr>
                <w:rFonts w:hint="eastAsia"/>
                <w:i/>
                <w:iCs/>
                <w:kern w:val="0"/>
                <w:vertAlign w:val="subscript"/>
              </w:rPr>
              <w:t>p</w:t>
            </w:r>
            <w:r>
              <w:rPr>
                <w:kern w:val="0"/>
              </w:rPr>
              <w:t>—</w:t>
            </w:r>
          </w:p>
        </w:tc>
        <w:tc>
          <w:tcPr>
            <w:tcW w:w="6995" w:type="dxa"/>
            <w:vAlign w:val="center"/>
          </w:tcPr>
          <w:p w14:paraId="08E72B5C">
            <w:pPr>
              <w:snapToGrid w:val="0"/>
              <w:spacing w:line="300" w:lineRule="auto"/>
              <w:rPr>
                <w:kern w:val="0"/>
              </w:rPr>
            </w:pPr>
            <w:r>
              <w:rPr>
                <w:rFonts w:hint="eastAsia"/>
                <w:kern w:val="0"/>
              </w:rPr>
              <w:t>桩端面积；</w:t>
            </w:r>
          </w:p>
        </w:tc>
      </w:tr>
      <w:tr w14:paraId="1B3388FA">
        <w:tblPrEx>
          <w:tblCellMar>
            <w:top w:w="0" w:type="dxa"/>
            <w:left w:w="108" w:type="dxa"/>
            <w:bottom w:w="0" w:type="dxa"/>
            <w:right w:w="108" w:type="dxa"/>
          </w:tblCellMar>
        </w:tblPrEx>
        <w:tc>
          <w:tcPr>
            <w:tcW w:w="1533" w:type="dxa"/>
          </w:tcPr>
          <w:p w14:paraId="2239386A">
            <w:pPr>
              <w:spacing w:line="360" w:lineRule="auto"/>
              <w:ind w:right="102"/>
              <w:jc w:val="center"/>
              <w:rPr>
                <w:position w:val="-14"/>
              </w:rPr>
            </w:pPr>
            <w:r>
              <w:rPr>
                <w:rFonts w:hint="eastAsia"/>
                <w:kern w:val="0"/>
              </w:rPr>
              <w:t xml:space="preserve">    </w:t>
            </w:r>
            <w:r>
              <w:rPr>
                <w:kern w:val="0"/>
              </w:rPr>
              <w:t>λ—</w:t>
            </w:r>
          </w:p>
        </w:tc>
        <w:tc>
          <w:tcPr>
            <w:tcW w:w="6995" w:type="dxa"/>
            <w:vAlign w:val="center"/>
          </w:tcPr>
          <w:p w14:paraId="08360391">
            <w:pPr>
              <w:snapToGrid w:val="0"/>
              <w:spacing w:line="360" w:lineRule="auto"/>
              <w:rPr>
                <w:kern w:val="0"/>
              </w:rPr>
            </w:pPr>
            <w:r>
              <w:rPr>
                <w:rFonts w:hint="eastAsia"/>
              </w:rPr>
              <w:t>桩侧极限侧阻力折减系数；</w:t>
            </w:r>
          </w:p>
        </w:tc>
      </w:tr>
      <w:tr w14:paraId="598E47B4">
        <w:tblPrEx>
          <w:tblCellMar>
            <w:top w:w="0" w:type="dxa"/>
            <w:left w:w="108" w:type="dxa"/>
            <w:bottom w:w="0" w:type="dxa"/>
            <w:right w:w="108" w:type="dxa"/>
          </w:tblCellMar>
        </w:tblPrEx>
        <w:tc>
          <w:tcPr>
            <w:tcW w:w="1533" w:type="dxa"/>
          </w:tcPr>
          <w:p w14:paraId="231A943F">
            <w:pPr>
              <w:spacing w:line="300" w:lineRule="auto"/>
              <w:ind w:right="-108"/>
            </w:pPr>
            <w:r>
              <w:rPr>
                <w:rFonts w:hint="eastAsia"/>
                <w:kern w:val="0"/>
              </w:rPr>
              <w:t xml:space="preserve">      </w:t>
            </w:r>
            <w:r>
              <w:rPr>
                <w:rFonts w:hint="eastAsia"/>
                <w:i/>
                <w:kern w:val="0"/>
              </w:rPr>
              <w:t>L—</w:t>
            </w:r>
          </w:p>
        </w:tc>
        <w:tc>
          <w:tcPr>
            <w:tcW w:w="6995" w:type="dxa"/>
            <w:vAlign w:val="center"/>
          </w:tcPr>
          <w:p w14:paraId="4DB5FBEB">
            <w:pPr>
              <w:snapToGrid w:val="0"/>
              <w:spacing w:line="300" w:lineRule="auto"/>
            </w:pPr>
            <w:r>
              <w:rPr>
                <w:rFonts w:hint="eastAsia"/>
                <w:kern w:val="0"/>
              </w:rPr>
              <w:t>渗流轮廓换算渗径总长度；</w:t>
            </w:r>
          </w:p>
        </w:tc>
      </w:tr>
      <w:tr w14:paraId="767000EE">
        <w:tblPrEx>
          <w:tblCellMar>
            <w:top w:w="0" w:type="dxa"/>
            <w:left w:w="108" w:type="dxa"/>
            <w:bottom w:w="0" w:type="dxa"/>
            <w:right w:w="108" w:type="dxa"/>
          </w:tblCellMar>
        </w:tblPrEx>
        <w:tc>
          <w:tcPr>
            <w:tcW w:w="1533" w:type="dxa"/>
          </w:tcPr>
          <w:p w14:paraId="42619C5B">
            <w:pPr>
              <w:spacing w:line="300" w:lineRule="auto"/>
              <w:ind w:right="-108"/>
              <w:jc w:val="center"/>
              <w:rPr>
                <w:i/>
              </w:rPr>
            </w:pPr>
            <w:r>
              <w:rPr>
                <w:rFonts w:hint="eastAsia"/>
                <w:i/>
                <w:kern w:val="0"/>
              </w:rPr>
              <w:t xml:space="preserve">  C</w:t>
            </w:r>
            <w:r>
              <w:rPr>
                <w:rFonts w:hint="eastAsia"/>
              </w:rPr>
              <w:t>—</w:t>
            </w:r>
          </w:p>
        </w:tc>
        <w:tc>
          <w:tcPr>
            <w:tcW w:w="6995" w:type="dxa"/>
            <w:vAlign w:val="center"/>
          </w:tcPr>
          <w:p w14:paraId="35B83257">
            <w:pPr>
              <w:snapToGrid w:val="0"/>
              <w:spacing w:line="300" w:lineRule="auto"/>
            </w:pPr>
            <w:r>
              <w:rPr>
                <w:rFonts w:hint="eastAsia"/>
                <w:kern w:val="0"/>
              </w:rPr>
              <w:t>渗径系数；</w:t>
            </w:r>
          </w:p>
        </w:tc>
      </w:tr>
      <w:tr w14:paraId="770F1CD5">
        <w:tblPrEx>
          <w:tblCellMar>
            <w:top w:w="0" w:type="dxa"/>
            <w:left w:w="108" w:type="dxa"/>
            <w:bottom w:w="0" w:type="dxa"/>
            <w:right w:w="108" w:type="dxa"/>
          </w:tblCellMar>
        </w:tblPrEx>
        <w:tc>
          <w:tcPr>
            <w:tcW w:w="1533" w:type="dxa"/>
          </w:tcPr>
          <w:p w14:paraId="41E095AF">
            <w:pPr>
              <w:spacing w:line="300" w:lineRule="auto"/>
              <w:ind w:right="-108"/>
              <w:jc w:val="center"/>
              <w:rPr>
                <w:i/>
              </w:rPr>
            </w:pPr>
            <w:r>
              <w:rPr>
                <w:rFonts w:hint="eastAsia"/>
                <w:i/>
                <w:kern w:val="0"/>
              </w:rPr>
              <w:t xml:space="preserve">  H</w:t>
            </w:r>
            <w:r>
              <w:rPr>
                <w:rFonts w:hint="eastAsia"/>
                <w:i/>
                <w:kern w:val="0"/>
                <w:vertAlign w:val="subscript"/>
              </w:rPr>
              <w:t>s</w:t>
            </w:r>
            <w:r>
              <w:rPr>
                <w:rFonts w:hint="eastAsia"/>
              </w:rPr>
              <w:t>—</w:t>
            </w:r>
          </w:p>
        </w:tc>
        <w:tc>
          <w:tcPr>
            <w:tcW w:w="6995" w:type="dxa"/>
            <w:vAlign w:val="center"/>
          </w:tcPr>
          <w:p w14:paraId="5FDB31B7">
            <w:pPr>
              <w:snapToGrid w:val="0"/>
              <w:spacing w:line="300" w:lineRule="auto"/>
            </w:pPr>
            <w:r>
              <w:rPr>
                <w:rFonts w:hint="eastAsia"/>
                <w:kern w:val="0"/>
              </w:rPr>
              <w:t>渗径起点和终点水位差；</w:t>
            </w:r>
          </w:p>
        </w:tc>
      </w:tr>
      <w:tr w14:paraId="580555D3">
        <w:tblPrEx>
          <w:tblCellMar>
            <w:top w:w="0" w:type="dxa"/>
            <w:left w:w="108" w:type="dxa"/>
            <w:bottom w:w="0" w:type="dxa"/>
            <w:right w:w="108" w:type="dxa"/>
          </w:tblCellMar>
        </w:tblPrEx>
        <w:tc>
          <w:tcPr>
            <w:tcW w:w="1533" w:type="dxa"/>
          </w:tcPr>
          <w:p w14:paraId="19D2120A">
            <w:pPr>
              <w:spacing w:line="300" w:lineRule="auto"/>
              <w:ind w:right="-108"/>
              <w:jc w:val="center"/>
              <w:rPr>
                <w:i/>
                <w:kern w:val="0"/>
              </w:rPr>
            </w:pPr>
            <w:r>
              <w:rPr>
                <w:rFonts w:hint="eastAsia"/>
                <w:i/>
                <w:kern w:val="0"/>
              </w:rPr>
              <w:t xml:space="preserve">  l</w:t>
            </w:r>
            <w:r>
              <w:rPr>
                <w:rFonts w:hint="eastAsia"/>
                <w:i/>
                <w:kern w:val="0"/>
                <w:vertAlign w:val="subscript"/>
              </w:rPr>
              <w:t>s</w:t>
            </w:r>
            <w:r>
              <w:rPr>
                <w:rFonts w:hint="eastAsia"/>
              </w:rPr>
              <w:t>—</w:t>
            </w:r>
          </w:p>
        </w:tc>
        <w:tc>
          <w:tcPr>
            <w:tcW w:w="6995" w:type="dxa"/>
            <w:vAlign w:val="center"/>
          </w:tcPr>
          <w:p w14:paraId="2B0ACA73">
            <w:pPr>
              <w:snapToGrid w:val="0"/>
              <w:spacing w:line="300" w:lineRule="auto"/>
              <w:rPr>
                <w:kern w:val="0"/>
              </w:rPr>
            </w:pPr>
            <w:r>
              <w:rPr>
                <w:rFonts w:hint="eastAsia"/>
                <w:kern w:val="0"/>
              </w:rPr>
              <w:t>渗流轮廓的水平段长度；</w:t>
            </w:r>
          </w:p>
        </w:tc>
      </w:tr>
      <w:tr w14:paraId="0384B63E">
        <w:tblPrEx>
          <w:tblCellMar>
            <w:top w:w="0" w:type="dxa"/>
            <w:left w:w="108" w:type="dxa"/>
            <w:bottom w:w="0" w:type="dxa"/>
            <w:right w:w="108" w:type="dxa"/>
          </w:tblCellMar>
        </w:tblPrEx>
        <w:tc>
          <w:tcPr>
            <w:tcW w:w="1533" w:type="dxa"/>
          </w:tcPr>
          <w:p w14:paraId="5FBA5465">
            <w:pPr>
              <w:spacing w:line="300" w:lineRule="auto"/>
              <w:ind w:right="-108"/>
              <w:jc w:val="center"/>
              <w:rPr>
                <w:i/>
                <w:kern w:val="0"/>
              </w:rPr>
            </w:pPr>
            <w:r>
              <w:rPr>
                <w:rFonts w:hint="eastAsia"/>
                <w:i/>
                <w:kern w:val="0"/>
              </w:rPr>
              <w:t xml:space="preserve">  l</w:t>
            </w:r>
            <w:r>
              <w:rPr>
                <w:rFonts w:hint="eastAsia"/>
                <w:i/>
                <w:kern w:val="0"/>
                <w:vertAlign w:val="subscript"/>
              </w:rPr>
              <w:t>c</w:t>
            </w:r>
            <w:r>
              <w:rPr>
                <w:rFonts w:hint="eastAsia"/>
                <w:kern w:val="0"/>
              </w:rPr>
              <w:t>—</w:t>
            </w:r>
          </w:p>
        </w:tc>
        <w:tc>
          <w:tcPr>
            <w:tcW w:w="6995" w:type="dxa"/>
            <w:vAlign w:val="center"/>
          </w:tcPr>
          <w:p w14:paraId="0A44913E">
            <w:pPr>
              <w:snapToGrid w:val="0"/>
              <w:spacing w:line="300" w:lineRule="auto"/>
              <w:rPr>
                <w:kern w:val="0"/>
              </w:rPr>
            </w:pPr>
            <w:r>
              <w:rPr>
                <w:rFonts w:hint="eastAsia"/>
                <w:kern w:val="0"/>
              </w:rPr>
              <w:t>渗流轮廓的垂直段长度；</w:t>
            </w:r>
          </w:p>
        </w:tc>
      </w:tr>
      <w:tr w14:paraId="6D139103">
        <w:tblPrEx>
          <w:tblCellMar>
            <w:top w:w="0" w:type="dxa"/>
            <w:left w:w="108" w:type="dxa"/>
            <w:bottom w:w="0" w:type="dxa"/>
            <w:right w:w="108" w:type="dxa"/>
          </w:tblCellMar>
        </w:tblPrEx>
        <w:tc>
          <w:tcPr>
            <w:tcW w:w="1533" w:type="dxa"/>
          </w:tcPr>
          <w:p w14:paraId="15501D47">
            <w:pPr>
              <w:spacing w:line="300" w:lineRule="auto"/>
              <w:ind w:right="-108"/>
              <w:jc w:val="center"/>
              <w:rPr>
                <w:i/>
                <w:kern w:val="0"/>
              </w:rPr>
            </w:pPr>
            <w:r>
              <w:rPr>
                <w:rFonts w:hint="eastAsia"/>
                <w:kern w:val="0"/>
              </w:rPr>
              <w:t xml:space="preserve">  </w:t>
            </w:r>
            <w:r>
              <w:rPr>
                <w:rFonts w:hint="eastAsia"/>
                <w:i/>
                <w:iCs/>
                <w:kern w:val="0"/>
              </w:rPr>
              <w:t>l</w:t>
            </w:r>
            <w:r>
              <w:rPr>
                <w:rFonts w:hint="eastAsia"/>
                <w:i/>
                <w:iCs/>
                <w:kern w:val="0"/>
                <w:vertAlign w:val="subscript"/>
              </w:rPr>
              <w:t>x</w:t>
            </w:r>
            <w:r>
              <w:rPr>
                <w:kern w:val="0"/>
              </w:rPr>
              <w:t>—</w:t>
            </w:r>
          </w:p>
        </w:tc>
        <w:tc>
          <w:tcPr>
            <w:tcW w:w="6995" w:type="dxa"/>
            <w:vAlign w:val="center"/>
          </w:tcPr>
          <w:p w14:paraId="3D7FDB79">
            <w:pPr>
              <w:snapToGrid w:val="0"/>
              <w:spacing w:line="300" w:lineRule="auto"/>
              <w:rPr>
                <w:kern w:val="0"/>
              </w:rPr>
            </w:pPr>
            <w:r>
              <w:rPr>
                <w:rFonts w:hint="eastAsia"/>
                <w:kern w:val="0"/>
              </w:rPr>
              <w:t>渗流轮廓的倾斜段换算长度；</w:t>
            </w:r>
          </w:p>
        </w:tc>
      </w:tr>
      <w:tr w14:paraId="43E33249">
        <w:tblPrEx>
          <w:tblCellMar>
            <w:top w:w="0" w:type="dxa"/>
            <w:left w:w="108" w:type="dxa"/>
            <w:bottom w:w="0" w:type="dxa"/>
            <w:right w:w="108" w:type="dxa"/>
          </w:tblCellMar>
        </w:tblPrEx>
        <w:tc>
          <w:tcPr>
            <w:tcW w:w="1533" w:type="dxa"/>
          </w:tcPr>
          <w:p w14:paraId="22AF1B0D">
            <w:pPr>
              <w:spacing w:line="360" w:lineRule="auto"/>
              <w:ind w:right="102"/>
              <w:jc w:val="center"/>
              <w:rPr>
                <w:position w:val="-14"/>
              </w:rPr>
            </w:pPr>
            <w:r>
              <w:rPr>
                <w:rFonts w:hint="eastAsia"/>
                <w:kern w:val="0"/>
              </w:rPr>
              <w:t xml:space="preserve">    </w:t>
            </w:r>
            <w:r>
              <w:rPr>
                <w:rFonts w:hint="eastAsia"/>
                <w:i/>
                <w:iCs/>
                <w:kern w:val="0"/>
              </w:rPr>
              <w:t>l</w:t>
            </w:r>
            <w:r>
              <w:rPr>
                <w:rFonts w:hint="eastAsia"/>
                <w:kern w:val="0"/>
                <w:vertAlign w:val="subscript"/>
              </w:rPr>
              <w:t>1</w:t>
            </w:r>
            <w:r>
              <w:rPr>
                <w:kern w:val="0"/>
              </w:rPr>
              <w:t>—</w:t>
            </w:r>
          </w:p>
        </w:tc>
        <w:tc>
          <w:tcPr>
            <w:tcW w:w="6995" w:type="dxa"/>
            <w:vAlign w:val="center"/>
          </w:tcPr>
          <w:p w14:paraId="32AD780C">
            <w:pPr>
              <w:snapToGrid w:val="0"/>
              <w:spacing w:line="360" w:lineRule="auto"/>
              <w:rPr>
                <w:kern w:val="0"/>
              </w:rPr>
            </w:pPr>
            <w:r>
              <w:rPr>
                <w:rFonts w:hint="eastAsia"/>
                <w:kern w:val="0"/>
              </w:rPr>
              <w:t>渗流轮廓倾斜段的水平投影长度；</w:t>
            </w:r>
          </w:p>
        </w:tc>
      </w:tr>
      <w:tr w14:paraId="4DD87A81">
        <w:tblPrEx>
          <w:tblCellMar>
            <w:top w:w="0" w:type="dxa"/>
            <w:left w:w="108" w:type="dxa"/>
            <w:bottom w:w="0" w:type="dxa"/>
            <w:right w:w="108" w:type="dxa"/>
          </w:tblCellMar>
        </w:tblPrEx>
        <w:tc>
          <w:tcPr>
            <w:tcW w:w="1533" w:type="dxa"/>
          </w:tcPr>
          <w:p w14:paraId="7E0CF0C2">
            <w:pPr>
              <w:spacing w:line="360" w:lineRule="auto"/>
              <w:ind w:right="102"/>
              <w:jc w:val="center"/>
              <w:rPr>
                <w:kern w:val="0"/>
              </w:rPr>
            </w:pPr>
            <w:r>
              <w:rPr>
                <w:rFonts w:hint="eastAsia"/>
                <w:kern w:val="0"/>
              </w:rPr>
              <w:t xml:space="preserve">    </w:t>
            </w:r>
            <w:r>
              <w:rPr>
                <w:rFonts w:hint="eastAsia"/>
                <w:i/>
                <w:iCs/>
                <w:kern w:val="0"/>
              </w:rPr>
              <w:t>m</w:t>
            </w:r>
            <w:r>
              <w:rPr>
                <w:kern w:val="0"/>
              </w:rPr>
              <w:t>—</w:t>
            </w:r>
          </w:p>
        </w:tc>
        <w:tc>
          <w:tcPr>
            <w:tcW w:w="6995" w:type="dxa"/>
            <w:vAlign w:val="center"/>
          </w:tcPr>
          <w:p w14:paraId="517D454D">
            <w:pPr>
              <w:snapToGrid w:val="0"/>
              <w:spacing w:line="360" w:lineRule="auto"/>
            </w:pPr>
            <w:r>
              <w:rPr>
                <w:rFonts w:hint="eastAsia"/>
                <w:kern w:val="0"/>
              </w:rPr>
              <w:t>换算系数；</w:t>
            </w:r>
          </w:p>
        </w:tc>
      </w:tr>
      <w:tr w14:paraId="78C1D312">
        <w:tblPrEx>
          <w:tblCellMar>
            <w:top w:w="0" w:type="dxa"/>
            <w:left w:w="108" w:type="dxa"/>
            <w:bottom w:w="0" w:type="dxa"/>
            <w:right w:w="108" w:type="dxa"/>
          </w:tblCellMar>
        </w:tblPrEx>
        <w:tc>
          <w:tcPr>
            <w:tcW w:w="1533" w:type="dxa"/>
          </w:tcPr>
          <w:p w14:paraId="04E09769">
            <w:pPr>
              <w:spacing w:line="360" w:lineRule="auto"/>
              <w:ind w:right="102"/>
              <w:jc w:val="center"/>
              <w:rPr>
                <w:kern w:val="0"/>
              </w:rPr>
            </w:pPr>
            <w:r>
              <w:rPr>
                <w:rFonts w:hint="eastAsia"/>
                <w:kern w:val="0"/>
              </w:rPr>
              <w:t xml:space="preserve">    </w:t>
            </w:r>
            <w:r>
              <w:rPr>
                <w:rFonts w:hint="eastAsia"/>
                <w:i/>
                <w:iCs/>
                <w:kern w:val="0"/>
              </w:rPr>
              <w:t>l</w:t>
            </w:r>
            <w:r>
              <w:rPr>
                <w:rFonts w:hint="eastAsia"/>
                <w:kern w:val="0"/>
                <w:vertAlign w:val="subscript"/>
              </w:rPr>
              <w:t>2</w:t>
            </w:r>
            <w:r>
              <w:rPr>
                <w:kern w:val="0"/>
              </w:rPr>
              <w:t>—</w:t>
            </w:r>
          </w:p>
        </w:tc>
        <w:tc>
          <w:tcPr>
            <w:tcW w:w="6995" w:type="dxa"/>
            <w:vAlign w:val="center"/>
          </w:tcPr>
          <w:p w14:paraId="371D43E1">
            <w:pPr>
              <w:snapToGrid w:val="0"/>
              <w:spacing w:line="360" w:lineRule="auto"/>
            </w:pPr>
            <w:r>
              <w:rPr>
                <w:rFonts w:hint="eastAsia"/>
                <w:kern w:val="0"/>
              </w:rPr>
              <w:t>渗流轮廓倾斜段的垂直投影长度；</w:t>
            </w:r>
          </w:p>
        </w:tc>
      </w:tr>
      <w:tr w14:paraId="1F1B5C2B">
        <w:tblPrEx>
          <w:tblCellMar>
            <w:top w:w="0" w:type="dxa"/>
            <w:left w:w="108" w:type="dxa"/>
            <w:bottom w:w="0" w:type="dxa"/>
            <w:right w:w="108" w:type="dxa"/>
          </w:tblCellMar>
        </w:tblPrEx>
        <w:tc>
          <w:tcPr>
            <w:tcW w:w="1533" w:type="dxa"/>
          </w:tcPr>
          <w:p w14:paraId="3ECB4C8E">
            <w:pPr>
              <w:spacing w:line="300" w:lineRule="auto"/>
              <w:ind w:right="-108"/>
            </w:pPr>
            <w:r>
              <w:rPr>
                <w:rFonts w:hint="eastAsia"/>
                <w:kern w:val="0"/>
              </w:rPr>
              <w:t xml:space="preserve">     </w:t>
            </w:r>
            <w:r>
              <w:rPr>
                <w:iCs/>
                <w:kern w:val="0"/>
              </w:rPr>
              <w:t>Δ</w:t>
            </w:r>
            <w:r>
              <w:rPr>
                <w:i/>
                <w:kern w:val="0"/>
              </w:rPr>
              <w:t>δ</w:t>
            </w:r>
            <w:r>
              <w:rPr>
                <w:rFonts w:hint="eastAsia"/>
                <w:i/>
                <w:kern w:val="0"/>
              </w:rPr>
              <w:t>—</w:t>
            </w:r>
          </w:p>
        </w:tc>
        <w:tc>
          <w:tcPr>
            <w:tcW w:w="6995" w:type="dxa"/>
            <w:vAlign w:val="center"/>
          </w:tcPr>
          <w:p w14:paraId="1844B689">
            <w:pPr>
              <w:snapToGrid w:val="0"/>
              <w:spacing w:line="300" w:lineRule="auto"/>
            </w:pPr>
            <w:r>
              <w:rPr>
                <w:rFonts w:hint="eastAsia"/>
                <w:kern w:val="0"/>
              </w:rPr>
              <w:t>钢板桩单面腐蚀裕量；</w:t>
            </w:r>
          </w:p>
        </w:tc>
      </w:tr>
      <w:tr w14:paraId="52FC69BD">
        <w:tblPrEx>
          <w:tblCellMar>
            <w:top w:w="0" w:type="dxa"/>
            <w:left w:w="108" w:type="dxa"/>
            <w:bottom w:w="0" w:type="dxa"/>
            <w:right w:w="108" w:type="dxa"/>
          </w:tblCellMar>
        </w:tblPrEx>
        <w:tc>
          <w:tcPr>
            <w:tcW w:w="1533" w:type="dxa"/>
          </w:tcPr>
          <w:p w14:paraId="77ABB283">
            <w:pPr>
              <w:spacing w:line="300" w:lineRule="auto"/>
              <w:ind w:right="-108"/>
              <w:jc w:val="center"/>
              <w:rPr>
                <w:i/>
              </w:rPr>
            </w:pPr>
            <w:r>
              <w:rPr>
                <w:rFonts w:hint="eastAsia"/>
                <w:i/>
                <w:kern w:val="0"/>
              </w:rPr>
              <w:t xml:space="preserve">  K</w:t>
            </w:r>
            <w:r>
              <w:rPr>
                <w:rFonts w:hint="eastAsia"/>
              </w:rPr>
              <w:t>—</w:t>
            </w:r>
          </w:p>
        </w:tc>
        <w:tc>
          <w:tcPr>
            <w:tcW w:w="6995" w:type="dxa"/>
            <w:vAlign w:val="center"/>
          </w:tcPr>
          <w:p w14:paraId="10EC4414">
            <w:pPr>
              <w:snapToGrid w:val="0"/>
              <w:spacing w:line="300" w:lineRule="auto"/>
            </w:pPr>
            <w:r>
              <w:rPr>
                <w:rFonts w:hint="eastAsia"/>
                <w:kern w:val="0"/>
              </w:rPr>
              <w:t>钢板桩单面平均腐蚀速度；</w:t>
            </w:r>
          </w:p>
        </w:tc>
      </w:tr>
      <w:tr w14:paraId="3FE6356C">
        <w:tblPrEx>
          <w:tblCellMar>
            <w:top w:w="0" w:type="dxa"/>
            <w:left w:w="108" w:type="dxa"/>
            <w:bottom w:w="0" w:type="dxa"/>
            <w:right w:w="108" w:type="dxa"/>
          </w:tblCellMar>
        </w:tblPrEx>
        <w:tc>
          <w:tcPr>
            <w:tcW w:w="1533" w:type="dxa"/>
          </w:tcPr>
          <w:p w14:paraId="38715386">
            <w:pPr>
              <w:spacing w:line="300" w:lineRule="auto"/>
              <w:ind w:right="-108"/>
              <w:jc w:val="center"/>
              <w:rPr>
                <w:i/>
              </w:rPr>
            </w:pPr>
            <w:r>
              <w:rPr>
                <w:rFonts w:hint="eastAsia"/>
                <w:i/>
                <w:kern w:val="0"/>
              </w:rPr>
              <w:t xml:space="preserve">  P</w:t>
            </w:r>
            <w:r>
              <w:rPr>
                <w:rFonts w:hint="eastAsia"/>
              </w:rPr>
              <w:t>—</w:t>
            </w:r>
          </w:p>
        </w:tc>
        <w:tc>
          <w:tcPr>
            <w:tcW w:w="6995" w:type="dxa"/>
            <w:vAlign w:val="center"/>
          </w:tcPr>
          <w:p w14:paraId="6E9E09AD">
            <w:pPr>
              <w:snapToGrid w:val="0"/>
              <w:spacing w:line="300" w:lineRule="auto"/>
            </w:pPr>
            <w:r>
              <w:rPr>
                <w:rFonts w:hint="eastAsia"/>
                <w:kern w:val="0"/>
              </w:rPr>
              <w:t>保护效率</w:t>
            </w:r>
            <w:r>
              <w:rPr>
                <w:rFonts w:hint="eastAsia" w:ascii="宋体" w:hAnsi="宋体" w:cs="宋体"/>
                <w:kern w:val="0"/>
              </w:rPr>
              <w:t>；</w:t>
            </w:r>
          </w:p>
        </w:tc>
      </w:tr>
      <w:tr w14:paraId="5DE77720">
        <w:tblPrEx>
          <w:tblCellMar>
            <w:top w:w="0" w:type="dxa"/>
            <w:left w:w="108" w:type="dxa"/>
            <w:bottom w:w="0" w:type="dxa"/>
            <w:right w:w="108" w:type="dxa"/>
          </w:tblCellMar>
        </w:tblPrEx>
        <w:tc>
          <w:tcPr>
            <w:tcW w:w="1533" w:type="dxa"/>
          </w:tcPr>
          <w:p w14:paraId="7D9C4892">
            <w:pPr>
              <w:spacing w:line="300" w:lineRule="auto"/>
              <w:ind w:right="-108"/>
              <w:jc w:val="center"/>
              <w:rPr>
                <w:i/>
                <w:kern w:val="0"/>
              </w:rPr>
            </w:pPr>
            <w:r>
              <w:rPr>
                <w:rFonts w:hint="eastAsia"/>
                <w:i/>
                <w:kern w:val="0"/>
              </w:rPr>
              <w:t xml:space="preserve">  t</w:t>
            </w:r>
            <w:r>
              <w:rPr>
                <w:rFonts w:hint="eastAsia"/>
                <w:i/>
                <w:kern w:val="0"/>
                <w:vertAlign w:val="subscript"/>
              </w:rPr>
              <w:t>1</w:t>
            </w:r>
            <w:r>
              <w:rPr>
                <w:rFonts w:hint="eastAsia"/>
              </w:rPr>
              <w:t>—</w:t>
            </w:r>
          </w:p>
        </w:tc>
        <w:tc>
          <w:tcPr>
            <w:tcW w:w="6995" w:type="dxa"/>
            <w:vAlign w:val="center"/>
          </w:tcPr>
          <w:p w14:paraId="6F990F28">
            <w:pPr>
              <w:snapToGrid w:val="0"/>
              <w:spacing w:line="300" w:lineRule="auto"/>
              <w:rPr>
                <w:kern w:val="0"/>
              </w:rPr>
            </w:pPr>
            <w:r>
              <w:rPr>
                <w:rFonts w:hint="eastAsia"/>
                <w:kern w:val="0"/>
              </w:rPr>
              <w:t>防腐蚀措施的设计使用年限；</w:t>
            </w:r>
          </w:p>
        </w:tc>
      </w:tr>
      <w:tr w14:paraId="663E4CC3">
        <w:tblPrEx>
          <w:tblCellMar>
            <w:top w:w="0" w:type="dxa"/>
            <w:left w:w="108" w:type="dxa"/>
            <w:bottom w:w="0" w:type="dxa"/>
            <w:right w:w="108" w:type="dxa"/>
          </w:tblCellMar>
        </w:tblPrEx>
        <w:tc>
          <w:tcPr>
            <w:tcW w:w="1533" w:type="dxa"/>
          </w:tcPr>
          <w:p w14:paraId="13D201BC">
            <w:pPr>
              <w:spacing w:line="300" w:lineRule="auto"/>
              <w:ind w:right="-108"/>
              <w:jc w:val="center"/>
              <w:rPr>
                <w:i/>
                <w:kern w:val="0"/>
              </w:rPr>
            </w:pPr>
            <w:r>
              <w:rPr>
                <w:rFonts w:hint="eastAsia"/>
                <w:i/>
                <w:kern w:val="0"/>
              </w:rPr>
              <w:t xml:space="preserve">  t</w:t>
            </w:r>
            <w:r>
              <w:rPr>
                <w:rFonts w:hint="eastAsia"/>
                <w:kern w:val="0"/>
              </w:rPr>
              <w:t>—</w:t>
            </w:r>
          </w:p>
        </w:tc>
        <w:tc>
          <w:tcPr>
            <w:tcW w:w="6995" w:type="dxa"/>
            <w:vAlign w:val="center"/>
          </w:tcPr>
          <w:p w14:paraId="7A994D7A">
            <w:pPr>
              <w:snapToGrid w:val="0"/>
              <w:spacing w:line="300" w:lineRule="auto"/>
              <w:rPr>
                <w:kern w:val="0"/>
              </w:rPr>
            </w:pPr>
            <w:r>
              <w:rPr>
                <w:rFonts w:hint="eastAsia"/>
                <w:kern w:val="0"/>
              </w:rPr>
              <w:t>钢结构的设计使用年限。</w:t>
            </w:r>
          </w:p>
        </w:tc>
      </w:tr>
      <w:tr w14:paraId="1F049B86">
        <w:tblPrEx>
          <w:tblCellMar>
            <w:top w:w="0" w:type="dxa"/>
            <w:left w:w="108" w:type="dxa"/>
            <w:bottom w:w="0" w:type="dxa"/>
            <w:right w:w="108" w:type="dxa"/>
          </w:tblCellMar>
        </w:tblPrEx>
        <w:tc>
          <w:tcPr>
            <w:tcW w:w="1533" w:type="dxa"/>
          </w:tcPr>
          <w:p w14:paraId="7F13B006">
            <w:r>
              <w:rPr>
                <w:rFonts w:hint="eastAsia"/>
              </w:rPr>
              <w:t xml:space="preserve">      </w:t>
            </w:r>
            <w:r>
              <w:t>L</w:t>
            </w:r>
            <w:r>
              <w:rPr>
                <w:rFonts w:hint="eastAsia"/>
                <w:vertAlign w:val="subscript"/>
              </w:rPr>
              <w:t>1</w:t>
            </w:r>
            <w:r>
              <w:rPr>
                <w:rFonts w:hint="eastAsia"/>
              </w:rPr>
              <w:t>—</w:t>
            </w:r>
          </w:p>
        </w:tc>
        <w:tc>
          <w:tcPr>
            <w:tcW w:w="6995" w:type="dxa"/>
            <w:vAlign w:val="center"/>
          </w:tcPr>
          <w:p w14:paraId="3154D88E">
            <w:r>
              <w:t>钢板桩</w:t>
            </w:r>
            <w:r>
              <w:rPr>
                <w:rFonts w:hint="eastAsia"/>
              </w:rPr>
              <w:t>的</w:t>
            </w:r>
            <w:r>
              <w:t>长度</w:t>
            </w:r>
          </w:p>
        </w:tc>
      </w:tr>
    </w:tbl>
    <w:p w14:paraId="0ECF38A7">
      <w:pPr>
        <w:pStyle w:val="2"/>
      </w:pPr>
      <w:r>
        <w:rPr>
          <w:rFonts w:hint="eastAsia"/>
        </w:rPr>
        <w:br w:type="page"/>
      </w:r>
      <w:bookmarkStart w:id="11" w:name="_Toc23349"/>
      <w:bookmarkStart w:id="12" w:name="_Toc14408"/>
      <w:r>
        <w:rPr>
          <w:rFonts w:hint="eastAsia"/>
        </w:rPr>
        <w:t>3</w:t>
      </w:r>
      <w:r>
        <w:t xml:space="preserve"> </w:t>
      </w:r>
      <w:r>
        <w:rPr>
          <w:rFonts w:hint="eastAsia"/>
        </w:rPr>
        <w:t xml:space="preserve"> 基本规定</w:t>
      </w:r>
      <w:bookmarkEnd w:id="11"/>
      <w:bookmarkEnd w:id="12"/>
    </w:p>
    <w:p w14:paraId="3EBD1165">
      <w:r>
        <w:t>3.0.1  当场地浅层存在软弱土层时，应预处理或采取措施后方可采用静压沉桩法。</w:t>
      </w:r>
    </w:p>
    <w:p w14:paraId="76512867">
      <w:r>
        <w:t>3.0.2  拟采用静压沉桩法施工的场地岩土工程勘察应符合现行国家</w:t>
      </w:r>
      <w:r>
        <w:rPr>
          <w:rFonts w:hint="eastAsia"/>
        </w:rPr>
        <w:t>、行业、地方</w:t>
      </w:r>
      <w:r>
        <w:t>标准《岩土工程勘察规范》GB50021</w:t>
      </w:r>
      <w:r>
        <w:rPr>
          <w:rFonts w:hint="eastAsia"/>
        </w:rPr>
        <w:t>、《工程勘察通用规范》GB55017、《高层建筑岩土工程勘察标准》JGJ/T72、《广西壮族自治区岩土工程勘察规范》DBJ/T45-066等相关标准</w:t>
      </w:r>
      <w:r>
        <w:t>的规定，勘察成果应对支护工程和钢板桩沉桩等方案提出建议。</w:t>
      </w:r>
    </w:p>
    <w:p w14:paraId="2287FA05">
      <w:r>
        <w:t>3.0.3  静压钢板桩支护的设计应综合工程地质与水文地质条件、场地平面形状与支护高度、周边环境影响与保护要求、施工场地作业条件与使用要求等因素，选择合理的钢板桩支护结构类型。</w:t>
      </w:r>
    </w:p>
    <w:p w14:paraId="558F5C5E">
      <w:r>
        <w:t>3.0.4  钢板桩支护结构的设计安全等级应按表3.0.4确定，重要性系数分别不应低于表中规定值。同一支护工程的不同部位可采用不同的安全等级。</w:t>
      </w:r>
    </w:p>
    <w:p w14:paraId="77D77815">
      <w:pPr>
        <w:jc w:val="center"/>
      </w:pPr>
      <w:r>
        <w:t>表3.0.4  支护结构的安全等级及重要性系数</w:t>
      </w:r>
    </w:p>
    <w:tbl>
      <w:tblPr>
        <w:tblStyle w:val="17"/>
        <w:tblW w:w="4761" w:type="pct"/>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566"/>
        <w:gridCol w:w="743"/>
      </w:tblGrid>
      <w:tr w14:paraId="772B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pct"/>
          </w:tcPr>
          <w:p w14:paraId="2026BA16">
            <w:pPr>
              <w:jc w:val="center"/>
            </w:pPr>
            <w:r>
              <w:t>安全等级</w:t>
            </w:r>
          </w:p>
        </w:tc>
        <w:tc>
          <w:tcPr>
            <w:tcW w:w="4030" w:type="pct"/>
          </w:tcPr>
          <w:p w14:paraId="08BDAC98">
            <w:pPr>
              <w:jc w:val="center"/>
            </w:pPr>
            <w:r>
              <w:t>破坏后果</w:t>
            </w:r>
          </w:p>
        </w:tc>
        <w:tc>
          <w:tcPr>
            <w:tcW w:w="396" w:type="pct"/>
          </w:tcPr>
          <w:p w14:paraId="6F930B72">
            <w:pPr>
              <w:jc w:val="center"/>
            </w:pPr>
            <w:r>
              <w:rPr>
                <w:position w:val="-12"/>
              </w:rPr>
              <w:object>
                <v:shape id="_x0000_i1026" o:spt="75" type="#_x0000_t75" style="height:18pt;width:12.85pt;" o:ole="t" filled="f" o:preferrelative="t" stroked="f" coordsize="21600,21600">
                  <v:path/>
                  <v:fill on="f" focussize="0,0"/>
                  <v:stroke on="f" joinstyle="miter"/>
                  <v:imagedata r:id="rId38" o:title=""/>
                  <o:lock v:ext="edit" aspectratio="f"/>
                  <w10:wrap type="none"/>
                  <w10:anchorlock/>
                </v:shape>
                <o:OLEObject Type="Embed" ProgID="Equation.DSMT4" ShapeID="_x0000_i1026" DrawAspect="Content" ObjectID="_1468075726" r:id="rId37">
                  <o:LockedField>false</o:LockedField>
                </o:OLEObject>
              </w:object>
            </w:r>
          </w:p>
        </w:tc>
      </w:tr>
      <w:tr w14:paraId="3CCA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pct"/>
          </w:tcPr>
          <w:p w14:paraId="4B583C6B">
            <w:pPr>
              <w:jc w:val="center"/>
            </w:pPr>
            <w:r>
              <w:t>一级</w:t>
            </w:r>
          </w:p>
        </w:tc>
        <w:tc>
          <w:tcPr>
            <w:tcW w:w="4030" w:type="pct"/>
          </w:tcPr>
          <w:p w14:paraId="1312C531">
            <w:pPr>
              <w:ind w:firstLine="210" w:firstLineChars="100"/>
              <w:jc w:val="left"/>
            </w:pPr>
            <w:r>
              <w:t>支护结构失效、土体过大变形对周边环境或主体结构施工安全的影响很严重</w:t>
            </w:r>
          </w:p>
        </w:tc>
        <w:tc>
          <w:tcPr>
            <w:tcW w:w="396" w:type="pct"/>
          </w:tcPr>
          <w:p w14:paraId="5223A6FE">
            <w:pPr>
              <w:jc w:val="center"/>
            </w:pPr>
            <w:r>
              <w:t>1.1</w:t>
            </w:r>
          </w:p>
        </w:tc>
      </w:tr>
      <w:tr w14:paraId="3F79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pct"/>
          </w:tcPr>
          <w:p w14:paraId="3378D1FC">
            <w:pPr>
              <w:jc w:val="center"/>
            </w:pPr>
            <w:r>
              <w:t>二级</w:t>
            </w:r>
          </w:p>
        </w:tc>
        <w:tc>
          <w:tcPr>
            <w:tcW w:w="4030" w:type="pct"/>
          </w:tcPr>
          <w:p w14:paraId="3D1C8DFC">
            <w:pPr>
              <w:ind w:firstLine="210" w:firstLineChars="100"/>
              <w:jc w:val="left"/>
            </w:pPr>
            <w:r>
              <w:t>支护结构失效、土体过大变形对周边环境或主体结构施工安全的影响严重</w:t>
            </w:r>
          </w:p>
        </w:tc>
        <w:tc>
          <w:tcPr>
            <w:tcW w:w="396" w:type="pct"/>
          </w:tcPr>
          <w:p w14:paraId="0B7FC36F">
            <w:pPr>
              <w:jc w:val="center"/>
            </w:pPr>
            <w:r>
              <w:t>1.0</w:t>
            </w:r>
          </w:p>
        </w:tc>
      </w:tr>
      <w:tr w14:paraId="3160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pct"/>
          </w:tcPr>
          <w:p w14:paraId="25C15145">
            <w:pPr>
              <w:jc w:val="center"/>
            </w:pPr>
            <w:r>
              <w:t>三级</w:t>
            </w:r>
          </w:p>
        </w:tc>
        <w:tc>
          <w:tcPr>
            <w:tcW w:w="4030" w:type="pct"/>
          </w:tcPr>
          <w:p w14:paraId="0457803D">
            <w:pPr>
              <w:ind w:firstLine="210" w:firstLineChars="100"/>
              <w:jc w:val="left"/>
            </w:pPr>
            <w:r>
              <w:t>支护结构失效、土体过大变形对周边环境或主体结构施工安全的影响不严重</w:t>
            </w:r>
          </w:p>
        </w:tc>
        <w:tc>
          <w:tcPr>
            <w:tcW w:w="396" w:type="pct"/>
          </w:tcPr>
          <w:p w14:paraId="2BDF522B">
            <w:pPr>
              <w:jc w:val="center"/>
            </w:pPr>
            <w:r>
              <w:t>0.9</w:t>
            </w:r>
          </w:p>
        </w:tc>
      </w:tr>
    </w:tbl>
    <w:p w14:paraId="4B6C80D6">
      <w:pPr>
        <w:spacing w:before="156" w:beforeLines="50"/>
      </w:pPr>
      <w:r>
        <w:t>3.0.5  支护结构设计应根据周边环境的重要性及对变形的适应能力、支护结构的内力和变形计算结果等因素，确定其变形限值和周边环境变形限值，变形值应满足正常使用要求和环境保护要求。</w:t>
      </w:r>
    </w:p>
    <w:p w14:paraId="1C976AFC">
      <w:r>
        <w:t>3.0.6  钢板桩支护结构设计应明确支护结构的设计使用年限。当无特殊要求时，钢板桩支护结构应按临时性支护构设计。当按永久性支护构设计时，其设计使用年限不应低于被保护建（构）筑物的设计使用年限。</w:t>
      </w:r>
    </w:p>
    <w:p w14:paraId="77F005D5">
      <w:r>
        <w:t>3.0.7  钢板桩永久性支护结构应根据设计使用期限和腐蚀环境进行耐久性设计，并应符合现行国家标准《钢结构设计标准》GB50017的</w:t>
      </w:r>
      <w:r>
        <w:rPr>
          <w:rFonts w:hint="eastAsia"/>
        </w:rPr>
        <w:t>相关</w:t>
      </w:r>
      <w:r>
        <w:t>规定。</w:t>
      </w:r>
    </w:p>
    <w:p w14:paraId="4E1CB6BC">
      <w:r>
        <w:t>3.0.8  施工前应结合工程地质与水文地质条件、压桩阻力、施工条件、环境保护等因素选择合适的压桩工艺。</w:t>
      </w:r>
    </w:p>
    <w:p w14:paraId="3E9B3BF7">
      <w:r>
        <w:t>3.0.9  静压钢板桩支护工程在压桩、使用和拔除时，应对支护结构和周边环境进行监测。</w:t>
      </w:r>
    </w:p>
    <w:p w14:paraId="64583B42">
      <w:r>
        <w:t>3.0.10  钢板桩支护工程验收程序应符合</w:t>
      </w:r>
      <w:r>
        <w:rPr>
          <w:rFonts w:hint="eastAsia"/>
        </w:rPr>
        <w:t>现行国家标准《建筑工程施工质量验收统一标准》GB50300等相关标准的规定</w:t>
      </w:r>
      <w:r>
        <w:t>。</w:t>
      </w:r>
    </w:p>
    <w:p w14:paraId="27E64C96">
      <w:pPr>
        <w:rPr>
          <w:highlight w:val="cyan"/>
        </w:rPr>
      </w:pPr>
    </w:p>
    <w:p w14:paraId="4914E8C3"/>
    <w:p w14:paraId="42326B9D">
      <w:pPr>
        <w:pStyle w:val="2"/>
      </w:pPr>
      <w:r>
        <w:rPr>
          <w:rFonts w:hint="eastAsia"/>
          <w:szCs w:val="24"/>
        </w:rPr>
        <w:br w:type="page"/>
      </w:r>
      <w:bookmarkStart w:id="13" w:name="_Toc24971"/>
      <w:bookmarkStart w:id="14" w:name="_Toc9822"/>
      <w:r>
        <w:rPr>
          <w:rFonts w:hint="eastAsia"/>
        </w:rPr>
        <w:t xml:space="preserve">4 </w:t>
      </w:r>
      <w:r>
        <w:t xml:space="preserve"> </w:t>
      </w:r>
      <w:r>
        <w:rPr>
          <w:rFonts w:hint="eastAsia"/>
        </w:rPr>
        <w:t>勘察与环境调查</w:t>
      </w:r>
      <w:bookmarkEnd w:id="13"/>
      <w:bookmarkEnd w:id="14"/>
    </w:p>
    <w:p w14:paraId="235739A8">
      <w:pPr>
        <w:pStyle w:val="3"/>
        <w:ind w:firstLine="281"/>
      </w:pPr>
      <w:bookmarkStart w:id="15" w:name="_Toc24248"/>
      <w:bookmarkStart w:id="16" w:name="_Toc19325"/>
      <w:r>
        <w:rPr>
          <w:rFonts w:hint="eastAsia"/>
        </w:rPr>
        <w:t>4.1  一般规定</w:t>
      </w:r>
      <w:bookmarkEnd w:id="15"/>
      <w:bookmarkEnd w:id="16"/>
    </w:p>
    <w:p w14:paraId="644BB0C7">
      <w:r>
        <w:rPr>
          <w:rFonts w:hint="eastAsia"/>
        </w:rPr>
        <w:t>4.1.1  钢板桩支护工程的勘探点，其平面布设、深度及深度范围内每一主要土层的取样和测试要求，应符合现行国家、行业及地方标准的有关规定。</w:t>
      </w:r>
    </w:p>
    <w:p w14:paraId="46C9BED3">
      <w:r>
        <w:rPr>
          <w:rFonts w:hint="eastAsia"/>
        </w:rPr>
        <w:t>4.1.2  环境调查工作应在设计前进行，环境调查结果应作为设计和施工的依据。</w:t>
      </w:r>
    </w:p>
    <w:p w14:paraId="44AA7A25">
      <w:r>
        <w:rPr>
          <w:rFonts w:hint="eastAsia"/>
        </w:rPr>
        <w:t>4.1.3  环境调查应评估钢板桩的压桩、拔桩对周边环境的影响。</w:t>
      </w:r>
    </w:p>
    <w:p w14:paraId="5B1CC0F2"/>
    <w:p w14:paraId="7922E624">
      <w:pPr>
        <w:pStyle w:val="3"/>
        <w:ind w:firstLine="281"/>
      </w:pPr>
      <w:bookmarkStart w:id="17" w:name="_Toc1452"/>
      <w:bookmarkStart w:id="18" w:name="_Toc26457"/>
      <w:r>
        <w:rPr>
          <w:rFonts w:hint="eastAsia"/>
        </w:rPr>
        <w:t>4.2  勘察要求</w:t>
      </w:r>
      <w:bookmarkEnd w:id="17"/>
      <w:bookmarkEnd w:id="18"/>
    </w:p>
    <w:p w14:paraId="4AE3F84D">
      <w:r>
        <w:rPr>
          <w:rFonts w:hint="eastAsia"/>
        </w:rPr>
        <w:t>4.2.1</w:t>
      </w:r>
      <w:r>
        <w:t xml:space="preserve"> </w:t>
      </w:r>
      <w:r>
        <w:rPr>
          <w:rFonts w:hint="eastAsia"/>
        </w:rPr>
        <w:t xml:space="preserve"> </w:t>
      </w:r>
      <w:r>
        <w:t>采用</w:t>
      </w:r>
      <w:r>
        <w:rPr>
          <w:rFonts w:hint="eastAsia"/>
        </w:rPr>
        <w:t>静压钢板桩</w:t>
      </w:r>
      <w:r>
        <w:t>施工的场地岩土工程勘察应符合下列规定</w:t>
      </w:r>
      <w:r>
        <w:rPr>
          <w:rFonts w:hint="eastAsia"/>
        </w:rPr>
        <w:t>：</w:t>
      </w:r>
    </w:p>
    <w:p w14:paraId="26B97A51">
      <w:pPr>
        <w:ind w:firstLine="420" w:firstLineChars="200"/>
      </w:pPr>
      <w:r>
        <w:t>1 应查明浅层明浜、暗浜、淤泥等软弱土范围和深度，应探明浅层杂填土、冲填土、碎石土的成分及其范围和深度，应查明地下障碍物范围和深度</w:t>
      </w:r>
      <w:r>
        <w:rPr>
          <w:rFonts w:hint="eastAsia"/>
        </w:rPr>
        <w:t>，</w:t>
      </w:r>
      <w:r>
        <w:t>应评价表层土地基承载力</w:t>
      </w:r>
      <w:r>
        <w:rPr>
          <w:rFonts w:hint="eastAsia"/>
        </w:rPr>
        <w:t>；</w:t>
      </w:r>
    </w:p>
    <w:p w14:paraId="34962ED2">
      <w:pPr>
        <w:ind w:firstLine="420" w:firstLineChars="200"/>
      </w:pPr>
      <w:r>
        <w:t>2 应提供原位测试参数</w:t>
      </w:r>
      <w:r>
        <w:rPr>
          <w:rFonts w:hint="eastAsia"/>
        </w:rPr>
        <w:t>，</w:t>
      </w:r>
      <w:r>
        <w:t>土性变异性大或持力层起伏较大时应加密原位测试间距或增加测试孔数</w:t>
      </w:r>
      <w:r>
        <w:rPr>
          <w:rFonts w:hint="eastAsia"/>
        </w:rPr>
        <w:t>；</w:t>
      </w:r>
    </w:p>
    <w:p w14:paraId="008F0D61">
      <w:pPr>
        <w:ind w:firstLine="420" w:firstLineChars="200"/>
      </w:pPr>
      <w:r>
        <w:rPr>
          <w:rFonts w:hint="eastAsia"/>
        </w:rPr>
        <w:t>3</w:t>
      </w:r>
      <w:r>
        <w:t xml:space="preserve"> </w:t>
      </w:r>
      <w:r>
        <w:rPr>
          <w:rFonts w:hint="eastAsia"/>
        </w:rPr>
        <w:t>当压桩影响范围内有岩层时</w:t>
      </w:r>
      <w:r>
        <w:t>应查明岩</w:t>
      </w:r>
      <w:r>
        <w:rPr>
          <w:rFonts w:hint="eastAsia"/>
        </w:rPr>
        <w:t>层</w:t>
      </w:r>
      <w:r>
        <w:t>的岩性、岩面变化、风化程度，确定其坚硬、完整程度等</w:t>
      </w:r>
      <w:r>
        <w:rPr>
          <w:rFonts w:hint="eastAsia"/>
        </w:rPr>
        <w:t>；</w:t>
      </w:r>
    </w:p>
    <w:p w14:paraId="0B00E29C">
      <w:pPr>
        <w:ind w:firstLine="420" w:firstLineChars="200"/>
      </w:pPr>
      <w:r>
        <w:rPr>
          <w:rFonts w:hint="eastAsia"/>
        </w:rPr>
        <w:t>4</w:t>
      </w:r>
      <w:r>
        <w:t xml:space="preserve"> 应对孤石、坚硬夹层、岩溶、土洞、风化软质岩、破碎带等不良地质条件的分布和成因作出评价。</w:t>
      </w:r>
    </w:p>
    <w:p w14:paraId="3C024022">
      <w:r>
        <w:rPr>
          <w:rFonts w:hint="eastAsia"/>
        </w:rPr>
        <w:t>4.2.2  静压钢板桩支护结构的勘察应增加标准贯入或静力触探等原位测试试验；初步勘察资料中原位测试试验数据不足或地质条件变化较大时，应根据设计要求补充勘察。</w:t>
      </w:r>
    </w:p>
    <w:p w14:paraId="3D6325F1">
      <w:r>
        <w:rPr>
          <w:rFonts w:hint="eastAsia"/>
        </w:rPr>
        <w:t>4.2.3  控制性勘察孔深度范围内的每一土层均应进行标准贯入试验，遇中密—密实砂层、硬塑—坚硬黏性土层时，应每2m测试一次。</w:t>
      </w:r>
    </w:p>
    <w:p w14:paraId="1FB35895">
      <w:r>
        <w:rPr>
          <w:rFonts w:hint="eastAsia"/>
        </w:rPr>
        <w:t>4.2.4  静压钢板桩入岩施工时，应对预计钢板桩深度范围内岩石进行饱和单轴抗压强度试验。</w:t>
      </w:r>
    </w:p>
    <w:p w14:paraId="3E5A114A">
      <w:r>
        <w:rPr>
          <w:rFonts w:hint="eastAsia"/>
        </w:rPr>
        <w:t>4.2.5  钢板桩深度范围的地层中存在碎石土时，宜查明碎石土的最大粒径。</w:t>
      </w:r>
    </w:p>
    <w:p w14:paraId="20561076">
      <w:r>
        <w:rPr>
          <w:rFonts w:hint="eastAsia"/>
        </w:rPr>
        <w:t>4.2.6  钢板桩支护工程勘察报告宜详列下列内容：</w:t>
      </w:r>
    </w:p>
    <w:p w14:paraId="20C24AC6">
      <w:pPr>
        <w:ind w:firstLine="420" w:firstLineChars="200"/>
      </w:pPr>
      <w:r>
        <w:rPr>
          <w:rFonts w:hint="eastAsia"/>
        </w:rPr>
        <w:t>1 工程场地的不良地质现象，如孤石、坚硬夹层、溶洞、土洞的分布；</w:t>
      </w:r>
    </w:p>
    <w:p w14:paraId="58BB417B">
      <w:pPr>
        <w:ind w:firstLine="420" w:firstLineChars="200"/>
      </w:pPr>
      <w:r>
        <w:rPr>
          <w:rFonts w:hint="eastAsia"/>
        </w:rPr>
        <w:t xml:space="preserve">2 </w:t>
      </w:r>
      <w:r>
        <w:t>地下水类型、稳定水位及其变化幅度</w:t>
      </w:r>
      <w:r>
        <w:rPr>
          <w:rFonts w:hint="eastAsia"/>
        </w:rPr>
        <w:t>；</w:t>
      </w:r>
    </w:p>
    <w:p w14:paraId="22CBE453">
      <w:pPr>
        <w:ind w:firstLine="420" w:firstLineChars="200"/>
      </w:pPr>
      <w:r>
        <w:rPr>
          <w:rFonts w:hint="eastAsia"/>
        </w:rPr>
        <w:t xml:space="preserve">3 </w:t>
      </w:r>
      <w:r>
        <w:t>标准贯入试验或其他原位测试试验成果。</w:t>
      </w:r>
    </w:p>
    <w:p w14:paraId="0303196D"/>
    <w:p w14:paraId="28F312D6">
      <w:pPr>
        <w:pStyle w:val="3"/>
        <w:ind w:firstLine="281"/>
      </w:pPr>
      <w:bookmarkStart w:id="19" w:name="_Toc31451"/>
      <w:bookmarkStart w:id="20" w:name="_Toc13178"/>
      <w:r>
        <w:rPr>
          <w:rFonts w:hint="eastAsia"/>
        </w:rPr>
        <w:t>4</w:t>
      </w:r>
      <w:r>
        <w:t>.3</w:t>
      </w:r>
      <w:r>
        <w:rPr>
          <w:rFonts w:hint="eastAsia"/>
        </w:rPr>
        <w:t xml:space="preserve"> </w:t>
      </w:r>
      <w:r>
        <w:t xml:space="preserve"> 环境调查</w:t>
      </w:r>
      <w:bookmarkEnd w:id="19"/>
      <w:bookmarkEnd w:id="20"/>
    </w:p>
    <w:p w14:paraId="102663FB">
      <w:r>
        <w:rPr>
          <w:rFonts w:hint="eastAsia"/>
        </w:rPr>
        <w:t>4</w:t>
      </w:r>
      <w:r>
        <w:t xml:space="preserve">.3.1 </w:t>
      </w:r>
      <w:r>
        <w:rPr>
          <w:rFonts w:hint="eastAsia"/>
        </w:rPr>
        <w:t xml:space="preserve"> </w:t>
      </w:r>
      <w:r>
        <w:t>环境调查的范围不应小于3倍</w:t>
      </w:r>
      <w:r>
        <w:rPr>
          <w:rFonts w:hint="eastAsia"/>
        </w:rPr>
        <w:t>支护高</w:t>
      </w:r>
      <w:r>
        <w:t>度</w:t>
      </w:r>
      <w:r>
        <w:rPr>
          <w:rFonts w:hint="eastAsia"/>
        </w:rPr>
        <w:t>。</w:t>
      </w:r>
    </w:p>
    <w:p w14:paraId="2BD63C32">
      <w:r>
        <w:rPr>
          <w:rFonts w:hint="eastAsia"/>
        </w:rPr>
        <w:t>4</w:t>
      </w:r>
      <w:r>
        <w:t xml:space="preserve">.3.2 </w:t>
      </w:r>
      <w:r>
        <w:rPr>
          <w:rFonts w:hint="eastAsia"/>
        </w:rPr>
        <w:t xml:space="preserve"> 静压钢板桩支护设计前</w:t>
      </w:r>
      <w:r>
        <w:t>应对场地和周边环境进行调查</w:t>
      </w:r>
      <w:r>
        <w:rPr>
          <w:rFonts w:hint="eastAsia"/>
        </w:rPr>
        <w:t>，</w:t>
      </w:r>
      <w:r>
        <w:t>环境调查应包括下列内容</w:t>
      </w:r>
      <w:r>
        <w:rPr>
          <w:rFonts w:hint="eastAsia"/>
        </w:rPr>
        <w:t>：</w:t>
      </w:r>
    </w:p>
    <w:p w14:paraId="54D023DA">
      <w:pPr>
        <w:ind w:firstLine="420" w:firstLineChars="200"/>
      </w:pPr>
      <w:r>
        <w:t xml:space="preserve">1 </w:t>
      </w:r>
      <w:r>
        <w:rPr>
          <w:rFonts w:hint="eastAsia"/>
        </w:rPr>
        <w:t>临近</w:t>
      </w:r>
      <w:r>
        <w:t>建(构)筑物的结构类型、层数、用途，以及其地基基础的形式、尺寸、位置、埋深等</w:t>
      </w:r>
      <w:r>
        <w:rPr>
          <w:rFonts w:hint="eastAsia"/>
        </w:rPr>
        <w:t>；</w:t>
      </w:r>
    </w:p>
    <w:p w14:paraId="4FFC4C4B">
      <w:pPr>
        <w:ind w:firstLine="420" w:firstLineChars="200"/>
      </w:pPr>
      <w:r>
        <w:t xml:space="preserve">2 </w:t>
      </w:r>
      <w:r>
        <w:rPr>
          <w:rFonts w:hint="eastAsia"/>
        </w:rPr>
        <w:t>临近</w:t>
      </w:r>
      <w:r>
        <w:t>地下管线材质、埋深</w:t>
      </w:r>
      <w:r>
        <w:rPr>
          <w:rFonts w:hint="eastAsia"/>
        </w:rPr>
        <w:t>，</w:t>
      </w:r>
      <w:r>
        <w:t>地下结构的类型、位置、材料、尺寸、埋深、接口形式及用途等</w:t>
      </w:r>
      <w:r>
        <w:rPr>
          <w:rFonts w:hint="eastAsia"/>
        </w:rPr>
        <w:t>；</w:t>
      </w:r>
    </w:p>
    <w:p w14:paraId="1D07BAE1">
      <w:pPr>
        <w:ind w:firstLine="420" w:firstLineChars="200"/>
      </w:pPr>
      <w:r>
        <w:t xml:space="preserve">3 </w:t>
      </w:r>
      <w:r>
        <w:rPr>
          <w:rFonts w:hint="eastAsia"/>
        </w:rPr>
        <w:t>临近</w:t>
      </w:r>
      <w:r>
        <w:t>道路的类型、位置、宽度、行驶情况等</w:t>
      </w:r>
      <w:r>
        <w:rPr>
          <w:rFonts w:hint="eastAsia"/>
        </w:rPr>
        <w:t>；</w:t>
      </w:r>
    </w:p>
    <w:p w14:paraId="4C991737">
      <w:pPr>
        <w:ind w:firstLine="420" w:firstLineChars="200"/>
      </w:pPr>
      <w:r>
        <w:rPr>
          <w:rFonts w:hint="eastAsia"/>
        </w:rPr>
        <w:t xml:space="preserve">4 </w:t>
      </w:r>
      <w:r>
        <w:t>相邻工程建设情况</w:t>
      </w:r>
      <w:r>
        <w:rPr>
          <w:rFonts w:hint="eastAsia"/>
        </w:rPr>
        <w:t>；</w:t>
      </w:r>
    </w:p>
    <w:p w14:paraId="281C6BC7">
      <w:pPr>
        <w:ind w:firstLine="420" w:firstLineChars="200"/>
      </w:pPr>
      <w:r>
        <w:rPr>
          <w:rFonts w:hint="eastAsia"/>
        </w:rPr>
        <w:t>5 临近</w:t>
      </w:r>
      <w:r>
        <w:t>河道、水沟、水塘等水体和暗塘、暗沟的位置、水深</w:t>
      </w:r>
      <w:r>
        <w:rPr>
          <w:rFonts w:hint="eastAsia"/>
        </w:rPr>
        <w:t>（</w:t>
      </w:r>
      <w:r>
        <w:t>埋深</w:t>
      </w:r>
      <w:r>
        <w:rPr>
          <w:rFonts w:hint="eastAsia"/>
        </w:rPr>
        <w:t>）</w:t>
      </w:r>
      <w:r>
        <w:t>以及与地下水的联系等</w:t>
      </w:r>
      <w:r>
        <w:rPr>
          <w:rFonts w:hint="eastAsia"/>
        </w:rPr>
        <w:t>；</w:t>
      </w:r>
    </w:p>
    <w:p w14:paraId="655F801E">
      <w:pPr>
        <w:ind w:firstLine="420" w:firstLineChars="200"/>
      </w:pPr>
      <w:r>
        <w:rPr>
          <w:rFonts w:hint="eastAsia"/>
        </w:rPr>
        <w:t>6</w:t>
      </w:r>
      <w:r>
        <w:t xml:space="preserve"> 场地内地下管线、高空管线走向</w:t>
      </w:r>
      <w:r>
        <w:rPr>
          <w:rFonts w:hint="eastAsia"/>
        </w:rPr>
        <w:t>；</w:t>
      </w:r>
    </w:p>
    <w:p w14:paraId="1BC2DC09">
      <w:pPr>
        <w:ind w:firstLine="420" w:firstLineChars="200"/>
      </w:pPr>
      <w:r>
        <w:rPr>
          <w:rFonts w:hint="eastAsia"/>
        </w:rPr>
        <w:t>7</w:t>
      </w:r>
      <w:r>
        <w:t xml:space="preserve"> 周边建(构)筑物</w:t>
      </w:r>
      <w:r>
        <w:rPr>
          <w:rFonts w:hint="eastAsia"/>
        </w:rPr>
        <w:t>、</w:t>
      </w:r>
      <w:r>
        <w:t>管线</w:t>
      </w:r>
      <w:r>
        <w:rPr>
          <w:rFonts w:hint="eastAsia"/>
        </w:rPr>
        <w:t>等</w:t>
      </w:r>
      <w:r>
        <w:t>的最近距离</w:t>
      </w:r>
      <w:r>
        <w:rPr>
          <w:rFonts w:hint="eastAsia"/>
        </w:rPr>
        <w:t>。</w:t>
      </w:r>
    </w:p>
    <w:p w14:paraId="1D8016A5">
      <w:pPr>
        <w:pStyle w:val="2"/>
      </w:pPr>
      <w:r>
        <w:rPr>
          <w:rFonts w:hint="eastAsia"/>
        </w:rPr>
        <w:br w:type="page"/>
      </w:r>
      <w:bookmarkStart w:id="21" w:name="_Toc12498"/>
      <w:bookmarkStart w:id="22" w:name="_Toc1962"/>
      <w:r>
        <w:rPr>
          <w:rFonts w:hint="eastAsia"/>
        </w:rPr>
        <w:t>5</w:t>
      </w:r>
      <w:r>
        <w:t xml:space="preserve"> </w:t>
      </w:r>
      <w:r>
        <w:rPr>
          <w:rFonts w:hint="eastAsia"/>
        </w:rPr>
        <w:t xml:space="preserve"> 支护设计</w:t>
      </w:r>
      <w:bookmarkEnd w:id="21"/>
      <w:bookmarkEnd w:id="22"/>
    </w:p>
    <w:p w14:paraId="55F17575">
      <w:pPr>
        <w:pStyle w:val="3"/>
        <w:ind w:firstLine="281"/>
      </w:pPr>
      <w:bookmarkStart w:id="23" w:name="_Toc23102"/>
      <w:bookmarkStart w:id="24" w:name="_Toc4968"/>
      <w:r>
        <w:t>5.1</w:t>
      </w:r>
      <w:r>
        <w:rPr>
          <w:rFonts w:hint="eastAsia"/>
        </w:rPr>
        <w:t xml:space="preserve">  一般规定</w:t>
      </w:r>
      <w:bookmarkEnd w:id="23"/>
      <w:bookmarkEnd w:id="24"/>
    </w:p>
    <w:p w14:paraId="2B33E837">
      <w:r>
        <w:rPr>
          <w:rFonts w:hint="eastAsia"/>
        </w:rPr>
        <w:t>5.1.1  静压钢板桩支护设计应包括以下内容：</w:t>
      </w:r>
    </w:p>
    <w:p w14:paraId="0160503D">
      <w:pPr>
        <w:ind w:firstLine="420" w:firstLineChars="200"/>
      </w:pPr>
      <w:r>
        <w:rPr>
          <w:rFonts w:hint="eastAsia"/>
        </w:rPr>
        <w:t>1 荷载计算；</w:t>
      </w:r>
    </w:p>
    <w:p w14:paraId="66F2E7DC">
      <w:pPr>
        <w:ind w:firstLine="420" w:firstLineChars="200"/>
      </w:pPr>
      <w:r>
        <w:rPr>
          <w:rFonts w:hint="eastAsia"/>
        </w:rPr>
        <w:t>2 钢板桩、锚杆或支撑体系的选型；</w:t>
      </w:r>
    </w:p>
    <w:p w14:paraId="0FB5C981">
      <w:pPr>
        <w:ind w:firstLine="420" w:firstLineChars="200"/>
      </w:pPr>
      <w:r>
        <w:rPr>
          <w:rFonts w:hint="eastAsia"/>
        </w:rPr>
        <w:t>3 钢板桩支护结构的内力、变形计算；</w:t>
      </w:r>
    </w:p>
    <w:p w14:paraId="4C000BFD">
      <w:pPr>
        <w:ind w:firstLine="420" w:firstLineChars="200"/>
      </w:pPr>
      <w:r>
        <w:rPr>
          <w:rFonts w:hint="eastAsia"/>
        </w:rPr>
        <w:t>4 钢板桩支护结构的稳定计算；</w:t>
      </w:r>
    </w:p>
    <w:p w14:paraId="38D8D69B">
      <w:pPr>
        <w:ind w:firstLine="420" w:firstLineChars="200"/>
      </w:pPr>
      <w:r>
        <w:rPr>
          <w:rFonts w:hint="eastAsia"/>
        </w:rPr>
        <w:t>5 锚杆或支撑体系的内力、稳定和变形计算；</w:t>
      </w:r>
    </w:p>
    <w:p w14:paraId="71ADCF26">
      <w:pPr>
        <w:ind w:firstLine="420" w:firstLineChars="200"/>
      </w:pPr>
      <w:r>
        <w:rPr>
          <w:rFonts w:hint="eastAsia"/>
        </w:rPr>
        <w:t>6 钢板桩支护结构的构造设计；</w:t>
      </w:r>
    </w:p>
    <w:p w14:paraId="33F0D2A7">
      <w:pPr>
        <w:ind w:firstLine="420" w:firstLineChars="200"/>
      </w:pPr>
      <w:r>
        <w:rPr>
          <w:rFonts w:hint="eastAsia"/>
        </w:rPr>
        <w:t>7 施工技术要求、地下水控制要求及环境保护要求；</w:t>
      </w:r>
    </w:p>
    <w:p w14:paraId="38CE0F3C">
      <w:pPr>
        <w:ind w:firstLine="420" w:firstLineChars="200"/>
      </w:pPr>
      <w:r>
        <w:rPr>
          <w:rFonts w:hint="eastAsia"/>
        </w:rPr>
        <w:t>8 监测和检测要求。</w:t>
      </w:r>
    </w:p>
    <w:p w14:paraId="542B3DF9">
      <w:r>
        <w:t xml:space="preserve">5.1.2 </w:t>
      </w:r>
      <w:r>
        <w:rPr>
          <w:rFonts w:hint="eastAsia"/>
        </w:rPr>
        <w:t xml:space="preserve"> </w:t>
      </w:r>
      <w:r>
        <w:t>钢板桩结构的设计应考虑下列设计状况</w:t>
      </w:r>
      <w:r>
        <w:rPr>
          <w:rFonts w:hint="eastAsia"/>
        </w:rPr>
        <w:t>：</w:t>
      </w:r>
    </w:p>
    <w:p w14:paraId="19F556BF">
      <w:pPr>
        <w:ind w:firstLine="420" w:firstLineChars="200"/>
      </w:pPr>
      <w:r>
        <w:rPr>
          <w:rFonts w:hint="eastAsia"/>
        </w:rPr>
        <w:t xml:space="preserve">1 </w:t>
      </w:r>
      <w:r>
        <w:t>持久状况，结构使用期内应按承载能力极限状态和正常使用极限状态进行设计</w:t>
      </w:r>
      <w:r>
        <w:rPr>
          <w:rFonts w:hint="eastAsia"/>
        </w:rPr>
        <w:t>；</w:t>
      </w:r>
    </w:p>
    <w:p w14:paraId="740D9654">
      <w:pPr>
        <w:ind w:firstLine="420" w:firstLineChars="200"/>
      </w:pPr>
      <w:r>
        <w:t>2 短暂状况，施工期、维修</w:t>
      </w:r>
      <w:r>
        <w:rPr>
          <w:rFonts w:hint="eastAsia"/>
        </w:rPr>
        <w:t>期</w:t>
      </w:r>
      <w:r>
        <w:t>和短期特殊使用期等按承载能力极限状态设计，必要时应同时按正常使用极限状态设计</w:t>
      </w:r>
      <w:r>
        <w:rPr>
          <w:rFonts w:hint="eastAsia"/>
        </w:rPr>
        <w:t>；</w:t>
      </w:r>
    </w:p>
    <w:p w14:paraId="484D1684">
      <w:pPr>
        <w:ind w:firstLine="420" w:firstLineChars="200"/>
      </w:pPr>
      <w:r>
        <w:t>3 偶然状况，仅在有特殊要求时应进行承载能力极限状态或防护设计</w:t>
      </w:r>
      <w:r>
        <w:rPr>
          <w:rFonts w:hint="eastAsia"/>
        </w:rPr>
        <w:t>；</w:t>
      </w:r>
    </w:p>
    <w:p w14:paraId="5065A57C">
      <w:pPr>
        <w:ind w:firstLine="420" w:firstLineChars="200"/>
      </w:pPr>
      <w:r>
        <w:t>4 地震状况，使用期遭受地震作用时应按承载能力极限状态设计。</w:t>
      </w:r>
    </w:p>
    <w:p w14:paraId="668A7696">
      <w:r>
        <w:rPr>
          <w:rFonts w:hint="eastAsia"/>
        </w:rPr>
        <w:t>5.1.</w:t>
      </w:r>
      <w:r>
        <w:t>3</w:t>
      </w:r>
      <w:r>
        <w:rPr>
          <w:rFonts w:hint="eastAsia"/>
        </w:rPr>
        <w:t xml:space="preserve">  钢板桩支护结构应按承载能力极限状态和正常使用极限状态进行设计：</w:t>
      </w:r>
    </w:p>
    <w:p w14:paraId="68F451F3">
      <w:pPr>
        <w:ind w:firstLine="420" w:firstLineChars="200"/>
      </w:pPr>
      <w:r>
        <w:rPr>
          <w:rFonts w:hint="eastAsia"/>
        </w:rPr>
        <w:t>1 承载能力极限状态</w:t>
      </w:r>
    </w:p>
    <w:p w14:paraId="7FF8C1F9">
      <w:pPr>
        <w:ind w:firstLine="630" w:firstLineChars="300"/>
      </w:pPr>
      <w:r>
        <w:rPr>
          <w:rFonts w:hint="eastAsia"/>
        </w:rPr>
        <w:t>1）支护结构和土体整体滑动；</w:t>
      </w:r>
    </w:p>
    <w:p w14:paraId="0536607A">
      <w:pPr>
        <w:ind w:firstLine="630" w:firstLineChars="300"/>
      </w:pPr>
      <w:r>
        <w:rPr>
          <w:rFonts w:hint="eastAsia"/>
        </w:rPr>
        <w:t>2）基坑底因隆起而丧失稳定；</w:t>
      </w:r>
    </w:p>
    <w:p w14:paraId="121FD4E8">
      <w:pPr>
        <w:ind w:firstLine="630" w:firstLineChars="300"/>
      </w:pPr>
      <w:r>
        <w:rPr>
          <w:rFonts w:hint="eastAsia"/>
        </w:rPr>
        <w:t>3）钢板桩因坑底土体丧失嵌固能力而被推移或倾覆；</w:t>
      </w:r>
    </w:p>
    <w:p w14:paraId="6A377EAD">
      <w:pPr>
        <w:ind w:firstLine="630" w:firstLineChars="300"/>
      </w:pPr>
      <w:r>
        <w:rPr>
          <w:rFonts w:hint="eastAsia"/>
        </w:rPr>
        <w:t>4）内支撑构件或连接节点因超过材料强度而破坏，或因过度变形而不适于继续承受荷载，或出现压屈、局部失稳；</w:t>
      </w:r>
    </w:p>
    <w:p w14:paraId="6E03AE1A">
      <w:pPr>
        <w:ind w:firstLine="630" w:firstLineChars="300"/>
      </w:pPr>
      <w:r>
        <w:rPr>
          <w:rFonts w:hint="eastAsia"/>
        </w:rPr>
        <w:t>5）竖向斜撑支座因丧失承载能力被推移；</w:t>
      </w:r>
    </w:p>
    <w:p w14:paraId="1E3B13EF">
      <w:pPr>
        <w:ind w:firstLine="630" w:firstLineChars="300"/>
      </w:pPr>
      <w:r>
        <w:rPr>
          <w:rFonts w:hint="eastAsia"/>
        </w:rPr>
        <w:t>6）锚杆(索)锚碇因杆体破坏或土体丧失锚固能力而被拔动；</w:t>
      </w:r>
    </w:p>
    <w:p w14:paraId="5B786E4C">
      <w:pPr>
        <w:ind w:firstLine="630" w:firstLineChars="300"/>
      </w:pPr>
      <w:r>
        <w:rPr>
          <w:rFonts w:hint="eastAsia"/>
        </w:rPr>
        <w:t>7）地下水渗流引起的土体渗透破坏。</w:t>
      </w:r>
    </w:p>
    <w:p w14:paraId="362C3579">
      <w:pPr>
        <w:ind w:firstLine="420" w:firstLineChars="200"/>
      </w:pPr>
      <w:r>
        <w:rPr>
          <w:rFonts w:hint="eastAsia"/>
        </w:rPr>
        <w:t>2 正常使用极限状态</w:t>
      </w:r>
    </w:p>
    <w:p w14:paraId="590C30F5">
      <w:pPr>
        <w:ind w:firstLine="630" w:firstLineChars="300"/>
      </w:pPr>
      <w:r>
        <w:rPr>
          <w:rFonts w:hint="eastAsia"/>
        </w:rPr>
        <w:t>1）造成基坑周边建(构)筑物、地下管线、道路等损坏或影响其正常使用的支护结构位移；</w:t>
      </w:r>
    </w:p>
    <w:p w14:paraId="43BF0437">
      <w:pPr>
        <w:ind w:firstLine="630" w:firstLineChars="300"/>
      </w:pPr>
      <w:r>
        <w:rPr>
          <w:rFonts w:hint="eastAsia"/>
        </w:rPr>
        <w:t>2）影响主体地下结构正常施工的支护结构位移；</w:t>
      </w:r>
    </w:p>
    <w:p w14:paraId="12118A53">
      <w:pPr>
        <w:ind w:firstLine="630" w:firstLineChars="300"/>
      </w:pPr>
      <w:r>
        <w:rPr>
          <w:rFonts w:hint="eastAsia"/>
        </w:rPr>
        <w:t>3）造成钢板桩损坏或影响其回收再利用的支护结构变形。</w:t>
      </w:r>
    </w:p>
    <w:p w14:paraId="45F44B8C">
      <w:r>
        <w:rPr>
          <w:rFonts w:hint="eastAsia"/>
        </w:rPr>
        <w:t>5</w:t>
      </w:r>
      <w:r>
        <w:t xml:space="preserve">.1.4 </w:t>
      </w:r>
      <w:r>
        <w:rPr>
          <w:rFonts w:hint="eastAsia"/>
        </w:rPr>
        <w:t xml:space="preserve"> </w:t>
      </w:r>
      <w:r>
        <w:t>按平面问题分析时，钢板桩支护结构应按各部位的</w:t>
      </w:r>
      <w:r>
        <w:rPr>
          <w:rFonts w:hint="eastAsia"/>
        </w:rPr>
        <w:t>支护高度</w:t>
      </w:r>
      <w:r>
        <w:t>、周边环境条件、地质条件等因素划分设计计算剖面。每一计算剖面应按设计方案对应的各施工工况进行计算。</w:t>
      </w:r>
    </w:p>
    <w:p w14:paraId="480318F1">
      <w:r>
        <w:rPr>
          <w:rFonts w:hint="eastAsia"/>
        </w:rPr>
        <w:t>5.1.</w:t>
      </w:r>
      <w:r>
        <w:t>5  钢板桩</w:t>
      </w:r>
      <w:r>
        <w:rPr>
          <w:rFonts w:hint="eastAsia"/>
        </w:rPr>
        <w:t>支护</w:t>
      </w:r>
      <w:r>
        <w:t>结构计算时采用的基本假定和计算模型应与构件实际使用及连接状态相符合。</w:t>
      </w:r>
    </w:p>
    <w:p w14:paraId="39E0C2A6">
      <w:r>
        <w:rPr>
          <w:rFonts w:hint="eastAsia"/>
        </w:rPr>
        <w:t>5.1.6  围堰设计可参考现行标准《钢板桩支护技术规程》T/CECS720等相关规定进行设计计算。</w:t>
      </w:r>
    </w:p>
    <w:p w14:paraId="7E981FC2"/>
    <w:p w14:paraId="2D07644B"/>
    <w:p w14:paraId="0F9F4CD1">
      <w:pPr>
        <w:pStyle w:val="3"/>
        <w:spacing w:before="312" w:beforeLines="100"/>
        <w:ind w:firstLine="281"/>
      </w:pPr>
      <w:bookmarkStart w:id="25" w:name="_Toc32069"/>
      <w:bookmarkStart w:id="26" w:name="_Toc7271"/>
      <w:r>
        <w:t>5.</w:t>
      </w:r>
      <w:r>
        <w:rPr>
          <w:rFonts w:hint="eastAsia"/>
        </w:rPr>
        <w:t>2  设计计算</w:t>
      </w:r>
      <w:bookmarkEnd w:id="25"/>
      <w:bookmarkEnd w:id="26"/>
    </w:p>
    <w:p w14:paraId="6D52B0E9">
      <w:r>
        <w:rPr>
          <w:rFonts w:hint="eastAsia"/>
        </w:rPr>
        <w:t>5.</w:t>
      </w:r>
      <w:r>
        <w:t>2</w:t>
      </w:r>
      <w:r>
        <w:rPr>
          <w:rFonts w:hint="eastAsia"/>
        </w:rPr>
        <w:t>.</w:t>
      </w:r>
      <w:r>
        <w:t>1</w:t>
      </w:r>
      <w:r>
        <w:rPr>
          <w:rFonts w:hint="eastAsia"/>
        </w:rPr>
        <w:t xml:space="preserve">  静压钢板桩支护结构选型可采用下列原则：</w:t>
      </w:r>
    </w:p>
    <w:p w14:paraId="1859C352">
      <w:pPr>
        <w:ind w:firstLine="630" w:firstLineChars="300"/>
      </w:pPr>
      <w:r>
        <w:rPr>
          <w:rFonts w:hint="eastAsia"/>
        </w:rPr>
        <w:t>1 当钢板桩墙挡土或挡水高度不高、地面荷载不大且对结构变形及位移要求不高时可采用悬臂式钢板桩结构；</w:t>
      </w:r>
    </w:p>
    <w:p w14:paraId="46A6F130">
      <w:pPr>
        <w:ind w:firstLine="630" w:firstLineChars="300"/>
      </w:pPr>
      <w:r>
        <w:rPr>
          <w:rFonts w:hint="eastAsia"/>
        </w:rPr>
        <w:t>2 当钢板桩墙挡土或挡水高度较高、前方无法设置内支撑系统或后方无法设置锚拉系统时，可采用双排钢板桩结构；</w:t>
      </w:r>
    </w:p>
    <w:p w14:paraId="0D7F9475">
      <w:pPr>
        <w:ind w:firstLine="630" w:firstLineChars="300"/>
      </w:pPr>
      <w:r>
        <w:rPr>
          <w:rFonts w:hint="eastAsia"/>
        </w:rPr>
        <w:t>3</w:t>
      </w:r>
      <w:r>
        <w:t xml:space="preserve"> </w:t>
      </w:r>
      <w:r>
        <w:rPr>
          <w:rFonts w:hint="eastAsia"/>
        </w:rPr>
        <w:t>其他情况下优先采用桩锚式。但当对结构变形及位移要求很高，或者软土地基中锚拉系统容易失效时，可采用内撑式的结构形式。</w:t>
      </w:r>
    </w:p>
    <w:p w14:paraId="726F140F">
      <w:r>
        <w:rPr>
          <w:rFonts w:hint="eastAsia"/>
        </w:rPr>
        <w:t>5.2.</w:t>
      </w:r>
      <w:r>
        <w:t>2</w:t>
      </w:r>
      <w:r>
        <w:rPr>
          <w:rFonts w:hint="eastAsia"/>
        </w:rPr>
        <w:t xml:space="preserve">  作用在钢板桩上的荷载包括：</w:t>
      </w:r>
    </w:p>
    <w:p w14:paraId="2A616F33">
      <w:pPr>
        <w:ind w:firstLine="420" w:firstLineChars="200"/>
      </w:pPr>
      <w:r>
        <w:rPr>
          <w:rFonts w:hint="eastAsia"/>
        </w:rPr>
        <w:t>1 水平荷载</w:t>
      </w:r>
    </w:p>
    <w:p w14:paraId="76F3B2CB">
      <w:pPr>
        <w:ind w:firstLine="630" w:firstLineChars="300"/>
      </w:pPr>
      <w:r>
        <w:rPr>
          <w:rFonts w:hint="eastAsia"/>
        </w:rPr>
        <w:t>1）水、土压力；</w:t>
      </w:r>
    </w:p>
    <w:p w14:paraId="7E1F0995">
      <w:pPr>
        <w:ind w:firstLine="630" w:firstLineChars="300"/>
      </w:pPr>
      <w:r>
        <w:rPr>
          <w:rFonts w:hint="eastAsia"/>
        </w:rPr>
        <w:t>2）周边建(构)筑物、车辆、堆载等引起的附加侧向压力；</w:t>
      </w:r>
    </w:p>
    <w:p w14:paraId="07BF9271">
      <w:pPr>
        <w:ind w:firstLine="630" w:firstLineChars="300"/>
      </w:pPr>
      <w:r>
        <w:rPr>
          <w:rFonts w:hint="eastAsia"/>
        </w:rPr>
        <w:t>3）锚杆(索)内支撑产生的水平力。</w:t>
      </w:r>
    </w:p>
    <w:p w14:paraId="5B61AF86">
      <w:pPr>
        <w:ind w:firstLine="420" w:firstLineChars="200"/>
      </w:pPr>
      <w:r>
        <w:rPr>
          <w:rFonts w:hint="eastAsia"/>
        </w:rPr>
        <w:t>2 竖向荷载</w:t>
      </w:r>
    </w:p>
    <w:p w14:paraId="4D97838B">
      <w:pPr>
        <w:ind w:firstLine="630" w:firstLineChars="300"/>
      </w:pPr>
      <w:r>
        <w:rPr>
          <w:rFonts w:hint="eastAsia"/>
        </w:rPr>
        <w:t>1）承托在钢板桩上的边跨支撑、围、冠梁等结构构件自重；</w:t>
      </w:r>
    </w:p>
    <w:p w14:paraId="489E397F">
      <w:pPr>
        <w:ind w:firstLine="630" w:firstLineChars="300"/>
      </w:pPr>
      <w:r>
        <w:rPr>
          <w:rFonts w:hint="eastAsia"/>
        </w:rPr>
        <w:t>2）锚杆(索)、竖向斜撑产生的竖向力；</w:t>
      </w:r>
    </w:p>
    <w:p w14:paraId="79109A58">
      <w:pPr>
        <w:ind w:firstLine="630" w:firstLineChars="300"/>
      </w:pPr>
      <w:r>
        <w:rPr>
          <w:rFonts w:hint="eastAsia"/>
        </w:rPr>
        <w:t>3）钢板桩自重；</w:t>
      </w:r>
    </w:p>
    <w:p w14:paraId="0CFE20AD">
      <w:pPr>
        <w:ind w:firstLine="630" w:firstLineChars="300"/>
      </w:pPr>
      <w:r>
        <w:rPr>
          <w:rFonts w:hint="eastAsia"/>
        </w:rPr>
        <w:t>4）作用在钢板桩墙顶的施工平台荷载或其它竖向荷载。</w:t>
      </w:r>
    </w:p>
    <w:p w14:paraId="0C384652">
      <w:r>
        <w:rPr>
          <w:rFonts w:hint="eastAsia"/>
        </w:rPr>
        <w:t>5.2.3</w:t>
      </w:r>
      <w:r>
        <w:t xml:space="preserve"> </w:t>
      </w:r>
      <w:r>
        <w:rPr>
          <w:rFonts w:hint="eastAsia"/>
        </w:rPr>
        <w:t xml:space="preserve"> 土压力与水压力荷载、土中竖向应力及附加竖向应力标准值可参照现行国家行业标准《建筑边坡工程技术规范》GB50330、《建筑基坑支护技术规程》JGJ120等相关规定进行计算。</w:t>
      </w:r>
    </w:p>
    <w:p w14:paraId="65EE777A">
      <w:r>
        <w:rPr>
          <w:rFonts w:hint="eastAsia"/>
        </w:rPr>
        <w:t>5.</w:t>
      </w:r>
      <w:r>
        <w:t>2</w:t>
      </w:r>
      <w:r>
        <w:rPr>
          <w:rFonts w:hint="eastAsia"/>
        </w:rPr>
        <w:t>.4  支护结构设计计算所采用的土的抗剪强度指标应按勘察报告结合当地经验取值，并应符合下列规定：</w:t>
      </w:r>
    </w:p>
    <w:p w14:paraId="086A6C4C">
      <w:pPr>
        <w:ind w:firstLine="420" w:firstLineChars="200"/>
      </w:pPr>
      <w:r>
        <w:rPr>
          <w:rFonts w:hint="eastAsia"/>
        </w:rPr>
        <w:t>1 地下水位以上的黏性土、黏质粉土，应采用三轴固结不排水剪切试验确定的抗剪强度指标</w:t>
      </w:r>
      <w:r>
        <w:rPr>
          <w:rFonts w:hint="eastAsia"/>
          <w:position w:val="-12"/>
        </w:rPr>
        <w:object>
          <v:shape id="_x0000_i1027" o:spt="75" type="#_x0000_t75" style="height:22.7pt;width:19.7pt;" o:ole="t" filled="f" o:preferrelative="t" stroked="f" coordsize="21600,21600">
            <v:path/>
            <v:fill on="f" focussize="0,0"/>
            <v:stroke on="f" joinstyle="miter"/>
            <v:imagedata r:id="rId40" o:title=""/>
            <o:lock v:ext="edit" aspectratio="f"/>
            <w10:wrap type="none"/>
            <w10:anchorlock/>
          </v:shape>
          <o:OLEObject Type="Embed" ProgID="Equation.DSMT4" ShapeID="_x0000_i1027" DrawAspect="Content" ObjectID="_1468075727" r:id="rId39">
            <o:LockedField>false</o:LockedField>
          </o:OLEObject>
        </w:object>
      </w:r>
      <w:r>
        <w:rPr>
          <w:rFonts w:hint="eastAsia"/>
        </w:rPr>
        <w:t>、</w:t>
      </w:r>
      <w:r>
        <w:rPr>
          <w:rFonts w:hint="eastAsia"/>
          <w:position w:val="-12"/>
        </w:rPr>
        <w:object>
          <v:shape id="_x0000_i1028" o:spt="75" type="#_x0000_t75" style="height:19.7pt;width:19.7pt;" o:ole="t" filled="f" o:preferrelative="t" stroked="f" coordsize="21600,21600">
            <v:path/>
            <v:fill on="f" focussize="0,0"/>
            <v:stroke on="f" joinstyle="miter"/>
            <v:imagedata r:id="rId42" o:title=""/>
            <o:lock v:ext="edit" aspectratio="f"/>
            <w10:wrap type="none"/>
            <w10:anchorlock/>
          </v:shape>
          <o:OLEObject Type="Embed" ProgID="Equation.DSMT4" ShapeID="_x0000_i1028" DrawAspect="Content" ObjectID="_1468075728" r:id="rId41">
            <o:LockedField>false</o:LockedField>
          </o:OLEObject>
        </w:object>
      </w:r>
      <w:r>
        <w:rPr>
          <w:rFonts w:hint="eastAsia"/>
        </w:rPr>
        <w:t>或采用直剪固结快剪试验确定的抗剪强度指标</w:t>
      </w:r>
      <w:r>
        <w:rPr>
          <w:rFonts w:hint="eastAsia"/>
          <w:position w:val="-14"/>
        </w:rPr>
        <w:object>
          <v:shape id="_x0000_i1029" o:spt="75" type="#_x0000_t75" style="height:22.7pt;width:19.7pt;" o:ole="t" filled="f" o:preferrelative="t" stroked="f" coordsize="21600,21600">
            <v:path/>
            <v:fill on="f" focussize="0,0"/>
            <v:stroke on="f" joinstyle="miter"/>
            <v:imagedata r:id="rId44" o:title=""/>
            <o:lock v:ext="edit" aspectratio="f"/>
            <w10:wrap type="none"/>
            <w10:anchorlock/>
          </v:shape>
          <o:OLEObject Type="Embed" ProgID="Equation.DSMT4" ShapeID="_x0000_i1029" DrawAspect="Content" ObjectID="_1468075729" r:id="rId43">
            <o:LockedField>false</o:LockedField>
          </o:OLEObject>
        </w:object>
      </w:r>
      <w:r>
        <w:rPr>
          <w:rFonts w:hint="eastAsia"/>
        </w:rPr>
        <w:t>、</w:t>
      </w:r>
      <w:r>
        <w:rPr>
          <w:rFonts w:hint="eastAsia"/>
          <w:position w:val="-14"/>
        </w:rPr>
        <w:object>
          <v:shape id="_x0000_i1030" o:spt="75" type="#_x0000_t75" style="height:19.7pt;width:19.7pt;" o:ole="t" filled="f" o:preferrelative="t" stroked="f" coordsize="21600,21600">
            <v:path/>
            <v:fill on="f" focussize="0,0"/>
            <v:stroke on="f" joinstyle="miter"/>
            <v:imagedata r:id="rId46" o:title=""/>
            <o:lock v:ext="edit" aspectratio="f"/>
            <w10:wrap type="none"/>
            <w10:anchorlock/>
          </v:shape>
          <o:OLEObject Type="Embed" ProgID="Equation.DSMT4" ShapeID="_x0000_i1030" DrawAspect="Content" ObjectID="_1468075730" r:id="rId45">
            <o:LockedField>false</o:LockedField>
          </o:OLEObject>
        </w:object>
      </w:r>
      <w:r>
        <w:rPr>
          <w:rFonts w:hint="eastAsia"/>
        </w:rPr>
        <w:t>；地下水位以上的砂质粉土、砂土、碎石土，土的抗剪强度指标应采用有效应力强度指标</w:t>
      </w:r>
      <w:r>
        <w:rPr>
          <w:position w:val="-6"/>
        </w:rPr>
        <w:object>
          <v:shape id="_x0000_i1031" o:spt="75" type="#_x0000_t75" style="height:17.15pt;width:14.15pt;" o:ole="t" filled="f" o:preferrelative="t" stroked="f" coordsize="21600,21600">
            <v:path/>
            <v:fill on="f" focussize="0,0"/>
            <v:stroke on="f" joinstyle="miter"/>
            <v:imagedata r:id="rId48" o:title=""/>
            <o:lock v:ext="edit" aspectratio="f"/>
            <w10:wrap type="none"/>
            <w10:anchorlock/>
          </v:shape>
          <o:OLEObject Type="Embed" ProgID="Equation.DSMT4" ShapeID="_x0000_i1031" DrawAspect="Content" ObjectID="_1468075731" r:id="rId47">
            <o:LockedField>false</o:LockedField>
          </o:OLEObject>
        </w:object>
      </w:r>
      <w:r>
        <w:rPr>
          <w:rFonts w:hint="eastAsia"/>
        </w:rPr>
        <w:t>、</w:t>
      </w:r>
      <w:r>
        <w:rPr>
          <w:rFonts w:hint="eastAsia"/>
          <w:position w:val="-10"/>
        </w:rPr>
        <w:object>
          <v:shape id="_x0000_i1032" o:spt="75" type="#_x0000_t75" style="height:15.45pt;width:14.15pt;" o:ole="t" filled="f" o:preferrelative="t" stroked="f" coordsize="21600,21600">
            <v:path/>
            <v:fill on="f" focussize="0,0"/>
            <v:stroke on="f" joinstyle="miter"/>
            <v:imagedata r:id="rId50" o:title=""/>
            <o:lock v:ext="edit" aspectratio="f"/>
            <w10:wrap type="none"/>
            <w10:anchorlock/>
          </v:shape>
          <o:OLEObject Type="Embed" ProgID="Equation.DSMT4" ShapeID="_x0000_i1032" DrawAspect="Content" ObjectID="_1468075732" r:id="rId49">
            <o:LockedField>false</o:LockedField>
          </o:OLEObject>
        </w:object>
      </w:r>
      <w:r>
        <w:rPr>
          <w:rFonts w:hint="eastAsia"/>
        </w:rPr>
        <w:t>；</w:t>
      </w:r>
    </w:p>
    <w:p w14:paraId="75C96571">
      <w:pPr>
        <w:ind w:firstLine="420" w:firstLineChars="200"/>
      </w:pPr>
      <w:r>
        <w:rPr>
          <w:rFonts w:hint="eastAsia"/>
        </w:rPr>
        <w:t>2 地下水位以下的正常固结和超固结的黏性土、黏质粉土，可采用水土合算方法，土的抗剪强度指标应采用三轴固结不排水剪切试验确定的抗剪强度指标</w:t>
      </w:r>
      <w:r>
        <w:rPr>
          <w:rFonts w:hint="eastAsia"/>
          <w:position w:val="-12"/>
        </w:rPr>
        <w:object>
          <v:shape id="_x0000_i1033" o:spt="75" type="#_x0000_t75" style="height:22.7pt;width:19.7pt;" o:ole="t" filled="f" o:preferrelative="t" stroked="f" coordsize="21600,21600">
            <v:path/>
            <v:fill on="f" focussize="0,0"/>
            <v:stroke on="f" joinstyle="miter"/>
            <v:imagedata r:id="rId40" o:title=""/>
            <o:lock v:ext="edit" aspectratio="f"/>
            <w10:wrap type="none"/>
            <w10:anchorlock/>
          </v:shape>
          <o:OLEObject Type="Embed" ProgID="Equation.DSMT4" ShapeID="_x0000_i1033" DrawAspect="Content" ObjectID="_1468075733" r:id="rId51">
            <o:LockedField>false</o:LockedField>
          </o:OLEObject>
        </w:object>
      </w:r>
      <w:r>
        <w:rPr>
          <w:rFonts w:hint="eastAsia"/>
        </w:rPr>
        <w:t>、</w:t>
      </w:r>
      <w:r>
        <w:rPr>
          <w:rFonts w:hint="eastAsia"/>
          <w:position w:val="-12"/>
        </w:rPr>
        <w:object>
          <v:shape id="_x0000_i1034" o:spt="75" type="#_x0000_t75" style="height:19.7pt;width:19.7pt;" o:ole="t" filled="f" o:preferrelative="t" stroked="f" coordsize="21600,21600">
            <v:path/>
            <v:fill on="f" focussize="0,0"/>
            <v:stroke on="f" joinstyle="miter"/>
            <v:imagedata r:id="rId42" o:title=""/>
            <o:lock v:ext="edit" aspectratio="f"/>
            <w10:wrap type="none"/>
            <w10:anchorlock/>
          </v:shape>
          <o:OLEObject Type="Embed" ProgID="Equation.DSMT4" ShapeID="_x0000_i1034" DrawAspect="Content" ObjectID="_1468075734" r:id="rId52">
            <o:LockedField>false</o:LockedField>
          </o:OLEObject>
        </w:object>
      </w:r>
      <w:r>
        <w:rPr>
          <w:rFonts w:hint="eastAsia"/>
        </w:rPr>
        <w:t>或采用直剪固结快剪方法确定的抗剪强度指标</w:t>
      </w:r>
      <w:r>
        <w:rPr>
          <w:rFonts w:hint="eastAsia"/>
          <w:position w:val="-14"/>
        </w:rPr>
        <w:object>
          <v:shape id="_x0000_i1035" o:spt="75" type="#_x0000_t75" style="height:22.7pt;width:19.7pt;" o:ole="t" filled="f" o:preferrelative="t" stroked="f" coordsize="21600,21600">
            <v:path/>
            <v:fill on="f" focussize="0,0"/>
            <v:stroke on="f" joinstyle="miter"/>
            <v:imagedata r:id="rId44" o:title=""/>
            <o:lock v:ext="edit" aspectratio="f"/>
            <w10:wrap type="none"/>
            <w10:anchorlock/>
          </v:shape>
          <o:OLEObject Type="Embed" ProgID="Equation.DSMT4" ShapeID="_x0000_i1035" DrawAspect="Content" ObjectID="_1468075735" r:id="rId53">
            <o:LockedField>false</o:LockedField>
          </o:OLEObject>
        </w:object>
      </w:r>
      <w:r>
        <w:rPr>
          <w:rFonts w:hint="eastAsia"/>
        </w:rPr>
        <w:t>、</w:t>
      </w:r>
      <w:r>
        <w:rPr>
          <w:rFonts w:hint="eastAsia"/>
          <w:position w:val="-14"/>
        </w:rPr>
        <w:object>
          <v:shape id="_x0000_i1036" o:spt="75" type="#_x0000_t75" style="height:19.7pt;width:19.7pt;" o:ole="t" filled="f" o:preferrelative="t" stroked="f" coordsize="21600,21600">
            <v:path/>
            <v:fill on="f" focussize="0,0"/>
            <v:stroke on="f" joinstyle="miter"/>
            <v:imagedata r:id="rId46" o:title=""/>
            <o:lock v:ext="edit" aspectratio="f"/>
            <w10:wrap type="none"/>
            <w10:anchorlock/>
          </v:shape>
          <o:OLEObject Type="Embed" ProgID="Equation.DSMT4" ShapeID="_x0000_i1036" DrawAspect="Content" ObjectID="_1468075736" r:id="rId54">
            <o:LockedField>false</o:LockedField>
          </o:OLEObject>
        </w:object>
      </w:r>
      <w:r>
        <w:rPr>
          <w:rFonts w:hint="eastAsia"/>
        </w:rPr>
        <w:t>；地下水位以下的欠固结的黏性土、黏质粉土，可采用水土合算方法，宜采用有效自重压力下预固结的三轴不固结不排水试验确定的抗剪强度指标</w:t>
      </w:r>
      <w:r>
        <w:rPr>
          <w:rFonts w:hint="eastAsia"/>
          <w:position w:val="-12"/>
        </w:rPr>
        <w:object>
          <v:shape id="_x0000_i1037" o:spt="75" type="#_x0000_t75" style="height:22.7pt;width:19.7pt;" o:ole="t" filled="f" o:preferrelative="t" stroked="f" coordsize="21600,21600">
            <v:path/>
            <v:fill on="f" focussize="0,0"/>
            <v:stroke on="f" joinstyle="miter"/>
            <v:imagedata r:id="rId56" o:title=""/>
            <o:lock v:ext="edit" aspectratio="f"/>
            <w10:wrap type="none"/>
            <w10:anchorlock/>
          </v:shape>
          <o:OLEObject Type="Embed" ProgID="Equation.DSMT4" ShapeID="_x0000_i1037" DrawAspect="Content" ObjectID="_1468075737" r:id="rId55">
            <o:LockedField>false</o:LockedField>
          </o:OLEObject>
        </w:object>
      </w:r>
      <w:r>
        <w:rPr>
          <w:rFonts w:hint="eastAsia"/>
        </w:rPr>
        <w:t>、</w:t>
      </w:r>
      <w:r>
        <w:rPr>
          <w:rFonts w:hint="eastAsia"/>
          <w:position w:val="-12"/>
        </w:rPr>
        <w:object>
          <v:shape id="_x0000_i1038" o:spt="75" type="#_x0000_t75" style="height:19.7pt;width:19.7pt;" o:ole="t" filled="f" o:preferrelative="t" stroked="f" coordsize="21600,21600">
            <v:path/>
            <v:fill on="f" focussize="0,0"/>
            <v:stroke on="f" joinstyle="miter"/>
            <v:imagedata r:id="rId58" o:title=""/>
            <o:lock v:ext="edit" aspectratio="f"/>
            <w10:wrap type="none"/>
            <w10:anchorlock/>
          </v:shape>
          <o:OLEObject Type="Embed" ProgID="Equation.DSMT4" ShapeID="_x0000_i1038" DrawAspect="Content" ObjectID="_1468075738" r:id="rId57">
            <o:LockedField>false</o:LockedField>
          </o:OLEObject>
        </w:object>
      </w:r>
      <w:r>
        <w:rPr>
          <w:rFonts w:hint="eastAsia"/>
        </w:rPr>
        <w:t>；</w:t>
      </w:r>
    </w:p>
    <w:p w14:paraId="4A4584FB">
      <w:pPr>
        <w:ind w:firstLine="420" w:firstLineChars="200"/>
      </w:pPr>
      <w:r>
        <w:rPr>
          <w:rFonts w:hint="eastAsia"/>
        </w:rPr>
        <w:t>3 地下水位以下的砂质粉土、砂土和碎石土，应采用水土分算方法，土的抗剪强度指标应采用有效应力抗剪强度指标</w:t>
      </w:r>
      <w:r>
        <w:rPr>
          <w:position w:val="-6"/>
        </w:rPr>
        <w:object>
          <v:shape id="_x0000_i1039" o:spt="75" type="#_x0000_t75" style="height:17.15pt;width:14.15pt;" o:ole="t" filled="f" o:preferrelative="t" stroked="f" coordsize="21600,21600">
            <v:path/>
            <v:fill on="f" focussize="0,0"/>
            <v:stroke on="f" joinstyle="miter"/>
            <v:imagedata r:id="rId48" o:title=""/>
            <o:lock v:ext="edit" aspectratio="f"/>
            <w10:wrap type="none"/>
            <w10:anchorlock/>
          </v:shape>
          <o:OLEObject Type="Embed" ProgID="Equation.DSMT4" ShapeID="_x0000_i1039" DrawAspect="Content" ObjectID="_1468075739" r:id="rId59">
            <o:LockedField>false</o:LockedField>
          </o:OLEObject>
        </w:object>
      </w:r>
      <w:r>
        <w:rPr>
          <w:rFonts w:hint="eastAsia"/>
        </w:rPr>
        <w:t>、</w:t>
      </w:r>
      <w:r>
        <w:rPr>
          <w:rFonts w:hint="eastAsia"/>
          <w:position w:val="-10"/>
        </w:rPr>
        <w:object>
          <v:shape id="_x0000_i1040" o:spt="75" type="#_x0000_t75" style="height:15.45pt;width:17.15pt;" o:ole="t" filled="f" o:preferrelative="t" stroked="f" coordsize="21600,21600">
            <v:path/>
            <v:fill on="f" focussize="0,0"/>
            <v:stroke on="f" joinstyle="miter"/>
            <v:imagedata r:id="rId50" o:title=""/>
            <o:lock v:ext="edit" aspectratio="f"/>
            <w10:wrap type="none"/>
            <w10:anchorlock/>
          </v:shape>
          <o:OLEObject Type="Embed" ProgID="Equation.DSMT4" ShapeID="_x0000_i1040" DrawAspect="Content" ObjectID="_1468075740" r:id="rId60">
            <o:LockedField>false</o:LockedField>
          </o:OLEObject>
        </w:object>
      </w:r>
      <w:r>
        <w:rPr>
          <w:rFonts w:hint="eastAsia"/>
        </w:rPr>
        <w:t>；对砂质粉土，当缺少有效应力强度指标时，也可采用三轴固结不排水抗剪强度指标</w:t>
      </w:r>
      <w:r>
        <w:rPr>
          <w:rFonts w:hint="eastAsia"/>
          <w:position w:val="-12"/>
        </w:rPr>
        <w:object>
          <v:shape id="_x0000_i1041" o:spt="75" type="#_x0000_t75" style="height:22.7pt;width:19.7pt;" o:ole="t" filled="f" o:preferrelative="t" stroked="f" coordsize="21600,21600">
            <v:path/>
            <v:fill on="f" focussize="0,0"/>
            <v:stroke on="f" joinstyle="miter"/>
            <v:imagedata r:id="rId40" o:title=""/>
            <o:lock v:ext="edit" aspectratio="f"/>
            <w10:wrap type="none"/>
            <w10:anchorlock/>
          </v:shape>
          <o:OLEObject Type="Embed" ProgID="Equation.DSMT4" ShapeID="_x0000_i1041" DrawAspect="Content" ObjectID="_1468075741" r:id="rId61">
            <o:LockedField>false</o:LockedField>
          </o:OLEObject>
        </w:object>
      </w:r>
      <w:r>
        <w:rPr>
          <w:rFonts w:hint="eastAsia"/>
        </w:rPr>
        <w:t>、</w:t>
      </w:r>
      <w:r>
        <w:rPr>
          <w:rFonts w:hint="eastAsia"/>
          <w:position w:val="-12"/>
        </w:rPr>
        <w:object>
          <v:shape id="_x0000_i1042" o:spt="75" type="#_x0000_t75" style="height:19.7pt;width:19.7pt;" o:ole="t" filled="f" o:preferrelative="t" stroked="f" coordsize="21600,21600">
            <v:path/>
            <v:fill on="f" focussize="0,0"/>
            <v:stroke on="f" joinstyle="miter"/>
            <v:imagedata r:id="rId42" o:title=""/>
            <o:lock v:ext="edit" aspectratio="f"/>
            <w10:wrap type="none"/>
            <w10:anchorlock/>
          </v:shape>
          <o:OLEObject Type="Embed" ProgID="Equation.DSMT4" ShapeID="_x0000_i1042" DrawAspect="Content" ObjectID="_1468075742" r:id="rId62">
            <o:LockedField>false</o:LockedField>
          </o:OLEObject>
        </w:object>
      </w:r>
      <w:r>
        <w:rPr>
          <w:rFonts w:hint="eastAsia"/>
        </w:rPr>
        <w:t>或直剪固结快剪强度指标</w:t>
      </w:r>
      <w:r>
        <w:rPr>
          <w:rFonts w:hint="eastAsia"/>
          <w:position w:val="-14"/>
        </w:rPr>
        <w:object>
          <v:shape id="_x0000_i1043" o:spt="75" type="#_x0000_t75" style="height:22.7pt;width:19.7pt;" o:ole="t" filled="f" o:preferrelative="t" stroked="f" coordsize="21600,21600">
            <v:path/>
            <v:fill on="f" focussize="0,0"/>
            <v:stroke on="f" joinstyle="miter"/>
            <v:imagedata r:id="rId44" o:title=""/>
            <o:lock v:ext="edit" aspectratio="f"/>
            <w10:wrap type="none"/>
            <w10:anchorlock/>
          </v:shape>
          <o:OLEObject Type="Embed" ProgID="Equation.DSMT4" ShapeID="_x0000_i1043" DrawAspect="Content" ObjectID="_1468075743" r:id="rId63">
            <o:LockedField>false</o:LockedField>
          </o:OLEObject>
        </w:object>
      </w:r>
      <w:r>
        <w:rPr>
          <w:rFonts w:hint="eastAsia"/>
        </w:rPr>
        <w:t>、</w:t>
      </w:r>
      <w:r>
        <w:rPr>
          <w:rFonts w:hint="eastAsia"/>
          <w:position w:val="-14"/>
        </w:rPr>
        <w:object>
          <v:shape id="_x0000_i1044" o:spt="75" type="#_x0000_t75" style="height:19.7pt;width:19.7pt;" o:ole="t" filled="f" o:preferrelative="t" stroked="f" coordsize="21600,21600">
            <v:path/>
            <v:fill on="f" focussize="0,0"/>
            <v:stroke on="f" joinstyle="miter"/>
            <v:imagedata r:id="rId46" o:title=""/>
            <o:lock v:ext="edit" aspectratio="f"/>
            <w10:wrap type="none"/>
            <w10:anchorlock/>
          </v:shape>
          <o:OLEObject Type="Embed" ProgID="Equation.DSMT4" ShapeID="_x0000_i1044" DrawAspect="Content" ObjectID="_1468075744" r:id="rId64">
            <o:LockedField>false</o:LockedField>
          </o:OLEObject>
        </w:object>
      </w:r>
      <w:r>
        <w:rPr>
          <w:rFonts w:hint="eastAsia"/>
        </w:rPr>
        <w:t>代替；</w:t>
      </w:r>
    </w:p>
    <w:p w14:paraId="680B5E6F">
      <w:pPr>
        <w:ind w:firstLine="420" w:firstLineChars="200"/>
      </w:pPr>
      <w:r>
        <w:rPr>
          <w:rFonts w:hint="eastAsia"/>
        </w:rPr>
        <w:t>4 有工程经验时，土的抗剪强度指标可根据室内或原位测试得到的其他物理力学指标，按经验方法确定。</w:t>
      </w:r>
    </w:p>
    <w:p w14:paraId="1732AC95">
      <w:r>
        <w:rPr>
          <w:rFonts w:hint="eastAsia"/>
        </w:rPr>
        <w:t>5</w:t>
      </w:r>
      <w:r>
        <w:t>.2.</w:t>
      </w:r>
      <w:r>
        <w:rPr>
          <w:rFonts w:hint="eastAsia"/>
        </w:rPr>
        <w:t xml:space="preserve">5 </w:t>
      </w:r>
      <w:r>
        <w:t xml:space="preserve"> 钢板桩支护结构的抗倾稳定性验算、整体稳定性验算</w:t>
      </w:r>
      <w:r>
        <w:rPr>
          <w:rFonts w:hint="eastAsia"/>
        </w:rPr>
        <w:t>、</w:t>
      </w:r>
      <w:r>
        <w:t>抗突涌稳定性验算及抗渗流稳定性验算</w:t>
      </w:r>
      <w:r>
        <w:rPr>
          <w:rFonts w:hint="eastAsia"/>
        </w:rPr>
        <w:t>等</w:t>
      </w:r>
      <w:r>
        <w:t>，应符合</w:t>
      </w:r>
      <w:r>
        <w:rPr>
          <w:rFonts w:hint="eastAsia"/>
        </w:rPr>
        <w:t>广西壮族自治区</w:t>
      </w:r>
      <w:r>
        <w:t>现行</w:t>
      </w:r>
      <w:r>
        <w:rPr>
          <w:rFonts w:hint="eastAsia"/>
        </w:rPr>
        <w:t>地方</w:t>
      </w:r>
      <w:r>
        <w:t>标准</w:t>
      </w:r>
      <w:r>
        <w:rPr>
          <w:rFonts w:hint="eastAsia"/>
        </w:rPr>
        <w:t>《建筑基坑支护技术标准》D</w:t>
      </w:r>
      <w:r>
        <w:t>BJ/T45-065</w:t>
      </w:r>
      <w:r>
        <w:rPr>
          <w:rFonts w:hint="eastAsia"/>
        </w:rPr>
        <w:t>、《装配式基坑支护结构技术规程》DBJ/T45-043等</w:t>
      </w:r>
      <w:r>
        <w:t>相关规定。</w:t>
      </w:r>
    </w:p>
    <w:p w14:paraId="0E1384F5"/>
    <w:p w14:paraId="1DE060A8"/>
    <w:p w14:paraId="43E8C29B">
      <w:r>
        <w:rPr>
          <w:rFonts w:hint="eastAsia"/>
        </w:rPr>
        <w:t>5</w:t>
      </w:r>
      <w:r>
        <w:t>.2.</w:t>
      </w:r>
      <w:r>
        <w:rPr>
          <w:rFonts w:hint="eastAsia"/>
        </w:rPr>
        <w:t xml:space="preserve">6  </w:t>
      </w:r>
      <w:r>
        <w:t>钢板桩的嵌固深度应符合下列规定</w:t>
      </w:r>
      <w:r>
        <w:rPr>
          <w:rFonts w:hint="eastAsia"/>
        </w:rPr>
        <w:t>：</w:t>
      </w:r>
    </w:p>
    <w:p w14:paraId="537E8947">
      <w:pPr>
        <w:ind w:firstLine="420" w:firstLineChars="200"/>
      </w:pPr>
      <w:r>
        <w:rPr>
          <w:rFonts w:hint="eastAsia"/>
        </w:rPr>
        <w:t xml:space="preserve">1 </w:t>
      </w:r>
      <w:r>
        <w:t>满足稳定性验算的要求</w:t>
      </w:r>
      <w:r>
        <w:rPr>
          <w:rFonts w:hint="eastAsia"/>
        </w:rPr>
        <w:t>；</w:t>
      </w:r>
    </w:p>
    <w:p w14:paraId="386541E2">
      <w:pPr>
        <w:ind w:firstLine="420" w:firstLineChars="200"/>
      </w:pPr>
      <w:r>
        <w:rPr>
          <w:rFonts w:hint="eastAsia"/>
        </w:rPr>
        <w:t xml:space="preserve">2 </w:t>
      </w:r>
      <w:r>
        <w:t>当桩身轴力较大时，还应满足单桩竖向承载力要求</w:t>
      </w:r>
      <w:r>
        <w:rPr>
          <w:rFonts w:hint="eastAsia"/>
        </w:rPr>
        <w:t>；</w:t>
      </w:r>
    </w:p>
    <w:p w14:paraId="1F9D53D2">
      <w:pPr>
        <w:ind w:firstLine="420" w:firstLineChars="200"/>
      </w:pPr>
      <w:r>
        <w:rPr>
          <w:rFonts w:hint="eastAsia"/>
        </w:rPr>
        <w:t xml:space="preserve">3 </w:t>
      </w:r>
      <w:r>
        <w:t>兼作截水帷幕使用时，桩端宜进</w:t>
      </w:r>
      <w:r>
        <w:rPr>
          <w:rFonts w:hint="eastAsia"/>
        </w:rPr>
        <w:t>入</w:t>
      </w:r>
      <w:r>
        <w:t>基底以下的不透水层</w:t>
      </w:r>
      <w:r>
        <w:rPr>
          <w:rFonts w:hint="eastAsia"/>
        </w:rPr>
        <w:t>。</w:t>
      </w:r>
    </w:p>
    <w:p w14:paraId="71A55529">
      <w:r>
        <w:rPr>
          <w:rFonts w:hint="eastAsia"/>
        </w:rPr>
        <w:t>5.</w:t>
      </w:r>
      <w:r>
        <w:t>2</w:t>
      </w:r>
      <w:r>
        <w:rPr>
          <w:rFonts w:hint="eastAsia"/>
        </w:rPr>
        <w:t>.7</w:t>
      </w:r>
      <w:r>
        <w:t xml:space="preserve"> </w:t>
      </w:r>
      <w:r>
        <w:rPr>
          <w:rFonts w:hint="eastAsia"/>
        </w:rPr>
        <w:t xml:space="preserve"> </w:t>
      </w:r>
      <w:r>
        <w:t>钢板桩</w:t>
      </w:r>
      <w:r>
        <w:rPr>
          <w:rFonts w:hint="eastAsia"/>
        </w:rPr>
        <w:t>支护结构的嵌固深度除应满足5.2.6条的规定外，对悬臂式结构，不宜小于0.8</w:t>
      </w:r>
      <w:r>
        <w:t>H</w:t>
      </w:r>
      <w:r>
        <w:rPr>
          <w:rFonts w:hint="eastAsia"/>
        </w:rPr>
        <w:t>；对单支点支挡式结构，尚不宜小于0.3</w:t>
      </w:r>
      <w:r>
        <w:t>H</w:t>
      </w:r>
      <w:r>
        <w:rPr>
          <w:rFonts w:hint="eastAsia"/>
        </w:rPr>
        <w:t>；</w:t>
      </w:r>
      <w:r>
        <w:t>对多支点支挡式结构</w:t>
      </w:r>
      <w:r>
        <w:rPr>
          <w:rFonts w:hint="eastAsia"/>
        </w:rPr>
        <w:t>，</w:t>
      </w:r>
      <w:r>
        <w:t>尚不宜小于</w:t>
      </w:r>
      <w:r>
        <w:rPr>
          <w:rFonts w:hint="eastAsia"/>
        </w:rPr>
        <w:t>0.2</w:t>
      </w:r>
      <w:r>
        <w:t>H</w:t>
      </w:r>
      <w:r>
        <w:rPr>
          <w:rFonts w:hint="eastAsia"/>
        </w:rPr>
        <w:t>（</w:t>
      </w:r>
      <w:r>
        <w:t>H</w:t>
      </w:r>
      <w:r>
        <w:rPr>
          <w:rFonts w:hint="eastAsia"/>
        </w:rPr>
        <w:t>为支护高度）。</w:t>
      </w:r>
    </w:p>
    <w:p w14:paraId="6EC0F6BC">
      <w:r>
        <w:rPr>
          <w:rFonts w:hint="eastAsia"/>
        </w:rPr>
        <w:t>5.2.8  钢板桩的设计桩顶标高不宜超过地面标高1m。</w:t>
      </w:r>
    </w:p>
    <w:p w14:paraId="7BC6796A">
      <w:r>
        <w:rPr>
          <w:rFonts w:hint="eastAsia"/>
        </w:rPr>
        <w:t>5</w:t>
      </w:r>
      <w:r>
        <w:t>.2.</w:t>
      </w:r>
      <w:r>
        <w:rPr>
          <w:rFonts w:hint="eastAsia"/>
        </w:rPr>
        <w:t xml:space="preserve">9 </w:t>
      </w:r>
      <w:r>
        <w:t xml:space="preserve"> 钢板桩支护结构顶部采用放坡或土钉墙支护时，应单独复核放坡或土钉墙支护的稳定性。</w:t>
      </w:r>
    </w:p>
    <w:p w14:paraId="082CBFBD">
      <w:r>
        <w:rPr>
          <w:rFonts w:hint="eastAsia"/>
        </w:rPr>
        <w:t>5.</w:t>
      </w:r>
      <w:r>
        <w:t>2</w:t>
      </w:r>
      <w:r>
        <w:rPr>
          <w:rFonts w:hint="eastAsia"/>
        </w:rPr>
        <w:t>.10  钢板桩支护结构可根据具体类型及受力、变形特性等采用下列分析方法：</w:t>
      </w:r>
    </w:p>
    <w:p w14:paraId="37C45C40">
      <w:r>
        <w:rPr>
          <w:rFonts w:hint="eastAsia"/>
        </w:rPr>
        <w:t xml:space="preserve"> </w:t>
      </w:r>
      <w:r>
        <w:t xml:space="preserve">   </w:t>
      </w:r>
      <w:r>
        <w:rPr>
          <w:rFonts w:hint="eastAsia"/>
        </w:rPr>
        <w:t>1 悬臂式钢板桩支护结构，宜采用平面杆系结构弹性支点法进行结构分析；</w:t>
      </w:r>
    </w:p>
    <w:p w14:paraId="0313CBA3">
      <w:pPr>
        <w:ind w:firstLine="420" w:firstLineChars="200"/>
      </w:pPr>
      <w:r>
        <w:rPr>
          <w:rFonts w:hint="eastAsia"/>
        </w:rPr>
        <w:t>2 桩锚式钢板桩支护结构，可将整个结构分解为钢板、锚杆(索)结构分别进行分析；钢板宜采用平面杆系结构弹性支点法进行分析；作用在锚杆(索)结构上的荷载应取钢板桩分析时得出的支点力；</w:t>
      </w:r>
    </w:p>
    <w:p w14:paraId="2977CB29">
      <w:pPr>
        <w:ind w:firstLine="420" w:firstLineChars="200"/>
      </w:pPr>
      <w:r>
        <w:rPr>
          <w:rFonts w:hint="eastAsia"/>
        </w:rPr>
        <w:t>3 内支撑式钢板桩支护结构，可将整个结构分解为钢板桩、内支撑结构分别进行分析；钢板桩宜采用平面杆系结构弹性支点法进行分析；内支撑结构可按平面结构进行分析，钢板桩传至内支撑的荷载应取钢板桩分析时得出的支点力；对钢板桩和内支撑结构分别进行分析时，应考虑其相互之间的变形协调；</w:t>
      </w:r>
    </w:p>
    <w:p w14:paraId="73B9BE68">
      <w:pPr>
        <w:ind w:firstLine="420" w:firstLineChars="200"/>
      </w:pPr>
      <w:r>
        <w:rPr>
          <w:rFonts w:hint="eastAsia"/>
        </w:rPr>
        <w:t>4 当有可靠经验时，圆形支护工程可采用空间结构分析方法对钢板桩支护结构进行整体分析或采用数值分析方法对钢板桩支护结构与土体进行整体分析；</w:t>
      </w:r>
    </w:p>
    <w:p w14:paraId="37CA9CCF">
      <w:pPr>
        <w:ind w:firstLine="420" w:firstLineChars="200"/>
      </w:pPr>
      <w:r>
        <w:rPr>
          <w:rFonts w:hint="eastAsia"/>
        </w:rPr>
        <w:t>5 当支护工程平面或空间不规则时，在按本条1~3款原则计算的基础上，宜采用空间结构分析方法对支护结构进行整体分析。有可靠经验时，对于简单规则对撑也可按轴对称结构采用平面杆系弹性支点法进行结构分析。</w:t>
      </w:r>
    </w:p>
    <w:p w14:paraId="72EE82F1">
      <w:r>
        <w:rPr>
          <w:rFonts w:hint="eastAsia"/>
        </w:rPr>
        <w:t>5.</w:t>
      </w:r>
      <w:r>
        <w:t>2</w:t>
      </w:r>
      <w:r>
        <w:rPr>
          <w:rFonts w:hint="eastAsia"/>
        </w:rPr>
        <w:t>.11</w:t>
      </w:r>
      <w:r>
        <w:t xml:space="preserve"> </w:t>
      </w:r>
      <w:r>
        <w:rPr>
          <w:rFonts w:hint="eastAsia"/>
        </w:rPr>
        <w:t xml:space="preserve"> </w:t>
      </w:r>
      <w:r>
        <w:t>钢板桩支护结构</w:t>
      </w:r>
      <w:r>
        <w:rPr>
          <w:rFonts w:hint="eastAsia"/>
        </w:rPr>
        <w:t>可</w:t>
      </w:r>
      <w:r>
        <w:t>采用平面杆系结构弹性支点法</w:t>
      </w:r>
      <w:r>
        <w:rPr>
          <w:rFonts w:hint="eastAsia"/>
        </w:rPr>
        <w:t>时，宜采用下图（图5.2.11）所示的结构分析模型。</w:t>
      </w:r>
      <w:r>
        <w:t>锚</w:t>
      </w:r>
      <w:r>
        <w:rPr>
          <w:rFonts w:hint="eastAsia"/>
        </w:rPr>
        <w:t>杆和内支撑对挡土构件的约束作用应按弹性支座考虑，其边界条件宜按行业现行标准《建筑基坑支护技术规程》JGJ</w:t>
      </w:r>
      <w:r>
        <w:t>120的相关规定确定</w:t>
      </w:r>
      <w:r>
        <w:rPr>
          <w:rFonts w:hint="eastAsia"/>
        </w:rPr>
        <w:t>。</w:t>
      </w:r>
    </w:p>
    <w:p w14:paraId="43225E46">
      <w:pPr>
        <w:widowControl/>
        <w:spacing w:line="240" w:lineRule="auto"/>
        <w:ind w:firstLine="720" w:firstLineChars="300"/>
        <w:jc w:val="left"/>
        <w:rPr>
          <w:rFonts w:ascii="宋体" w:hAnsi="宋体" w:cs="宋体"/>
          <w:kern w:val="0"/>
          <w:sz w:val="24"/>
          <w:szCs w:val="24"/>
        </w:rPr>
      </w:pPr>
      <w:r>
        <w:rPr>
          <w:rFonts w:ascii="宋体" w:hAnsi="宋体" w:cs="宋体"/>
          <w:kern w:val="0"/>
          <w:sz w:val="24"/>
          <w:szCs w:val="24"/>
        </w:rPr>
        <w:drawing>
          <wp:inline distT="0" distB="0" distL="114300" distR="114300">
            <wp:extent cx="1960880" cy="2258695"/>
            <wp:effectExtent l="0" t="0" r="5080" b="12065"/>
            <wp:docPr id="2" name="图片 1" descr="C:\Users\Administrator\AppData\Roaming\Tencent\Users\345502513\QQ\WinTemp\RichOle\V62552@WX]9WI3QV4B%KTQ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Roaming\Tencent\Users\345502513\QQ\WinTemp\RichOle\V62552@WX]9WI3QV4B%KTQK.png"/>
                    <pic:cNvPicPr>
                      <a:picLocks noChangeAspect="1"/>
                    </pic:cNvPicPr>
                  </pic:nvPicPr>
                  <pic:blipFill>
                    <a:blip r:embed="rId65"/>
                    <a:stretch>
                      <a:fillRect/>
                    </a:stretch>
                  </pic:blipFill>
                  <pic:spPr>
                    <a:xfrm>
                      <a:off x="0" y="0"/>
                      <a:ext cx="1960880" cy="2258695"/>
                    </a:xfrm>
                    <a:prstGeom prst="rect">
                      <a:avLst/>
                    </a:prstGeom>
                    <a:noFill/>
                    <a:ln>
                      <a:noFill/>
                    </a:ln>
                  </pic:spPr>
                </pic:pic>
              </a:graphicData>
            </a:graphic>
          </wp:inline>
        </w:drawing>
      </w:r>
      <w:r>
        <w:rPr>
          <w:rFonts w:ascii="宋体" w:hAnsi="宋体" w:cs="宋体"/>
          <w:kern w:val="0"/>
          <w:sz w:val="24"/>
          <w:szCs w:val="24"/>
        </w:rPr>
        <w:t xml:space="preserve">      </w:t>
      </w:r>
      <w:r>
        <w:rPr>
          <w:rFonts w:ascii="宋体" w:hAnsi="宋体" w:cs="宋体"/>
          <w:kern w:val="0"/>
          <w:sz w:val="24"/>
          <w:szCs w:val="24"/>
        </w:rPr>
        <w:drawing>
          <wp:inline distT="0" distB="0" distL="114300" distR="114300">
            <wp:extent cx="2049145" cy="2275205"/>
            <wp:effectExtent l="0" t="0" r="8255" b="10795"/>
            <wp:docPr id="3" name="图片 2" descr="C:\Users\Administrator\AppData\Roaming\Tencent\Users\345502513\QQ\WinTemp\RichOle\GM1ETV)9@B(ID[`PF5OT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AppData\Roaming\Tencent\Users\345502513\QQ\WinTemp\RichOle\GM1ETV)9@B(ID[`PF5OTD%K.png"/>
                    <pic:cNvPicPr>
                      <a:picLocks noChangeAspect="1"/>
                    </pic:cNvPicPr>
                  </pic:nvPicPr>
                  <pic:blipFill>
                    <a:blip r:embed="rId66"/>
                    <a:stretch>
                      <a:fillRect/>
                    </a:stretch>
                  </pic:blipFill>
                  <pic:spPr>
                    <a:xfrm>
                      <a:off x="0" y="0"/>
                      <a:ext cx="2049145" cy="2275205"/>
                    </a:xfrm>
                    <a:prstGeom prst="rect">
                      <a:avLst/>
                    </a:prstGeom>
                    <a:noFill/>
                    <a:ln>
                      <a:noFill/>
                    </a:ln>
                  </pic:spPr>
                </pic:pic>
              </a:graphicData>
            </a:graphic>
          </wp:inline>
        </w:drawing>
      </w:r>
    </w:p>
    <w:p w14:paraId="18876DB0">
      <w:pPr>
        <w:widowControl/>
        <w:ind w:firstLine="945" w:firstLineChars="450"/>
        <w:jc w:val="left"/>
        <w:rPr>
          <w:rFonts w:ascii="宋体" w:hAnsi="宋体" w:cs="宋体"/>
          <w:kern w:val="0"/>
        </w:rPr>
      </w:pPr>
      <w:r>
        <w:rPr>
          <w:rFonts w:hint="eastAsia" w:ascii="宋体" w:hAnsi="宋体" w:cs="宋体"/>
          <w:kern w:val="0"/>
        </w:rPr>
        <w:t>（a）悬臂式支挡结构            （b）锚拉式支挡结构或内支撑式支挡结构</w:t>
      </w:r>
    </w:p>
    <w:p w14:paraId="1E87ACA4">
      <w:pPr>
        <w:jc w:val="center"/>
      </w:pPr>
      <w:r>
        <w:t>图5.2.</w:t>
      </w:r>
      <w:r>
        <w:rPr>
          <w:rFonts w:hint="eastAsia"/>
        </w:rPr>
        <w:t>11</w:t>
      </w:r>
      <w:r>
        <w:t xml:space="preserve"> </w:t>
      </w:r>
      <w:r>
        <w:rPr>
          <w:rFonts w:hint="eastAsia"/>
        </w:rPr>
        <w:t xml:space="preserve"> </w:t>
      </w:r>
      <w:r>
        <w:t>弹性支点法计算</w:t>
      </w:r>
    </w:p>
    <w:p w14:paraId="55F6CFCA">
      <w:pPr>
        <w:widowControl/>
        <w:ind w:firstLine="900" w:firstLineChars="500"/>
        <w:jc w:val="left"/>
        <w:rPr>
          <w:kern w:val="0"/>
          <w:sz w:val="18"/>
          <w:szCs w:val="18"/>
        </w:rPr>
      </w:pPr>
      <w:r>
        <w:rPr>
          <w:kern w:val="0"/>
          <w:sz w:val="18"/>
          <w:szCs w:val="18"/>
        </w:rPr>
        <w:t xml:space="preserve">1－钢板桩     2－由锚杆或支撑简化而成的弹性支座   3－计算土反力的弹性支座  </w:t>
      </w:r>
    </w:p>
    <w:p w14:paraId="788E6BC5">
      <w:r>
        <w:t>5.2.</w:t>
      </w:r>
      <w:r>
        <w:rPr>
          <w:rFonts w:hint="eastAsia"/>
        </w:rPr>
        <w:t>12</w:t>
      </w:r>
      <w:r>
        <w:t xml:space="preserve">  </w:t>
      </w:r>
      <w:r>
        <w:rPr>
          <w:rFonts w:hint="eastAsia"/>
        </w:rPr>
        <w:t>弹性杆的弹性系数应由水平地基反力系数乘以杆间距确定。根据地基土的性质和设计经验，水平地基反力系数可按m法或其它方法确定。当采用m法计算时，有关参数可按附录A选用。</w:t>
      </w:r>
    </w:p>
    <w:p w14:paraId="0AC95A48">
      <w:r>
        <w:rPr>
          <w:rFonts w:hint="eastAsia"/>
        </w:rPr>
        <w:t>5.</w:t>
      </w:r>
      <w:r>
        <w:t>2</w:t>
      </w:r>
      <w:r>
        <w:rPr>
          <w:rFonts w:hint="eastAsia"/>
        </w:rPr>
        <w:t>.</w:t>
      </w:r>
      <w:r>
        <w:t>1</w:t>
      </w:r>
      <w:r>
        <w:rPr>
          <w:rFonts w:hint="eastAsia"/>
        </w:rPr>
        <w:t>3</w:t>
      </w:r>
      <w:r>
        <w:t xml:space="preserve">  </w:t>
      </w:r>
      <w:r>
        <w:rPr>
          <w:rFonts w:hint="eastAsia"/>
        </w:rPr>
        <w:t>钢板桩结构应按偏心受压构件设计，轴力较小时可受弯构件设计，分别按施工和使用两种工况计算。</w:t>
      </w:r>
    </w:p>
    <w:p w14:paraId="69993D6B">
      <w:r>
        <w:rPr>
          <w:rFonts w:hint="eastAsia"/>
        </w:rPr>
        <w:t>5</w:t>
      </w:r>
      <w:r>
        <w:t>.2.1</w:t>
      </w:r>
      <w:r>
        <w:rPr>
          <w:rFonts w:hint="eastAsia"/>
        </w:rPr>
        <w:t>4</w:t>
      </w:r>
      <w:r>
        <w:t xml:space="preserve">  </w:t>
      </w:r>
      <w:r>
        <w:rPr>
          <w:rFonts w:hint="eastAsia"/>
        </w:rPr>
        <w:t>钢板桩的单宽强度应满足下式要求：</w:t>
      </w:r>
    </w:p>
    <w:p w14:paraId="36D613BA">
      <w:pPr>
        <w:snapToGrid w:val="0"/>
        <w:spacing w:line="300" w:lineRule="auto"/>
        <w:ind w:firstLine="2730" w:firstLineChars="1300"/>
      </w:pPr>
      <w:r>
        <w:rPr>
          <w:position w:val="-32"/>
        </w:rPr>
        <w:object>
          <v:shape id="_x0000_i1045" o:spt="75" type="#_x0000_t75" style="height:36.85pt;width:113.15pt;" o:ole="t" filled="f" o:preferrelative="t" stroked="f" coordsize="21600,21600">
            <v:path/>
            <v:fill on="f" focussize="0,0"/>
            <v:stroke on="f" joinstyle="miter"/>
            <v:imagedata r:id="rId68" o:title=""/>
            <o:lock v:ext="edit" aspectratio="f"/>
            <w10:wrap type="none"/>
            <w10:anchorlock/>
          </v:shape>
          <o:OLEObject Type="Embed" ProgID="Equation.DSMT4" ShapeID="_x0000_i1045" DrawAspect="Content" ObjectID="_1468075745" r:id="rId67">
            <o:LockedField>false</o:LockedField>
          </o:OLEObject>
        </w:object>
      </w:r>
      <w:r>
        <w:rPr>
          <w:rFonts w:hint="eastAsia"/>
        </w:rPr>
        <w:t xml:space="preserve">           </w:t>
      </w:r>
      <w:r>
        <w:t xml:space="preserve">   </w:t>
      </w:r>
      <w:r>
        <w:rPr>
          <w:rFonts w:hint="eastAsia"/>
        </w:rPr>
        <w:t xml:space="preserve">        </w:t>
      </w:r>
      <w:r>
        <w:t xml:space="preserve"> </w:t>
      </w:r>
      <w:r>
        <w:rPr>
          <w:rFonts w:hint="eastAsia"/>
        </w:rPr>
        <w:t xml:space="preserve"> （5</w:t>
      </w:r>
      <w:r>
        <w:t>.</w:t>
      </w:r>
      <w:r>
        <w:rPr>
          <w:rFonts w:hint="eastAsia"/>
        </w:rPr>
        <w:t>2</w:t>
      </w:r>
      <w:r>
        <w:t>.1</w:t>
      </w:r>
      <w:r>
        <w:rPr>
          <w:rFonts w:hint="eastAsia"/>
        </w:rPr>
        <w:t>4）</w:t>
      </w:r>
    </w:p>
    <w:tbl>
      <w:tblPr>
        <w:tblStyle w:val="17"/>
        <w:tblW w:w="8528" w:type="dxa"/>
        <w:tblInd w:w="0" w:type="dxa"/>
        <w:tblLayout w:type="fixed"/>
        <w:tblCellMar>
          <w:top w:w="0" w:type="dxa"/>
          <w:left w:w="108" w:type="dxa"/>
          <w:bottom w:w="0" w:type="dxa"/>
          <w:right w:w="108" w:type="dxa"/>
        </w:tblCellMar>
      </w:tblPr>
      <w:tblGrid>
        <w:gridCol w:w="1533"/>
        <w:gridCol w:w="6995"/>
      </w:tblGrid>
      <w:tr w14:paraId="31692BDA">
        <w:tblPrEx>
          <w:tblCellMar>
            <w:top w:w="0" w:type="dxa"/>
            <w:left w:w="108" w:type="dxa"/>
            <w:bottom w:w="0" w:type="dxa"/>
            <w:right w:w="108" w:type="dxa"/>
          </w:tblCellMar>
        </w:tblPrEx>
        <w:tc>
          <w:tcPr>
            <w:tcW w:w="1533" w:type="dxa"/>
          </w:tcPr>
          <w:p w14:paraId="4DBFA8F3">
            <w:pPr>
              <w:spacing w:line="360" w:lineRule="auto"/>
              <w:ind w:right="-108"/>
              <w:jc w:val="left"/>
            </w:pPr>
            <w:r>
              <w:rPr>
                <w:rFonts w:hint="eastAsia"/>
              </w:rPr>
              <w:t>式中：</w:t>
            </w:r>
            <w:r>
              <w:rPr>
                <w:i/>
                <w:kern w:val="0"/>
              </w:rPr>
              <w:t>N</w:t>
            </w:r>
            <w:r>
              <w:rPr>
                <w:rFonts w:hint="eastAsia"/>
              </w:rPr>
              <w:t>—</w:t>
            </w:r>
          </w:p>
        </w:tc>
        <w:tc>
          <w:tcPr>
            <w:tcW w:w="6995" w:type="dxa"/>
            <w:vAlign w:val="center"/>
          </w:tcPr>
          <w:p w14:paraId="4CC15F13">
            <w:pPr>
              <w:snapToGrid w:val="0"/>
              <w:spacing w:line="360" w:lineRule="auto"/>
            </w:pPr>
            <w:r>
              <w:rPr>
                <w:kern w:val="0"/>
              </w:rPr>
              <w:t>作用</w:t>
            </w:r>
            <w:r>
              <w:rPr>
                <w:rFonts w:hint="eastAsia"/>
                <w:kern w:val="0"/>
              </w:rPr>
              <w:t>在</w:t>
            </w:r>
            <w:r>
              <w:rPr>
                <w:kern w:val="0"/>
              </w:rPr>
              <w:t>每米</w:t>
            </w:r>
            <w:r>
              <w:rPr>
                <w:rFonts w:hint="eastAsia"/>
                <w:kern w:val="0"/>
              </w:rPr>
              <w:t>钢板桩上</w:t>
            </w:r>
            <w:r>
              <w:rPr>
                <w:kern w:val="0"/>
              </w:rPr>
              <w:t>轴向力</w:t>
            </w:r>
            <w:r>
              <w:rPr>
                <w:rFonts w:hint="eastAsia"/>
                <w:kern w:val="0"/>
              </w:rPr>
              <w:t>标准值（</w:t>
            </w:r>
            <w:r>
              <w:rPr>
                <w:kern w:val="0"/>
              </w:rPr>
              <w:t>kN</w:t>
            </w:r>
            <w:r>
              <w:rPr>
                <w:rFonts w:hint="eastAsia"/>
                <w:kern w:val="0"/>
              </w:rPr>
              <w:t>/m）；</w:t>
            </w:r>
          </w:p>
        </w:tc>
      </w:tr>
      <w:tr w14:paraId="7F785D8B">
        <w:tblPrEx>
          <w:tblCellMar>
            <w:top w:w="0" w:type="dxa"/>
            <w:left w:w="108" w:type="dxa"/>
            <w:bottom w:w="0" w:type="dxa"/>
            <w:right w:w="108" w:type="dxa"/>
          </w:tblCellMar>
        </w:tblPrEx>
        <w:tc>
          <w:tcPr>
            <w:tcW w:w="1533" w:type="dxa"/>
          </w:tcPr>
          <w:p w14:paraId="2AC41CC5">
            <w:pPr>
              <w:spacing w:line="360" w:lineRule="auto"/>
              <w:ind w:right="102"/>
              <w:jc w:val="center"/>
            </w:pPr>
            <w:r>
              <w:rPr>
                <w:rFonts w:hint="eastAsia"/>
                <w:i/>
                <w:kern w:val="0"/>
              </w:rPr>
              <w:t xml:space="preserve">    </w:t>
            </w:r>
            <w:r>
              <w:rPr>
                <w:i/>
                <w:kern w:val="0"/>
              </w:rPr>
              <w:t>M</w:t>
            </w:r>
            <w:r>
              <w:rPr>
                <w:rFonts w:hint="eastAsia"/>
                <w:kern w:val="0"/>
                <w:vertAlign w:val="subscript"/>
              </w:rPr>
              <w:t>max</w:t>
            </w:r>
            <w:r>
              <w:rPr>
                <w:rFonts w:hint="eastAsia"/>
              </w:rPr>
              <w:t>—</w:t>
            </w:r>
          </w:p>
        </w:tc>
        <w:tc>
          <w:tcPr>
            <w:tcW w:w="6995" w:type="dxa"/>
            <w:vAlign w:val="center"/>
          </w:tcPr>
          <w:p w14:paraId="40906B7C">
            <w:pPr>
              <w:snapToGrid w:val="0"/>
              <w:spacing w:line="360" w:lineRule="auto"/>
            </w:pPr>
            <w:r>
              <w:rPr>
                <w:kern w:val="0"/>
              </w:rPr>
              <w:t>作用</w:t>
            </w:r>
            <w:r>
              <w:rPr>
                <w:rFonts w:hint="eastAsia"/>
                <w:kern w:val="0"/>
              </w:rPr>
              <w:t>在</w:t>
            </w:r>
            <w:r>
              <w:rPr>
                <w:kern w:val="0"/>
              </w:rPr>
              <w:t>每米</w:t>
            </w:r>
            <w:r>
              <w:rPr>
                <w:rFonts w:hint="eastAsia"/>
                <w:kern w:val="0"/>
              </w:rPr>
              <w:t>钢</w:t>
            </w:r>
            <w:r>
              <w:rPr>
                <w:kern w:val="0"/>
              </w:rPr>
              <w:t>板桩</w:t>
            </w:r>
            <w:r>
              <w:rPr>
                <w:rFonts w:hint="eastAsia"/>
                <w:kern w:val="0"/>
              </w:rPr>
              <w:t>上</w:t>
            </w:r>
            <w:r>
              <w:rPr>
                <w:kern w:val="0"/>
              </w:rPr>
              <w:t>最大弯矩</w:t>
            </w:r>
            <w:r>
              <w:rPr>
                <w:rFonts w:hint="eastAsia"/>
                <w:kern w:val="0"/>
              </w:rPr>
              <w:t>标准值（</w:t>
            </w:r>
            <w:r>
              <w:rPr>
                <w:rFonts w:hint="eastAsia"/>
              </w:rPr>
              <w:t>kN</w:t>
            </w:r>
            <w:r>
              <w:t>·</w:t>
            </w:r>
            <w:r>
              <w:rPr>
                <w:rFonts w:hint="eastAsia"/>
              </w:rPr>
              <w:t>m/m</w:t>
            </w:r>
            <w:r>
              <w:rPr>
                <w:rFonts w:hint="eastAsia"/>
                <w:kern w:val="0"/>
              </w:rPr>
              <w:t>）；</w:t>
            </w:r>
          </w:p>
        </w:tc>
      </w:tr>
      <w:tr w14:paraId="57C97348">
        <w:tblPrEx>
          <w:tblCellMar>
            <w:top w:w="0" w:type="dxa"/>
            <w:left w:w="108" w:type="dxa"/>
            <w:bottom w:w="0" w:type="dxa"/>
            <w:right w:w="108" w:type="dxa"/>
          </w:tblCellMar>
        </w:tblPrEx>
        <w:tc>
          <w:tcPr>
            <w:tcW w:w="1533" w:type="dxa"/>
          </w:tcPr>
          <w:p w14:paraId="47A9941C">
            <w:pPr>
              <w:spacing w:line="360" w:lineRule="auto"/>
              <w:ind w:right="312"/>
              <w:jc w:val="right"/>
              <w:rPr>
                <w:i/>
              </w:rPr>
            </w:pPr>
            <w:r>
              <w:rPr>
                <w:rFonts w:hint="eastAsia"/>
                <w:i/>
                <w:kern w:val="0"/>
              </w:rPr>
              <w:t xml:space="preserve">     </w:t>
            </w:r>
            <w:r>
              <w:rPr>
                <w:i/>
                <w:kern w:val="0"/>
              </w:rPr>
              <w:t>A</w:t>
            </w:r>
            <w:r>
              <w:rPr>
                <w:rFonts w:hint="eastAsia"/>
              </w:rPr>
              <w:t>—</w:t>
            </w:r>
          </w:p>
        </w:tc>
        <w:tc>
          <w:tcPr>
            <w:tcW w:w="6995" w:type="dxa"/>
            <w:vAlign w:val="center"/>
          </w:tcPr>
          <w:p w14:paraId="4FA3BE54">
            <w:pPr>
              <w:snapToGrid w:val="0"/>
              <w:spacing w:line="360" w:lineRule="auto"/>
            </w:pPr>
            <w:r>
              <w:rPr>
                <w:rFonts w:hint="eastAsia"/>
                <w:kern w:val="0"/>
              </w:rPr>
              <w:t>每延米</w:t>
            </w:r>
            <w:r>
              <w:rPr>
                <w:kern w:val="0"/>
              </w:rPr>
              <w:t>钢板桩的截面面积</w:t>
            </w:r>
            <w:r>
              <w:rPr>
                <w:rFonts w:hint="eastAsia"/>
                <w:kern w:val="0"/>
              </w:rPr>
              <w:t>（</w:t>
            </w:r>
            <w:r>
              <w:rPr>
                <w:kern w:val="0"/>
              </w:rPr>
              <w:t>m</w:t>
            </w:r>
            <w:r>
              <w:rPr>
                <w:rFonts w:hint="eastAsia"/>
                <w:kern w:val="0"/>
                <w:vertAlign w:val="superscript"/>
              </w:rPr>
              <w:t>2</w:t>
            </w:r>
            <w:r>
              <w:rPr>
                <w:kern w:val="0"/>
              </w:rPr>
              <w:t>/m</w:t>
            </w:r>
            <w:r>
              <w:rPr>
                <w:rFonts w:hint="eastAsia"/>
                <w:kern w:val="0"/>
              </w:rPr>
              <w:t>）；</w:t>
            </w:r>
          </w:p>
        </w:tc>
      </w:tr>
      <w:tr w14:paraId="3B5BCB11">
        <w:tblPrEx>
          <w:tblCellMar>
            <w:top w:w="0" w:type="dxa"/>
            <w:left w:w="108" w:type="dxa"/>
            <w:bottom w:w="0" w:type="dxa"/>
            <w:right w:w="108" w:type="dxa"/>
          </w:tblCellMar>
        </w:tblPrEx>
        <w:tc>
          <w:tcPr>
            <w:tcW w:w="1533" w:type="dxa"/>
          </w:tcPr>
          <w:p w14:paraId="66587808">
            <w:pPr>
              <w:spacing w:line="360" w:lineRule="auto"/>
              <w:ind w:right="312"/>
              <w:jc w:val="center"/>
              <w:rPr>
                <w:i/>
                <w:kern w:val="0"/>
              </w:rPr>
            </w:pPr>
            <w:r>
              <w:rPr>
                <w:rFonts w:hint="eastAsia"/>
                <w:i/>
                <w:iCs/>
              </w:rPr>
              <w:t xml:space="preserve">     </w:t>
            </w:r>
            <w:r>
              <w:rPr>
                <w:i/>
                <w:iCs/>
              </w:rPr>
              <w:t>α</w:t>
            </w:r>
            <w:r>
              <w:rPr>
                <w:rFonts w:hint="eastAsia"/>
              </w:rPr>
              <w:t>—</w:t>
            </w:r>
          </w:p>
        </w:tc>
        <w:tc>
          <w:tcPr>
            <w:tcW w:w="6995" w:type="dxa"/>
            <w:vAlign w:val="center"/>
          </w:tcPr>
          <w:p w14:paraId="6B01B3CE">
            <w:r>
              <w:rPr>
                <w:rFonts w:hint="eastAsia"/>
              </w:rPr>
              <w:t>折减系数，如不设置冠梁或整体围檩时，</w:t>
            </w:r>
            <w:r>
              <w:rPr>
                <w:i/>
                <w:iCs/>
              </w:rPr>
              <w:t>α</w:t>
            </w:r>
            <w:r>
              <w:rPr>
                <w:rFonts w:hint="eastAsia"/>
              </w:rPr>
              <w:t>可</w:t>
            </w:r>
            <w:r>
              <w:t>取</w:t>
            </w:r>
            <w:r>
              <w:rPr>
                <w:rFonts w:hint="eastAsia"/>
              </w:rPr>
              <w:t>0.6；当设置冠梁或整体围檩时，</w:t>
            </w:r>
            <w:r>
              <w:rPr>
                <w:i/>
                <w:iCs/>
              </w:rPr>
              <w:t>α</w:t>
            </w:r>
            <w:r>
              <w:rPr>
                <w:rFonts w:hint="eastAsia"/>
              </w:rPr>
              <w:t>可</w:t>
            </w:r>
            <w:r>
              <w:t>取</w:t>
            </w:r>
            <w:r>
              <w:rPr>
                <w:rFonts w:hint="eastAsia"/>
              </w:rPr>
              <w:t>0.9；</w:t>
            </w:r>
          </w:p>
        </w:tc>
      </w:tr>
      <w:tr w14:paraId="27E42AB1">
        <w:tblPrEx>
          <w:tblCellMar>
            <w:top w:w="0" w:type="dxa"/>
            <w:left w:w="108" w:type="dxa"/>
            <w:bottom w:w="0" w:type="dxa"/>
            <w:right w:w="108" w:type="dxa"/>
          </w:tblCellMar>
        </w:tblPrEx>
        <w:tc>
          <w:tcPr>
            <w:tcW w:w="1533" w:type="dxa"/>
          </w:tcPr>
          <w:p w14:paraId="4B8A0DF0">
            <w:pPr>
              <w:spacing w:line="360" w:lineRule="auto"/>
              <w:ind w:right="102"/>
              <w:jc w:val="center"/>
              <w:rPr>
                <w:i/>
              </w:rPr>
            </w:pPr>
            <w:r>
              <w:rPr>
                <w:rFonts w:hint="eastAsia"/>
                <w:i/>
                <w:kern w:val="0"/>
              </w:rPr>
              <w:t xml:space="preserve">   </w:t>
            </w:r>
            <w:r>
              <w:rPr>
                <w:i/>
                <w:kern w:val="0"/>
              </w:rPr>
              <w:t>W</w:t>
            </w:r>
            <w:r>
              <w:rPr>
                <w:rFonts w:hint="eastAsia"/>
                <w:i/>
                <w:kern w:val="0"/>
                <w:vertAlign w:val="subscript"/>
              </w:rPr>
              <w:t>z</w:t>
            </w:r>
            <w:r>
              <w:rPr>
                <w:rFonts w:hint="eastAsia"/>
              </w:rPr>
              <w:t>—</w:t>
            </w:r>
          </w:p>
        </w:tc>
        <w:tc>
          <w:tcPr>
            <w:tcW w:w="6995" w:type="dxa"/>
            <w:vAlign w:val="center"/>
          </w:tcPr>
          <w:p w14:paraId="0A4583F6">
            <w:pPr>
              <w:snapToGrid w:val="0"/>
              <w:spacing w:line="360" w:lineRule="auto"/>
            </w:pPr>
            <w:r>
              <w:rPr>
                <w:rFonts w:hint="eastAsia"/>
                <w:kern w:val="0"/>
              </w:rPr>
              <w:t>每延米</w:t>
            </w:r>
            <w:r>
              <w:rPr>
                <w:kern w:val="0"/>
              </w:rPr>
              <w:t>钢板桩的</w:t>
            </w:r>
            <w:r>
              <w:rPr>
                <w:rFonts w:hint="eastAsia"/>
                <w:kern w:val="0"/>
              </w:rPr>
              <w:t>截面惯性矩（</w:t>
            </w:r>
            <w:r>
              <w:rPr>
                <w:kern w:val="0"/>
              </w:rPr>
              <w:t>m</w:t>
            </w:r>
            <w:r>
              <w:rPr>
                <w:rFonts w:hint="eastAsia"/>
                <w:kern w:val="0"/>
                <w:vertAlign w:val="superscript"/>
              </w:rPr>
              <w:t>3</w:t>
            </w:r>
            <w:r>
              <w:rPr>
                <w:kern w:val="0"/>
              </w:rPr>
              <w:t>/m</w:t>
            </w:r>
            <w:r>
              <w:rPr>
                <w:rFonts w:hint="eastAsia"/>
                <w:kern w:val="0"/>
              </w:rPr>
              <w:t>）；</w:t>
            </w:r>
          </w:p>
        </w:tc>
      </w:tr>
      <w:tr w14:paraId="511EAA99">
        <w:tblPrEx>
          <w:tblCellMar>
            <w:top w:w="0" w:type="dxa"/>
            <w:left w:w="108" w:type="dxa"/>
            <w:bottom w:w="0" w:type="dxa"/>
            <w:right w:w="108" w:type="dxa"/>
          </w:tblCellMar>
        </w:tblPrEx>
        <w:tc>
          <w:tcPr>
            <w:tcW w:w="1533" w:type="dxa"/>
          </w:tcPr>
          <w:p w14:paraId="77469639">
            <w:pPr>
              <w:spacing w:line="360" w:lineRule="auto"/>
              <w:ind w:right="102"/>
              <w:jc w:val="center"/>
              <w:rPr>
                <w:position w:val="-14"/>
              </w:rPr>
            </w:pPr>
            <w:r>
              <w:rPr>
                <w:rFonts w:hint="eastAsia"/>
                <w:position w:val="-12"/>
              </w:rPr>
              <w:t xml:space="preserve">   </w:t>
            </w:r>
            <w:r>
              <w:rPr>
                <w:rFonts w:hint="eastAsia"/>
                <w:position w:val="-12"/>
              </w:rPr>
              <w:object>
                <v:shape id="_x0000_i1046" o:spt="75" type="#_x0000_t75" style="height:18pt;width:12.85pt;" o:ole="t" filled="f" o:preferrelative="t" stroked="f" coordsize="21600,21600">
                  <v:path/>
                  <v:fill on="f" focussize="0,0"/>
                  <v:stroke on="f" joinstyle="miter"/>
                  <v:imagedata r:id="rId35" o:title=""/>
                  <o:lock v:ext="edit" aspectratio="f"/>
                  <w10:wrap type="none"/>
                  <w10:anchorlock/>
                </v:shape>
                <o:OLEObject Type="Embed" ProgID="Equation.DSMT4" ShapeID="_x0000_i1046" DrawAspect="Content" ObjectID="_1468075746" r:id="rId69">
                  <o:LockedField>false</o:LockedField>
                </o:OLEObject>
              </w:object>
            </w:r>
            <w:r>
              <w:rPr>
                <w:kern w:val="0"/>
              </w:rPr>
              <w:t>—</w:t>
            </w:r>
          </w:p>
        </w:tc>
        <w:tc>
          <w:tcPr>
            <w:tcW w:w="6995" w:type="dxa"/>
            <w:vAlign w:val="center"/>
          </w:tcPr>
          <w:p w14:paraId="69FE0550">
            <w:pPr>
              <w:snapToGrid w:val="0"/>
              <w:spacing w:line="360" w:lineRule="auto"/>
              <w:rPr>
                <w:kern w:val="0"/>
              </w:rPr>
            </w:pPr>
            <w:r>
              <w:rPr>
                <w:rFonts w:hint="eastAsia"/>
              </w:rPr>
              <w:t>支护结构重要性系数，按表</w:t>
            </w:r>
            <w:r>
              <w:t>3.0.</w:t>
            </w:r>
            <w:r>
              <w:rPr>
                <w:rFonts w:hint="eastAsia"/>
              </w:rPr>
              <w:t>4确定；</w:t>
            </w:r>
          </w:p>
        </w:tc>
      </w:tr>
      <w:tr w14:paraId="0D13426A">
        <w:tblPrEx>
          <w:tblCellMar>
            <w:top w:w="0" w:type="dxa"/>
            <w:left w:w="108" w:type="dxa"/>
            <w:bottom w:w="0" w:type="dxa"/>
            <w:right w:w="108" w:type="dxa"/>
          </w:tblCellMar>
        </w:tblPrEx>
        <w:tc>
          <w:tcPr>
            <w:tcW w:w="1533" w:type="dxa"/>
          </w:tcPr>
          <w:p w14:paraId="208395F0">
            <w:pPr>
              <w:spacing w:line="360" w:lineRule="auto"/>
              <w:ind w:right="102"/>
              <w:jc w:val="center"/>
              <w:rPr>
                <w:position w:val="-14"/>
              </w:rPr>
            </w:pPr>
            <w:r>
              <w:rPr>
                <w:rFonts w:hint="eastAsia"/>
                <w:position w:val="-14"/>
              </w:rPr>
              <w:t xml:space="preserve">   </w:t>
            </w:r>
            <w:r>
              <w:rPr>
                <w:position w:val="-14"/>
              </w:rPr>
              <w:drawing>
                <wp:inline distT="0" distB="0" distL="114300" distR="114300">
                  <wp:extent cx="254000" cy="241300"/>
                  <wp:effectExtent l="0" t="0" r="5080" b="1905"/>
                  <wp:docPr id="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2"/>
                          <pic:cNvPicPr>
                            <a:picLocks noChangeAspect="1"/>
                          </pic:cNvPicPr>
                        </pic:nvPicPr>
                        <pic:blipFill>
                          <a:blip r:embed="rId36"/>
                          <a:stretch>
                            <a:fillRect/>
                          </a:stretch>
                        </pic:blipFill>
                        <pic:spPr>
                          <a:xfrm>
                            <a:off x="0" y="0"/>
                            <a:ext cx="254000" cy="241300"/>
                          </a:xfrm>
                          <a:prstGeom prst="rect">
                            <a:avLst/>
                          </a:prstGeom>
                          <a:noFill/>
                          <a:ln>
                            <a:noFill/>
                          </a:ln>
                        </pic:spPr>
                      </pic:pic>
                    </a:graphicData>
                  </a:graphic>
                </wp:inline>
              </w:drawing>
            </w:r>
            <w:r>
              <w:rPr>
                <w:kern w:val="0"/>
              </w:rPr>
              <w:t>—</w:t>
            </w:r>
          </w:p>
        </w:tc>
        <w:tc>
          <w:tcPr>
            <w:tcW w:w="6995" w:type="dxa"/>
            <w:vAlign w:val="center"/>
          </w:tcPr>
          <w:p w14:paraId="731BD04E">
            <w:pPr>
              <w:snapToGrid w:val="0"/>
              <w:spacing w:line="360" w:lineRule="auto"/>
            </w:pPr>
            <w:r>
              <w:rPr>
                <w:kern w:val="0"/>
              </w:rPr>
              <w:t>综合分项系数，</w:t>
            </w:r>
            <w:r>
              <w:rPr>
                <w:rFonts w:hint="eastAsia"/>
                <w:kern w:val="0"/>
              </w:rPr>
              <w:t>永久工程</w:t>
            </w:r>
            <w:r>
              <w:rPr>
                <w:kern w:val="0"/>
              </w:rPr>
              <w:t>取1.</w:t>
            </w:r>
            <w:r>
              <w:rPr>
                <w:rFonts w:hint="eastAsia"/>
                <w:kern w:val="0"/>
              </w:rPr>
              <w:t>3</w:t>
            </w:r>
            <w:r>
              <w:rPr>
                <w:kern w:val="0"/>
              </w:rPr>
              <w:t>5</w:t>
            </w:r>
            <w:r>
              <w:rPr>
                <w:rFonts w:hint="eastAsia"/>
                <w:kern w:val="0"/>
              </w:rPr>
              <w:t>，临时工程取1.25；</w:t>
            </w:r>
          </w:p>
        </w:tc>
      </w:tr>
      <w:tr w14:paraId="1E2B235E">
        <w:tblPrEx>
          <w:tblCellMar>
            <w:top w:w="0" w:type="dxa"/>
            <w:left w:w="108" w:type="dxa"/>
            <w:bottom w:w="0" w:type="dxa"/>
            <w:right w:w="108" w:type="dxa"/>
          </w:tblCellMar>
        </w:tblPrEx>
        <w:tc>
          <w:tcPr>
            <w:tcW w:w="1533" w:type="dxa"/>
          </w:tcPr>
          <w:p w14:paraId="36E79C93">
            <w:pPr>
              <w:spacing w:line="360" w:lineRule="auto"/>
              <w:ind w:right="312"/>
              <w:jc w:val="center"/>
              <w:rPr>
                <w:kern w:val="0"/>
                <w:position w:val="-10"/>
              </w:rPr>
            </w:pPr>
            <w:r>
              <w:rPr>
                <w:rFonts w:hint="eastAsia"/>
                <w:i/>
                <w:kern w:val="0"/>
              </w:rPr>
              <w:t xml:space="preserve">     </w:t>
            </w:r>
            <w:r>
              <w:rPr>
                <w:i/>
                <w:kern w:val="0"/>
              </w:rPr>
              <w:t>f</w:t>
            </w:r>
            <w:r>
              <w:rPr>
                <w:rFonts w:hint="eastAsia"/>
                <w:i/>
                <w:kern w:val="0"/>
              </w:rPr>
              <w:t xml:space="preserve"> </w:t>
            </w:r>
            <w:r>
              <w:rPr>
                <w:rFonts w:hint="eastAsia"/>
                <w:kern w:val="0"/>
              </w:rPr>
              <w:t>—</w:t>
            </w:r>
          </w:p>
        </w:tc>
        <w:tc>
          <w:tcPr>
            <w:tcW w:w="6995" w:type="dxa"/>
            <w:vAlign w:val="center"/>
          </w:tcPr>
          <w:p w14:paraId="6E6E727D">
            <w:pPr>
              <w:snapToGrid w:val="0"/>
              <w:spacing w:line="360" w:lineRule="auto"/>
            </w:pPr>
            <w:r>
              <w:rPr>
                <w:kern w:val="0"/>
              </w:rPr>
              <w:t>钢材的强度设计值</w:t>
            </w:r>
            <w:r>
              <w:rPr>
                <w:rFonts w:hint="eastAsia"/>
                <w:kern w:val="0"/>
              </w:rPr>
              <w:t>（</w:t>
            </w:r>
            <w:r>
              <w:rPr>
                <w:kern w:val="0"/>
              </w:rPr>
              <w:t>N/mm</w:t>
            </w:r>
            <w:r>
              <w:rPr>
                <w:rFonts w:hint="eastAsia"/>
                <w:kern w:val="0"/>
                <w:vertAlign w:val="superscript"/>
              </w:rPr>
              <w:t>2</w:t>
            </w:r>
            <w:r>
              <w:rPr>
                <w:rFonts w:hint="eastAsia"/>
                <w:kern w:val="0"/>
              </w:rPr>
              <w:t>）；如采用国产钢板桩，</w:t>
            </w:r>
            <w:r>
              <w:rPr>
                <w:kern w:val="0"/>
              </w:rPr>
              <w:t>按国家现行标准《钢结构设计规范》</w:t>
            </w:r>
            <w:r>
              <w:rPr>
                <w:rFonts w:hint="eastAsia"/>
                <w:kern w:val="0"/>
              </w:rPr>
              <w:t>GB50017</w:t>
            </w:r>
            <w:r>
              <w:rPr>
                <w:kern w:val="0"/>
              </w:rPr>
              <w:t>中规定采用</w:t>
            </w:r>
            <w:r>
              <w:rPr>
                <w:rFonts w:hint="eastAsia"/>
                <w:kern w:val="0"/>
              </w:rPr>
              <w:t xml:space="preserve">。 </w:t>
            </w:r>
          </w:p>
        </w:tc>
      </w:tr>
    </w:tbl>
    <w:p w14:paraId="77F88DA9">
      <w:r>
        <w:t>5</w:t>
      </w:r>
      <w:r>
        <w:rPr>
          <w:rFonts w:hint="eastAsia"/>
        </w:rPr>
        <w:t>.</w:t>
      </w:r>
      <w:r>
        <w:t>2</w:t>
      </w:r>
      <w:r>
        <w:rPr>
          <w:rFonts w:hint="eastAsia"/>
        </w:rPr>
        <w:t>.</w:t>
      </w:r>
      <w:r>
        <w:t>1</w:t>
      </w:r>
      <w:r>
        <w:rPr>
          <w:rFonts w:hint="eastAsia"/>
        </w:rPr>
        <w:t>5</w:t>
      </w:r>
      <w:r>
        <w:t xml:space="preserve">  </w:t>
      </w:r>
      <w:r>
        <w:rPr>
          <w:rFonts w:hint="eastAsia"/>
        </w:rPr>
        <w:t>钢桩桩腹板和翼缘厚度应满足下式要求：</w:t>
      </w:r>
    </w:p>
    <w:p w14:paraId="155F754C">
      <w:r>
        <w:t xml:space="preserve">                             </w:t>
      </w:r>
      <w:r>
        <w:rPr>
          <w:position w:val="-16"/>
        </w:rPr>
        <w:object>
          <v:shape id="_x0000_i1047" o:spt="75" type="#_x0000_t75" style="height:21.45pt;width:121.7pt;" o:ole="t" filled="f" o:preferrelative="t" stroked="f" coordsize="21600,21600">
            <v:path/>
            <v:fill on="f" focussize="0,0"/>
            <v:stroke on="f" joinstyle="miter"/>
            <v:imagedata r:id="rId71" o:title=""/>
            <o:lock v:ext="edit" aspectratio="f"/>
            <w10:wrap type="none"/>
            <w10:anchorlock/>
          </v:shape>
          <o:OLEObject Type="Embed" ProgID="Equation.DSMT4" ShapeID="_x0000_i1047" DrawAspect="Content" ObjectID="_1468075747" r:id="rId70">
            <o:LockedField>false</o:LockedField>
          </o:OLEObject>
        </w:object>
      </w:r>
      <w:r>
        <w:t xml:space="preserve">                    </w:t>
      </w:r>
      <w:r>
        <w:rPr>
          <w:rFonts w:hint="eastAsia"/>
        </w:rPr>
        <w:t>（</w:t>
      </w:r>
      <w:r>
        <w:t>5</w:t>
      </w:r>
      <w:r>
        <w:rPr>
          <w:rFonts w:hint="eastAsia"/>
        </w:rPr>
        <w:t>.</w:t>
      </w:r>
      <w:r>
        <w:t>2</w:t>
      </w:r>
      <w:r>
        <w:rPr>
          <w:rFonts w:hint="eastAsia"/>
        </w:rPr>
        <w:t>.</w:t>
      </w:r>
      <w:r>
        <w:t>1</w:t>
      </w:r>
      <w:r>
        <w:rPr>
          <w:rFonts w:hint="eastAsia"/>
        </w:rPr>
        <w:t>5）</w:t>
      </w:r>
    </w:p>
    <w:p w14:paraId="0A23A37A"/>
    <w:tbl>
      <w:tblPr>
        <w:tblStyle w:val="17"/>
        <w:tblW w:w="8528" w:type="dxa"/>
        <w:tblInd w:w="0" w:type="dxa"/>
        <w:tblLayout w:type="fixed"/>
        <w:tblCellMar>
          <w:top w:w="0" w:type="dxa"/>
          <w:left w:w="108" w:type="dxa"/>
          <w:bottom w:w="0" w:type="dxa"/>
          <w:right w:w="108" w:type="dxa"/>
        </w:tblCellMar>
      </w:tblPr>
      <w:tblGrid>
        <w:gridCol w:w="1533"/>
        <w:gridCol w:w="6995"/>
      </w:tblGrid>
      <w:tr w14:paraId="2F2202DA">
        <w:tblPrEx>
          <w:tblCellMar>
            <w:top w:w="0" w:type="dxa"/>
            <w:left w:w="108" w:type="dxa"/>
            <w:bottom w:w="0" w:type="dxa"/>
            <w:right w:w="108" w:type="dxa"/>
          </w:tblCellMar>
        </w:tblPrEx>
        <w:tc>
          <w:tcPr>
            <w:tcW w:w="1533" w:type="dxa"/>
          </w:tcPr>
          <w:p w14:paraId="14434202">
            <w:pPr>
              <w:spacing w:line="300" w:lineRule="auto"/>
              <w:ind w:right="-108"/>
            </w:pPr>
            <w:r>
              <w:rPr>
                <w:rFonts w:hint="eastAsia"/>
                <w:kern w:val="0"/>
              </w:rPr>
              <w:t>式中：</w:t>
            </w:r>
            <w:r>
              <w:rPr>
                <w:rFonts w:hint="eastAsia"/>
                <w:i/>
                <w:kern w:val="0"/>
              </w:rPr>
              <w:t>V</w:t>
            </w:r>
            <w:r>
              <w:rPr>
                <w:rFonts w:hint="eastAsia"/>
                <w:i/>
                <w:kern w:val="0"/>
                <w:vertAlign w:val="subscript"/>
              </w:rPr>
              <w:t>D</w:t>
            </w:r>
            <w:r>
              <w:rPr>
                <w:rFonts w:hint="eastAsia"/>
                <w:i/>
                <w:kern w:val="0"/>
              </w:rPr>
              <w:t>—</w:t>
            </w:r>
          </w:p>
        </w:tc>
        <w:tc>
          <w:tcPr>
            <w:tcW w:w="6995" w:type="dxa"/>
            <w:vAlign w:val="center"/>
          </w:tcPr>
          <w:p w14:paraId="73481386">
            <w:pPr>
              <w:snapToGrid w:val="0"/>
              <w:spacing w:line="300" w:lineRule="auto"/>
            </w:pPr>
            <w:r>
              <w:rPr>
                <w:kern w:val="0"/>
              </w:rPr>
              <w:t>作用</w:t>
            </w:r>
            <w:r>
              <w:rPr>
                <w:rFonts w:hint="eastAsia"/>
                <w:kern w:val="0"/>
              </w:rPr>
              <w:t>在</w:t>
            </w:r>
            <w:r>
              <w:rPr>
                <w:kern w:val="0"/>
              </w:rPr>
              <w:t>每</w:t>
            </w:r>
            <w:r>
              <w:rPr>
                <w:rFonts w:hint="eastAsia"/>
                <w:kern w:val="0"/>
              </w:rPr>
              <w:t>个钢</w:t>
            </w:r>
            <w:r>
              <w:rPr>
                <w:kern w:val="0"/>
              </w:rPr>
              <w:t>板桩</w:t>
            </w:r>
            <w:r>
              <w:rPr>
                <w:rFonts w:hint="eastAsia"/>
                <w:kern w:val="0"/>
              </w:rPr>
              <w:t>单元上的</w:t>
            </w:r>
            <w:r>
              <w:rPr>
                <w:kern w:val="0"/>
              </w:rPr>
              <w:t>最大</w:t>
            </w:r>
            <w:r>
              <w:rPr>
                <w:rFonts w:hint="eastAsia"/>
                <w:kern w:val="0"/>
              </w:rPr>
              <w:t>剪力标准值（</w:t>
            </w:r>
            <w:r>
              <w:rPr>
                <w:rFonts w:hint="eastAsia"/>
              </w:rPr>
              <w:t>kN</w:t>
            </w:r>
            <w:r>
              <w:rPr>
                <w:rFonts w:hint="eastAsia"/>
                <w:kern w:val="0"/>
              </w:rPr>
              <w:t>）；</w:t>
            </w:r>
          </w:p>
        </w:tc>
      </w:tr>
      <w:tr w14:paraId="349ED9DF">
        <w:tblPrEx>
          <w:tblCellMar>
            <w:top w:w="0" w:type="dxa"/>
            <w:left w:w="108" w:type="dxa"/>
            <w:bottom w:w="0" w:type="dxa"/>
            <w:right w:w="108" w:type="dxa"/>
          </w:tblCellMar>
        </w:tblPrEx>
        <w:tc>
          <w:tcPr>
            <w:tcW w:w="1533" w:type="dxa"/>
          </w:tcPr>
          <w:p w14:paraId="46D432BF">
            <w:pPr>
              <w:spacing w:line="300" w:lineRule="auto"/>
              <w:ind w:right="-108"/>
              <w:jc w:val="center"/>
              <w:rPr>
                <w:i/>
              </w:rPr>
            </w:pPr>
            <w:r>
              <w:rPr>
                <w:rFonts w:hint="eastAsia"/>
                <w:i/>
                <w:kern w:val="0"/>
              </w:rPr>
              <w:t xml:space="preserve">  </w:t>
            </w:r>
            <w:r>
              <w:rPr>
                <w:i/>
                <w:kern w:val="0"/>
              </w:rPr>
              <w:t>t</w:t>
            </w:r>
            <w:r>
              <w:rPr>
                <w:i/>
                <w:kern w:val="0"/>
                <w:vertAlign w:val="subscript"/>
              </w:rPr>
              <w:t>w</w:t>
            </w:r>
            <w:r>
              <w:rPr>
                <w:rFonts w:hint="eastAsia"/>
              </w:rPr>
              <w:t>—</w:t>
            </w:r>
          </w:p>
        </w:tc>
        <w:tc>
          <w:tcPr>
            <w:tcW w:w="6995" w:type="dxa"/>
            <w:vAlign w:val="center"/>
          </w:tcPr>
          <w:p w14:paraId="55ABA326">
            <w:pPr>
              <w:snapToGrid w:val="0"/>
              <w:spacing w:line="300" w:lineRule="auto"/>
            </w:pPr>
            <w:r>
              <w:rPr>
                <w:rFonts w:hint="eastAsia"/>
                <w:kern w:val="0"/>
              </w:rPr>
              <w:t>翼缘最小厚度（</w:t>
            </w:r>
            <w:r>
              <w:rPr>
                <w:kern w:val="0"/>
              </w:rPr>
              <w:t>m</w:t>
            </w:r>
            <w:r>
              <w:rPr>
                <w:rFonts w:hint="eastAsia"/>
                <w:kern w:val="0"/>
              </w:rPr>
              <w:t>）；</w:t>
            </w:r>
          </w:p>
        </w:tc>
      </w:tr>
      <w:tr w14:paraId="0DC00FAF">
        <w:tblPrEx>
          <w:tblCellMar>
            <w:top w:w="0" w:type="dxa"/>
            <w:left w:w="108" w:type="dxa"/>
            <w:bottom w:w="0" w:type="dxa"/>
            <w:right w:w="108" w:type="dxa"/>
          </w:tblCellMar>
        </w:tblPrEx>
        <w:tc>
          <w:tcPr>
            <w:tcW w:w="1533" w:type="dxa"/>
          </w:tcPr>
          <w:p w14:paraId="4D191D86">
            <w:pPr>
              <w:spacing w:line="300" w:lineRule="auto"/>
              <w:ind w:right="-108"/>
              <w:jc w:val="center"/>
              <w:rPr>
                <w:i/>
              </w:rPr>
            </w:pPr>
            <w:r>
              <w:rPr>
                <w:rFonts w:hint="eastAsia"/>
                <w:i/>
                <w:kern w:val="0"/>
              </w:rPr>
              <w:t xml:space="preserve"> </w:t>
            </w:r>
            <w:r>
              <w:rPr>
                <w:i/>
                <w:kern w:val="0"/>
              </w:rPr>
              <w:t>t</w:t>
            </w:r>
            <w:r>
              <w:rPr>
                <w:rFonts w:hint="eastAsia"/>
                <w:i/>
                <w:kern w:val="0"/>
                <w:vertAlign w:val="subscript"/>
              </w:rPr>
              <w:t>f</w:t>
            </w:r>
            <w:r>
              <w:rPr>
                <w:rFonts w:hint="eastAsia"/>
              </w:rPr>
              <w:t>—</w:t>
            </w:r>
          </w:p>
        </w:tc>
        <w:tc>
          <w:tcPr>
            <w:tcW w:w="6995" w:type="dxa"/>
            <w:vAlign w:val="center"/>
          </w:tcPr>
          <w:p w14:paraId="578E6B87">
            <w:pPr>
              <w:snapToGrid w:val="0"/>
              <w:spacing w:line="300" w:lineRule="auto"/>
            </w:pPr>
            <w:r>
              <w:rPr>
                <w:rFonts w:hint="eastAsia"/>
                <w:kern w:val="0"/>
              </w:rPr>
              <w:t>腹板最小厚度（</w:t>
            </w:r>
            <w:r>
              <w:rPr>
                <w:kern w:val="0"/>
              </w:rPr>
              <w:t>m</w:t>
            </w:r>
            <w:r>
              <w:rPr>
                <w:rFonts w:hint="eastAsia"/>
                <w:kern w:val="0"/>
              </w:rPr>
              <w:t>）；</w:t>
            </w:r>
          </w:p>
        </w:tc>
      </w:tr>
      <w:tr w14:paraId="7453CA3D">
        <w:tblPrEx>
          <w:tblCellMar>
            <w:top w:w="0" w:type="dxa"/>
            <w:left w:w="108" w:type="dxa"/>
            <w:bottom w:w="0" w:type="dxa"/>
            <w:right w:w="108" w:type="dxa"/>
          </w:tblCellMar>
        </w:tblPrEx>
        <w:tc>
          <w:tcPr>
            <w:tcW w:w="1533" w:type="dxa"/>
          </w:tcPr>
          <w:p w14:paraId="1C2666CC">
            <w:pPr>
              <w:spacing w:line="300" w:lineRule="auto"/>
              <w:ind w:right="-108"/>
              <w:jc w:val="center"/>
              <w:rPr>
                <w:i/>
                <w:kern w:val="0"/>
              </w:rPr>
            </w:pPr>
            <w:r>
              <w:rPr>
                <w:rFonts w:hint="eastAsia"/>
                <w:i/>
                <w:kern w:val="0"/>
              </w:rPr>
              <w:t xml:space="preserve"> </w:t>
            </w:r>
            <w:r>
              <w:rPr>
                <w:i/>
                <w:kern w:val="0"/>
              </w:rPr>
              <w:t>h</w:t>
            </w:r>
            <w:r>
              <w:rPr>
                <w:rFonts w:hint="eastAsia"/>
                <w:i/>
                <w:kern w:val="0"/>
                <w:vertAlign w:val="subscript"/>
              </w:rPr>
              <w:t>1</w:t>
            </w:r>
            <w:r>
              <w:rPr>
                <w:rFonts w:hint="eastAsia"/>
              </w:rPr>
              <w:t>—</w:t>
            </w:r>
          </w:p>
        </w:tc>
        <w:tc>
          <w:tcPr>
            <w:tcW w:w="6995" w:type="dxa"/>
            <w:vAlign w:val="center"/>
          </w:tcPr>
          <w:p w14:paraId="084258C2">
            <w:pPr>
              <w:snapToGrid w:val="0"/>
              <w:spacing w:line="300" w:lineRule="auto"/>
              <w:rPr>
                <w:kern w:val="0"/>
              </w:rPr>
            </w:pPr>
            <w:r>
              <w:rPr>
                <w:rFonts w:hint="eastAsia"/>
                <w:kern w:val="0"/>
              </w:rPr>
              <w:t>钢板桩断面总高度（m）；</w:t>
            </w:r>
          </w:p>
        </w:tc>
      </w:tr>
      <w:tr w14:paraId="253BB25D">
        <w:tblPrEx>
          <w:tblCellMar>
            <w:top w:w="0" w:type="dxa"/>
            <w:left w:w="108" w:type="dxa"/>
            <w:bottom w:w="0" w:type="dxa"/>
            <w:right w:w="108" w:type="dxa"/>
          </w:tblCellMar>
        </w:tblPrEx>
        <w:tc>
          <w:tcPr>
            <w:tcW w:w="1533" w:type="dxa"/>
          </w:tcPr>
          <w:p w14:paraId="4D82761A">
            <w:pPr>
              <w:spacing w:line="300" w:lineRule="auto"/>
              <w:ind w:right="-108"/>
              <w:jc w:val="center"/>
              <w:rPr>
                <w:i/>
                <w:kern w:val="0"/>
              </w:rPr>
            </w:pPr>
            <w:r>
              <w:rPr>
                <w:rFonts w:hint="eastAsia"/>
                <w:i/>
                <w:kern w:val="0"/>
              </w:rPr>
              <w:t xml:space="preserve"> </w:t>
            </w:r>
            <w:r>
              <w:rPr>
                <w:i/>
                <w:kern w:val="0"/>
              </w:rPr>
              <w:t>f</w:t>
            </w:r>
            <w:r>
              <w:rPr>
                <w:rFonts w:hint="eastAsia"/>
                <w:i/>
                <w:kern w:val="0"/>
              </w:rPr>
              <w:t>v</w:t>
            </w:r>
            <w:r>
              <w:rPr>
                <w:rFonts w:hint="eastAsia"/>
                <w:kern w:val="0"/>
              </w:rPr>
              <w:t>—</w:t>
            </w:r>
          </w:p>
        </w:tc>
        <w:tc>
          <w:tcPr>
            <w:tcW w:w="6995" w:type="dxa"/>
            <w:vAlign w:val="center"/>
          </w:tcPr>
          <w:p w14:paraId="20F9ABAC">
            <w:pPr>
              <w:snapToGrid w:val="0"/>
              <w:spacing w:line="300" w:lineRule="auto"/>
              <w:rPr>
                <w:kern w:val="0"/>
              </w:rPr>
            </w:pPr>
            <w:r>
              <w:rPr>
                <w:kern w:val="0"/>
              </w:rPr>
              <w:t>钢材的</w:t>
            </w:r>
            <w:r>
              <w:rPr>
                <w:rFonts w:hint="eastAsia"/>
                <w:kern w:val="0"/>
              </w:rPr>
              <w:t>抗剪</w:t>
            </w:r>
            <w:r>
              <w:rPr>
                <w:kern w:val="0"/>
              </w:rPr>
              <w:t>强度设计值</w:t>
            </w:r>
            <w:r>
              <w:rPr>
                <w:rFonts w:hint="eastAsia"/>
                <w:kern w:val="0"/>
              </w:rPr>
              <w:t>（</w:t>
            </w:r>
            <w:r>
              <w:rPr>
                <w:kern w:val="0"/>
              </w:rPr>
              <w:t>N /mm</w:t>
            </w:r>
            <w:r>
              <w:rPr>
                <w:rFonts w:hint="eastAsia"/>
                <w:kern w:val="0"/>
                <w:vertAlign w:val="superscript"/>
              </w:rPr>
              <w:t>2</w:t>
            </w:r>
            <w:r>
              <w:rPr>
                <w:rFonts w:hint="eastAsia"/>
                <w:kern w:val="0"/>
              </w:rPr>
              <w:t>）；如采用国产钢板桩，</w:t>
            </w:r>
            <w:r>
              <w:rPr>
                <w:kern w:val="0"/>
              </w:rPr>
              <w:t>按国家现行标准《钢结构设计规范》</w:t>
            </w:r>
            <w:r>
              <w:rPr>
                <w:rFonts w:hint="eastAsia"/>
                <w:kern w:val="0"/>
              </w:rPr>
              <w:t>GB50017</w:t>
            </w:r>
            <w:r>
              <w:rPr>
                <w:kern w:val="0"/>
              </w:rPr>
              <w:t>中规定采用</w:t>
            </w:r>
            <w:r>
              <w:rPr>
                <w:rFonts w:hint="eastAsia"/>
                <w:kern w:val="0"/>
              </w:rPr>
              <w:t>；</w:t>
            </w:r>
          </w:p>
        </w:tc>
      </w:tr>
      <w:tr w14:paraId="18A79D25">
        <w:tblPrEx>
          <w:tblCellMar>
            <w:top w:w="0" w:type="dxa"/>
            <w:left w:w="108" w:type="dxa"/>
            <w:bottom w:w="0" w:type="dxa"/>
            <w:right w:w="108" w:type="dxa"/>
          </w:tblCellMar>
        </w:tblPrEx>
        <w:tc>
          <w:tcPr>
            <w:tcW w:w="1533" w:type="dxa"/>
          </w:tcPr>
          <w:p w14:paraId="7E365B32">
            <w:pPr>
              <w:spacing w:line="300" w:lineRule="auto"/>
              <w:ind w:right="-108"/>
              <w:jc w:val="center"/>
              <w:rPr>
                <w:i/>
                <w:kern w:val="0"/>
              </w:rPr>
            </w:pPr>
            <w:r>
              <w:rPr>
                <w:position w:val="-14"/>
              </w:rPr>
              <w:drawing>
                <wp:inline distT="0" distB="0" distL="114300" distR="114300">
                  <wp:extent cx="247015" cy="234315"/>
                  <wp:effectExtent l="0" t="0" r="12065" b="12065"/>
                  <wp:docPr id="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9"/>
                          <pic:cNvPicPr>
                            <a:picLocks noChangeAspect="1"/>
                          </pic:cNvPicPr>
                        </pic:nvPicPr>
                        <pic:blipFill>
                          <a:blip r:embed="rId36"/>
                          <a:stretch>
                            <a:fillRect/>
                          </a:stretch>
                        </pic:blipFill>
                        <pic:spPr>
                          <a:xfrm>
                            <a:off x="0" y="0"/>
                            <a:ext cx="247015" cy="234315"/>
                          </a:xfrm>
                          <a:prstGeom prst="rect">
                            <a:avLst/>
                          </a:prstGeom>
                          <a:noFill/>
                          <a:ln>
                            <a:noFill/>
                          </a:ln>
                        </pic:spPr>
                      </pic:pic>
                    </a:graphicData>
                  </a:graphic>
                </wp:inline>
              </w:drawing>
            </w:r>
            <w:r>
              <w:rPr>
                <w:kern w:val="0"/>
              </w:rPr>
              <w:t>—</w:t>
            </w:r>
          </w:p>
        </w:tc>
        <w:tc>
          <w:tcPr>
            <w:tcW w:w="6995" w:type="dxa"/>
            <w:vAlign w:val="center"/>
          </w:tcPr>
          <w:p w14:paraId="06557CF6">
            <w:pPr>
              <w:snapToGrid w:val="0"/>
              <w:spacing w:line="300" w:lineRule="auto"/>
              <w:rPr>
                <w:kern w:val="0"/>
              </w:rPr>
            </w:pPr>
            <w:r>
              <w:rPr>
                <w:kern w:val="0"/>
              </w:rPr>
              <w:t>综合分项系数，，</w:t>
            </w:r>
            <w:r>
              <w:rPr>
                <w:rFonts w:hint="eastAsia"/>
                <w:kern w:val="0"/>
              </w:rPr>
              <w:t>永久工程</w:t>
            </w:r>
            <w:r>
              <w:rPr>
                <w:kern w:val="0"/>
              </w:rPr>
              <w:t>取1.</w:t>
            </w:r>
            <w:r>
              <w:rPr>
                <w:rFonts w:hint="eastAsia"/>
                <w:kern w:val="0"/>
              </w:rPr>
              <w:t>3</w:t>
            </w:r>
            <w:r>
              <w:rPr>
                <w:kern w:val="0"/>
              </w:rPr>
              <w:t>5</w:t>
            </w:r>
            <w:r>
              <w:rPr>
                <w:rFonts w:hint="eastAsia"/>
                <w:kern w:val="0"/>
              </w:rPr>
              <w:t>，临时工程取1.25；</w:t>
            </w:r>
          </w:p>
        </w:tc>
      </w:tr>
      <w:tr w14:paraId="37354CB5">
        <w:tblPrEx>
          <w:tblCellMar>
            <w:top w:w="0" w:type="dxa"/>
            <w:left w:w="108" w:type="dxa"/>
            <w:bottom w:w="0" w:type="dxa"/>
            <w:right w:w="108" w:type="dxa"/>
          </w:tblCellMar>
        </w:tblPrEx>
        <w:tc>
          <w:tcPr>
            <w:tcW w:w="1533" w:type="dxa"/>
          </w:tcPr>
          <w:p w14:paraId="71445B9F">
            <w:pPr>
              <w:spacing w:line="360" w:lineRule="auto"/>
              <w:ind w:right="102"/>
              <w:jc w:val="center"/>
              <w:rPr>
                <w:position w:val="-14"/>
              </w:rPr>
            </w:pPr>
            <w:r>
              <w:rPr>
                <w:rFonts w:hint="eastAsia"/>
                <w:position w:val="-12"/>
              </w:rPr>
              <w:t xml:space="preserve"> </w:t>
            </w:r>
            <w:r>
              <w:rPr>
                <w:rFonts w:hint="eastAsia"/>
                <w:position w:val="-12"/>
              </w:rPr>
              <w:object>
                <v:shape id="_x0000_i1048" o:spt="75" type="#_x0000_t75" style="height:18pt;width:12.85pt;" o:ole="t" filled="f" o:preferrelative="t" stroked="f" coordsize="21600,21600">
                  <v:path/>
                  <v:fill on="f" focussize="0,0"/>
                  <v:stroke on="f" joinstyle="miter"/>
                  <v:imagedata r:id="rId35" o:title=""/>
                  <o:lock v:ext="edit" aspectratio="f"/>
                  <w10:wrap type="none"/>
                  <w10:anchorlock/>
                </v:shape>
                <o:OLEObject Type="Embed" ProgID="Equation.DSMT4" ShapeID="_x0000_i1048" DrawAspect="Content" ObjectID="_1468075748" r:id="rId72">
                  <o:LockedField>false</o:LockedField>
                </o:OLEObject>
              </w:object>
            </w:r>
            <w:r>
              <w:rPr>
                <w:kern w:val="0"/>
              </w:rPr>
              <w:t>—</w:t>
            </w:r>
          </w:p>
        </w:tc>
        <w:tc>
          <w:tcPr>
            <w:tcW w:w="6995" w:type="dxa"/>
            <w:vAlign w:val="center"/>
          </w:tcPr>
          <w:p w14:paraId="667BD207">
            <w:pPr>
              <w:snapToGrid w:val="0"/>
              <w:spacing w:line="360" w:lineRule="auto"/>
              <w:rPr>
                <w:kern w:val="0"/>
              </w:rPr>
            </w:pPr>
            <w:r>
              <w:rPr>
                <w:rFonts w:hint="eastAsia"/>
              </w:rPr>
              <w:t>支护结构重要性系数，按表</w:t>
            </w:r>
            <w:r>
              <w:t>3.0.</w:t>
            </w:r>
            <w:r>
              <w:rPr>
                <w:rFonts w:hint="eastAsia"/>
              </w:rPr>
              <w:t>4确定。</w:t>
            </w:r>
          </w:p>
        </w:tc>
      </w:tr>
    </w:tbl>
    <w:p w14:paraId="12CC8064">
      <w:r>
        <w:t>5</w:t>
      </w:r>
      <w:r>
        <w:rPr>
          <w:rFonts w:hint="eastAsia"/>
        </w:rPr>
        <w:t>.</w:t>
      </w:r>
      <w:r>
        <w:t>2</w:t>
      </w:r>
      <w:r>
        <w:rPr>
          <w:rFonts w:hint="eastAsia"/>
        </w:rPr>
        <w:t>.</w:t>
      </w:r>
      <w:r>
        <w:t>1</w:t>
      </w:r>
      <w:r>
        <w:rPr>
          <w:rFonts w:hint="eastAsia"/>
        </w:rPr>
        <w:t>6</w:t>
      </w:r>
      <w:r>
        <w:t xml:space="preserve">  </w:t>
      </w:r>
      <w:r>
        <w:rPr>
          <w:rFonts w:hint="eastAsia"/>
        </w:rPr>
        <w:t>钢桩桩墙围檩的弯矩宜按刚性支承连续梁根据公式（5.2.16-</w:t>
      </w:r>
      <w:r>
        <w:t>1</w:t>
      </w:r>
      <w:r>
        <w:rPr>
          <w:rFonts w:hint="eastAsia"/>
        </w:rPr>
        <w:t>）、（5.2.16-</w:t>
      </w:r>
      <w:r>
        <w:t>2</w:t>
      </w:r>
      <w:r>
        <w:rPr>
          <w:rFonts w:hint="eastAsia"/>
        </w:rPr>
        <w:t>）计算。</w:t>
      </w:r>
    </w:p>
    <w:p w14:paraId="4A663E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150" w:firstLineChars="1500"/>
        <w:rPr>
          <w:rFonts w:ascii="宋体" w:hAnsi="宋体" w:cs="MS Gothic"/>
          <w:kern w:val="0"/>
        </w:rPr>
      </w:pPr>
      <w:r>
        <w:rPr>
          <w:position w:val="-24"/>
        </w:rPr>
        <w:object>
          <v:shape id="_x0000_i1049" o:spt="75" type="#_x0000_t75" style="height:29.55pt;width:74.55pt;" o:ole="t" filled="f" o:preferrelative="t" stroked="f" coordsize="21600,21600">
            <v:path/>
            <v:fill on="f" focussize="0,0"/>
            <v:stroke on="f" joinstyle="miter"/>
            <v:imagedata r:id="rId74" o:title=""/>
            <o:lock v:ext="edit" aspectratio="t"/>
            <w10:wrap type="none"/>
            <w10:anchorlock/>
          </v:shape>
          <o:OLEObject Type="Embed" ProgID="Equation.DSMT4" ShapeID="_x0000_i1049" DrawAspect="Content" ObjectID="_1468075749" r:id="rId73">
            <o:LockedField>false</o:LockedField>
          </o:OLEObject>
        </w:object>
      </w:r>
      <w:r>
        <w:t xml:space="preserve">                    </w:t>
      </w:r>
      <w:r>
        <w:rPr>
          <w:rFonts w:hint="eastAsia"/>
        </w:rPr>
        <w:t xml:space="preserve">    </w:t>
      </w:r>
      <w:r>
        <w:t xml:space="preserve"> </w:t>
      </w:r>
      <w:r>
        <w:rPr>
          <w:rFonts w:hint="eastAsia"/>
        </w:rPr>
        <w:t>（5.2.16-</w:t>
      </w:r>
      <w:r>
        <w:t>1</w:t>
      </w:r>
      <w:r>
        <w:rPr>
          <w:rFonts w:hint="eastAsia"/>
        </w:rPr>
        <w:t>）</w:t>
      </w:r>
    </w:p>
    <w:p w14:paraId="4F782A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10" w:firstLineChars="100"/>
        <w:jc w:val="center"/>
        <w:rPr>
          <w:rFonts w:ascii="宋体" w:hAnsi="宋体" w:cs="MS Gothic"/>
          <w:kern w:val="0"/>
        </w:rPr>
      </w:pPr>
      <w:r>
        <w:rPr>
          <w:rFonts w:ascii="宋体" w:hAnsi="宋体" w:cs="MS Gothic"/>
          <w:kern w:val="0"/>
        </w:rPr>
        <w:t xml:space="preserve">    </w:t>
      </w:r>
      <w:r>
        <w:rPr>
          <w:rFonts w:hint="eastAsia" w:ascii="宋体" w:hAnsi="宋体" w:cs="MS Gothic"/>
          <w:kern w:val="0"/>
        </w:rPr>
        <w:t xml:space="preserve">      </w:t>
      </w:r>
      <w:r>
        <w:rPr>
          <w:rFonts w:ascii="宋体" w:hAnsi="宋体" w:cs="MS Gothic"/>
          <w:kern w:val="0"/>
        </w:rPr>
        <w:t xml:space="preserve">    </w:t>
      </w:r>
      <w:r>
        <w:rPr>
          <w:rFonts w:hint="eastAsia" w:ascii="宋体" w:hAnsi="宋体" w:cs="MS Gothic"/>
          <w:kern w:val="0"/>
        </w:rPr>
        <w:t xml:space="preserve">   </w:t>
      </w:r>
      <w:r>
        <w:rPr>
          <w:rFonts w:ascii="宋体" w:hAnsi="宋体" w:cs="MS Gothic"/>
          <w:kern w:val="0"/>
        </w:rPr>
        <w:t xml:space="preserve"> </w:t>
      </w:r>
      <w:r>
        <w:rPr>
          <w:position w:val="-24"/>
        </w:rPr>
        <w:object>
          <v:shape id="_x0000_i1050" o:spt="75" type="#_x0000_t75" style="height:29.15pt;width:59.55pt;" o:ole="t" filled="f" o:preferrelative="t" stroked="f" coordsize="21600,21600">
            <v:path/>
            <v:fill on="f" focussize="0,0"/>
            <v:stroke on="f" joinstyle="miter"/>
            <v:imagedata r:id="rId76" o:title=""/>
            <o:lock v:ext="edit" aspectratio="t"/>
            <w10:wrap type="none"/>
            <w10:anchorlock/>
          </v:shape>
          <o:OLEObject Type="Embed" ProgID="Equation.DSMT4" ShapeID="_x0000_i1050" DrawAspect="Content" ObjectID="_1468075750" r:id="rId75">
            <o:LockedField>false</o:LockedField>
          </o:OLEObject>
        </w:object>
      </w:r>
      <w:r>
        <w:rPr>
          <w:rFonts w:ascii="宋体" w:hAnsi="宋体" w:cs="MS Gothic"/>
          <w:kern w:val="0"/>
        </w:rPr>
        <w:t xml:space="preserve">    </w:t>
      </w:r>
      <w:r>
        <w:rPr>
          <w:rFonts w:hint="eastAsia" w:ascii="宋体" w:hAnsi="宋体" w:cs="MS Gothic"/>
          <w:kern w:val="0"/>
        </w:rPr>
        <w:t xml:space="preserve">     </w:t>
      </w:r>
      <w:r>
        <w:rPr>
          <w:rFonts w:ascii="宋体" w:hAnsi="宋体" w:cs="MS Gothic"/>
          <w:kern w:val="0"/>
        </w:rPr>
        <w:t xml:space="preserve">        </w:t>
      </w:r>
      <w:r>
        <w:rPr>
          <w:rFonts w:hint="eastAsia" w:ascii="宋体" w:hAnsi="宋体" w:cs="MS Gothic"/>
          <w:kern w:val="0"/>
        </w:rPr>
        <w:t xml:space="preserve">  </w:t>
      </w:r>
      <w:r>
        <w:rPr>
          <w:rFonts w:ascii="宋体" w:hAnsi="宋体" w:cs="MS Gothic"/>
          <w:kern w:val="0"/>
        </w:rPr>
        <w:t xml:space="preserve">         </w:t>
      </w:r>
      <w:r>
        <w:rPr>
          <w:rFonts w:hint="eastAsia"/>
        </w:rPr>
        <w:t>（5.2.16-</w:t>
      </w:r>
      <w:r>
        <w:t>2</w:t>
      </w:r>
      <w:r>
        <w:rPr>
          <w:rFonts w:hint="eastAsia"/>
        </w:rPr>
        <w:t>）</w:t>
      </w:r>
    </w:p>
    <w:tbl>
      <w:tblPr>
        <w:tblStyle w:val="17"/>
        <w:tblW w:w="8528" w:type="dxa"/>
        <w:tblInd w:w="0" w:type="dxa"/>
        <w:tblLayout w:type="fixed"/>
        <w:tblCellMar>
          <w:top w:w="0" w:type="dxa"/>
          <w:left w:w="108" w:type="dxa"/>
          <w:bottom w:w="0" w:type="dxa"/>
          <w:right w:w="108" w:type="dxa"/>
        </w:tblCellMar>
      </w:tblPr>
      <w:tblGrid>
        <w:gridCol w:w="1846"/>
        <w:gridCol w:w="6682"/>
      </w:tblGrid>
      <w:tr w14:paraId="3EE21C33">
        <w:tblPrEx>
          <w:tblCellMar>
            <w:top w:w="0" w:type="dxa"/>
            <w:left w:w="108" w:type="dxa"/>
            <w:bottom w:w="0" w:type="dxa"/>
            <w:right w:w="108" w:type="dxa"/>
          </w:tblCellMar>
        </w:tblPrEx>
        <w:tc>
          <w:tcPr>
            <w:tcW w:w="1846" w:type="dxa"/>
          </w:tcPr>
          <w:p w14:paraId="4FF63E2F">
            <w:pPr>
              <w:spacing w:line="300" w:lineRule="auto"/>
              <w:ind w:right="-108"/>
            </w:pPr>
            <w:r>
              <w:rPr>
                <w:rFonts w:hint="eastAsia"/>
                <w:kern w:val="0"/>
              </w:rPr>
              <w:t xml:space="preserve">式中： </w:t>
            </w:r>
            <w:r>
              <w:rPr>
                <w:i/>
                <w:kern w:val="0"/>
              </w:rPr>
              <w:t>M</w:t>
            </w:r>
            <w:r>
              <w:rPr>
                <w:rFonts w:hint="eastAsia"/>
                <w:i/>
                <w:kern w:val="0"/>
                <w:vertAlign w:val="subscript"/>
              </w:rPr>
              <w:t>b</w:t>
            </w:r>
            <w:r>
              <w:rPr>
                <w:rFonts w:hint="eastAsia"/>
                <w:kern w:val="0"/>
                <w:vertAlign w:val="subscript"/>
              </w:rPr>
              <w:t>max</w:t>
            </w:r>
            <w:r>
              <w:rPr>
                <w:rFonts w:hint="eastAsia"/>
                <w:i/>
                <w:kern w:val="0"/>
              </w:rPr>
              <w:t>—</w:t>
            </w:r>
          </w:p>
        </w:tc>
        <w:tc>
          <w:tcPr>
            <w:tcW w:w="6682" w:type="dxa"/>
            <w:vAlign w:val="center"/>
          </w:tcPr>
          <w:p w14:paraId="34BC825E">
            <w:pPr>
              <w:snapToGrid w:val="0"/>
              <w:spacing w:line="300" w:lineRule="auto"/>
            </w:pPr>
            <w:r>
              <w:rPr>
                <w:rFonts w:hint="eastAsia" w:ascii="宋体" w:hAnsi="宋体" w:cs="微软雅黑"/>
                <w:kern w:val="0"/>
              </w:rPr>
              <w:t>作用标准值产生的围檩最大弯矩标准值</w:t>
            </w:r>
            <w:r>
              <w:rPr>
                <w:rFonts w:hint="eastAsia"/>
              </w:rPr>
              <w:t>（kN</w:t>
            </w:r>
            <w:r>
              <w:t>·</w:t>
            </w:r>
            <w:r>
              <w:rPr>
                <w:rFonts w:hint="eastAsia"/>
              </w:rPr>
              <w:t>m）；</w:t>
            </w:r>
          </w:p>
        </w:tc>
      </w:tr>
      <w:tr w14:paraId="5A13103B">
        <w:tblPrEx>
          <w:tblCellMar>
            <w:top w:w="0" w:type="dxa"/>
            <w:left w:w="108" w:type="dxa"/>
            <w:bottom w:w="0" w:type="dxa"/>
            <w:right w:w="108" w:type="dxa"/>
          </w:tblCellMar>
        </w:tblPrEx>
        <w:tc>
          <w:tcPr>
            <w:tcW w:w="1846" w:type="dxa"/>
          </w:tcPr>
          <w:p w14:paraId="0360B862">
            <w:pPr>
              <w:spacing w:line="300" w:lineRule="auto"/>
              <w:ind w:right="-108"/>
              <w:jc w:val="center"/>
              <w:rPr>
                <w:i/>
              </w:rPr>
            </w:pPr>
            <w:r>
              <w:rPr>
                <w:rFonts w:hint="eastAsia"/>
              </w:rPr>
              <w:t xml:space="preserve">   R</w:t>
            </w:r>
            <w:r>
              <w:rPr>
                <w:rFonts w:hint="eastAsia"/>
                <w:vertAlign w:val="subscript"/>
              </w:rPr>
              <w:t>k</w:t>
            </w:r>
            <w:r>
              <w:rPr>
                <w:rFonts w:hint="eastAsia"/>
              </w:rPr>
              <w:t>—</w:t>
            </w:r>
          </w:p>
        </w:tc>
        <w:tc>
          <w:tcPr>
            <w:tcW w:w="6682" w:type="dxa"/>
            <w:vAlign w:val="center"/>
          </w:tcPr>
          <w:p w14:paraId="308E31A3">
            <w:pPr>
              <w:snapToGrid w:val="0"/>
              <w:spacing w:line="300" w:lineRule="auto"/>
            </w:pPr>
            <w:r>
              <w:rPr>
                <w:rFonts w:hint="eastAsia" w:ascii="宋体" w:hAnsi="宋体" w:cs="微软雅黑"/>
                <w:kern w:val="0"/>
              </w:rPr>
              <w:t>支点力，为每米宽钢板桩墙的作用标准值</w:t>
            </w:r>
            <w:r>
              <w:rPr>
                <w:rFonts w:hint="eastAsia"/>
              </w:rPr>
              <w:t>（kN/m）；</w:t>
            </w:r>
          </w:p>
        </w:tc>
      </w:tr>
      <w:tr w14:paraId="078D9589">
        <w:tblPrEx>
          <w:tblCellMar>
            <w:top w:w="0" w:type="dxa"/>
            <w:left w:w="108" w:type="dxa"/>
            <w:bottom w:w="0" w:type="dxa"/>
            <w:right w:w="108" w:type="dxa"/>
          </w:tblCellMar>
        </w:tblPrEx>
        <w:tc>
          <w:tcPr>
            <w:tcW w:w="1846" w:type="dxa"/>
          </w:tcPr>
          <w:p w14:paraId="2862955B">
            <w:pPr>
              <w:spacing w:line="300" w:lineRule="auto"/>
              <w:ind w:right="-108"/>
              <w:jc w:val="center"/>
              <w:rPr>
                <w:i/>
              </w:rPr>
            </w:pPr>
            <w:r>
              <w:rPr>
                <w:rFonts w:hint="eastAsia"/>
              </w:rPr>
              <w:t xml:space="preserve">   </w:t>
            </w:r>
            <w:r>
              <w:rPr>
                <w:rFonts w:hint="eastAsia"/>
                <w:i/>
                <w:kern w:val="0"/>
              </w:rPr>
              <w:t>l</w:t>
            </w:r>
            <w:r>
              <w:rPr>
                <w:rFonts w:hint="eastAsia"/>
                <w:i/>
                <w:kern w:val="0"/>
                <w:vertAlign w:val="subscript"/>
              </w:rPr>
              <w:t>a</w:t>
            </w:r>
            <w:r>
              <w:rPr>
                <w:rFonts w:hint="eastAsia"/>
              </w:rPr>
              <w:t>—</w:t>
            </w:r>
          </w:p>
        </w:tc>
        <w:tc>
          <w:tcPr>
            <w:tcW w:w="6682" w:type="dxa"/>
            <w:vAlign w:val="center"/>
          </w:tcPr>
          <w:p w14:paraId="690889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hint="eastAsia" w:ascii="宋体" w:hAnsi="宋体" w:cs="微软雅黑"/>
                <w:kern w:val="0"/>
                <w:lang w:eastAsia="ja-JP"/>
              </w:rPr>
              <w:t>相邻两点间间距</w:t>
            </w:r>
            <w:r>
              <w:rPr>
                <w:rFonts w:hint="eastAsia"/>
              </w:rPr>
              <w:t>（m）</w:t>
            </w:r>
            <w:r>
              <w:rPr>
                <w:rFonts w:hint="eastAsia" w:ascii="宋体" w:hAnsi="宋体" w:cs="微软雅黑"/>
                <w:kern w:val="0"/>
                <w:lang w:eastAsia="ja-JP"/>
              </w:rPr>
              <w:t>；</w:t>
            </w:r>
          </w:p>
        </w:tc>
      </w:tr>
      <w:tr w14:paraId="061F15BD">
        <w:tblPrEx>
          <w:tblCellMar>
            <w:top w:w="0" w:type="dxa"/>
            <w:left w:w="108" w:type="dxa"/>
            <w:bottom w:w="0" w:type="dxa"/>
            <w:right w:w="108" w:type="dxa"/>
          </w:tblCellMar>
        </w:tblPrEx>
        <w:tc>
          <w:tcPr>
            <w:tcW w:w="1846" w:type="dxa"/>
          </w:tcPr>
          <w:p w14:paraId="5DAE684F">
            <w:pPr>
              <w:spacing w:line="300" w:lineRule="auto"/>
              <w:ind w:right="-108"/>
              <w:jc w:val="center"/>
              <w:rPr>
                <w:i/>
                <w:kern w:val="0"/>
              </w:rPr>
            </w:pPr>
            <w:r>
              <w:rPr>
                <w:rFonts w:hint="eastAsia"/>
                <w:i/>
                <w:kern w:val="0"/>
              </w:rPr>
              <w:t xml:space="preserve">  M</w:t>
            </w:r>
            <w:r>
              <w:rPr>
                <w:rFonts w:hint="eastAsia"/>
                <w:i/>
                <w:kern w:val="0"/>
                <w:vertAlign w:val="subscript"/>
              </w:rPr>
              <w:t>b</w:t>
            </w:r>
            <w:r>
              <w:rPr>
                <w:rFonts w:hint="eastAsia"/>
              </w:rPr>
              <w:t>—</w:t>
            </w:r>
          </w:p>
        </w:tc>
        <w:tc>
          <w:tcPr>
            <w:tcW w:w="6682" w:type="dxa"/>
            <w:vAlign w:val="center"/>
          </w:tcPr>
          <w:p w14:paraId="06E479BE">
            <w:pPr>
              <w:snapToGrid w:val="0"/>
              <w:spacing w:line="300" w:lineRule="auto"/>
              <w:rPr>
                <w:kern w:val="0"/>
              </w:rPr>
            </w:pPr>
            <w:r>
              <w:rPr>
                <w:rFonts w:hint="eastAsia" w:ascii="宋体" w:hAnsi="宋体" w:cs="微软雅黑"/>
                <w:kern w:val="0"/>
                <w:lang w:eastAsia="ja-JP"/>
              </w:rPr>
              <w:t>作用标准值产生的围檩悬臂段最大弯矩标准值</w:t>
            </w:r>
            <w:r>
              <w:rPr>
                <w:rFonts w:hint="eastAsia"/>
              </w:rPr>
              <w:t>（kN</w:t>
            </w:r>
            <w:r>
              <w:t>·</w:t>
            </w:r>
            <w:r>
              <w:rPr>
                <w:rFonts w:hint="eastAsia"/>
              </w:rPr>
              <w:t>m）</w:t>
            </w:r>
            <w:r>
              <w:rPr>
                <w:rFonts w:hint="eastAsia" w:ascii="宋体" w:hAnsi="宋体" w:cs="微软雅黑"/>
                <w:kern w:val="0"/>
                <w:lang w:eastAsia="ja-JP"/>
              </w:rPr>
              <w:t>；</w:t>
            </w:r>
          </w:p>
        </w:tc>
      </w:tr>
      <w:tr w14:paraId="5DA7B344">
        <w:tblPrEx>
          <w:tblCellMar>
            <w:top w:w="0" w:type="dxa"/>
            <w:left w:w="108" w:type="dxa"/>
            <w:bottom w:w="0" w:type="dxa"/>
            <w:right w:w="108" w:type="dxa"/>
          </w:tblCellMar>
        </w:tblPrEx>
        <w:tc>
          <w:tcPr>
            <w:tcW w:w="1846" w:type="dxa"/>
          </w:tcPr>
          <w:p w14:paraId="7191B179">
            <w:pPr>
              <w:spacing w:line="300" w:lineRule="auto"/>
              <w:ind w:right="-108"/>
              <w:jc w:val="center"/>
              <w:rPr>
                <w:i/>
                <w:kern w:val="0"/>
              </w:rPr>
            </w:pPr>
            <w:r>
              <w:rPr>
                <w:rFonts w:hint="eastAsia"/>
                <w:i/>
                <w:kern w:val="0"/>
              </w:rPr>
              <w:t xml:space="preserve">   l</w:t>
            </w:r>
            <w:r>
              <w:rPr>
                <w:rFonts w:hint="eastAsia"/>
                <w:i/>
                <w:kern w:val="0"/>
                <w:vertAlign w:val="subscript"/>
              </w:rPr>
              <w:t>b</w:t>
            </w:r>
            <w:r>
              <w:rPr>
                <w:rFonts w:hint="eastAsia"/>
                <w:kern w:val="0"/>
              </w:rPr>
              <w:t>—</w:t>
            </w:r>
          </w:p>
        </w:tc>
        <w:tc>
          <w:tcPr>
            <w:tcW w:w="6682" w:type="dxa"/>
            <w:vAlign w:val="center"/>
          </w:tcPr>
          <w:p w14:paraId="7D526989">
            <w:pPr>
              <w:snapToGrid w:val="0"/>
              <w:spacing w:line="300" w:lineRule="auto"/>
              <w:rPr>
                <w:kern w:val="0"/>
              </w:rPr>
            </w:pPr>
            <w:r>
              <w:rPr>
                <w:rFonts w:hint="eastAsia" w:ascii="宋体" w:hAnsi="宋体" w:cs="微软雅黑"/>
                <w:kern w:val="0"/>
              </w:rPr>
              <w:t>围檩悬臂段长度</w:t>
            </w:r>
            <w:r>
              <w:rPr>
                <w:rFonts w:hint="eastAsia"/>
              </w:rPr>
              <w:t>（m）</w:t>
            </w:r>
            <w:r>
              <w:rPr>
                <w:rFonts w:hint="eastAsia" w:ascii="宋体" w:hAnsi="宋体" w:cs="微软雅黑"/>
                <w:kern w:val="0"/>
              </w:rPr>
              <w:t>。</w:t>
            </w:r>
          </w:p>
        </w:tc>
      </w:tr>
    </w:tbl>
    <w:p w14:paraId="05951358">
      <w:r>
        <w:rPr>
          <w:rFonts w:hint="eastAsia"/>
        </w:rPr>
        <w:t>5.2.</w:t>
      </w:r>
      <w:r>
        <w:t>1</w:t>
      </w:r>
      <w:r>
        <w:rPr>
          <w:rFonts w:hint="eastAsia"/>
        </w:rPr>
        <w:t>7</w:t>
      </w:r>
      <w:r>
        <w:t xml:space="preserve">  钢板桩不宜直接承受重型压载，当承受重型压载时，尚需</w:t>
      </w:r>
      <w:r>
        <w:rPr>
          <w:rFonts w:hint="eastAsia"/>
        </w:rPr>
        <w:t>复核</w:t>
      </w:r>
      <w:r>
        <w:t>桩体压屈稳定性。</w:t>
      </w:r>
    </w:p>
    <w:p w14:paraId="4313D010"/>
    <w:p w14:paraId="6A21DF62">
      <w:r>
        <w:rPr>
          <w:rFonts w:hint="eastAsia"/>
        </w:rPr>
        <w:t>5.2.18  静压钢板桩的最大压桩阻力宜根据试压桩或地区经验确定，无试压桩或地区经验时，可按下式估算：</w:t>
      </w:r>
    </w:p>
    <w:p w14:paraId="3083B02F">
      <w:pPr>
        <w:spacing w:line="300" w:lineRule="auto"/>
        <w:jc w:val="center"/>
        <w:rPr>
          <w:szCs w:val="24"/>
        </w:rPr>
      </w:pPr>
      <w:r>
        <w:rPr>
          <w:rFonts w:hint="eastAsia"/>
          <w:position w:val="-14"/>
          <w:szCs w:val="24"/>
        </w:rPr>
        <w:t xml:space="preserve">                      </w:t>
      </w:r>
      <w:r>
        <w:rPr>
          <w:position w:val="-14"/>
          <w:szCs w:val="24"/>
        </w:rPr>
        <w:object>
          <v:shape id="_x0000_i1051" o:spt="75" type="#_x0000_t75" style="height:20.15pt;width:119.15pt;" o:ole="t" filled="f" o:preferrelative="t" stroked="f" coordsize="21600,21600">
            <v:path/>
            <v:fill on="f" focussize="0,0"/>
            <v:stroke on="f" joinstyle="miter"/>
            <v:imagedata r:id="rId78" o:title=""/>
            <o:lock v:ext="edit" aspectratio="f"/>
            <w10:wrap type="none"/>
            <w10:anchorlock/>
          </v:shape>
          <o:OLEObject Type="Embed" ProgID="Equation.DSMT4" ShapeID="_x0000_i1051" DrawAspect="Content" ObjectID="_1468075751" r:id="rId77">
            <o:LockedField>false</o:LockedField>
          </o:OLEObject>
        </w:object>
      </w:r>
      <w:r>
        <w:rPr>
          <w:rFonts w:hint="eastAsia"/>
          <w:position w:val="-14"/>
          <w:szCs w:val="24"/>
        </w:rPr>
        <w:t xml:space="preserve">   </w:t>
      </w:r>
      <w:r>
        <w:rPr>
          <w:position w:val="-14"/>
          <w:szCs w:val="24"/>
        </w:rPr>
        <w:t xml:space="preserve"> </w:t>
      </w:r>
      <w:r>
        <w:rPr>
          <w:rFonts w:hint="eastAsia"/>
          <w:position w:val="-14"/>
          <w:szCs w:val="24"/>
        </w:rPr>
        <w:t xml:space="preserve">   </w:t>
      </w:r>
      <w:r>
        <w:rPr>
          <w:position w:val="-14"/>
          <w:szCs w:val="24"/>
        </w:rPr>
        <w:t xml:space="preserve">     </w:t>
      </w:r>
      <w:r>
        <w:rPr>
          <w:rFonts w:hint="eastAsia"/>
          <w:position w:val="-14"/>
          <w:szCs w:val="24"/>
        </w:rPr>
        <w:t xml:space="preserve">       </w:t>
      </w:r>
      <w:r>
        <w:rPr>
          <w:rFonts w:hint="eastAsia"/>
          <w:position w:val="-12"/>
          <w:szCs w:val="24"/>
        </w:rPr>
        <w:t>（5.2.18）</w:t>
      </w:r>
    </w:p>
    <w:tbl>
      <w:tblPr>
        <w:tblStyle w:val="17"/>
        <w:tblW w:w="8528" w:type="dxa"/>
        <w:tblInd w:w="0" w:type="dxa"/>
        <w:tblLayout w:type="fixed"/>
        <w:tblCellMar>
          <w:top w:w="0" w:type="dxa"/>
          <w:left w:w="108" w:type="dxa"/>
          <w:bottom w:w="0" w:type="dxa"/>
          <w:right w:w="108" w:type="dxa"/>
        </w:tblCellMar>
      </w:tblPr>
      <w:tblGrid>
        <w:gridCol w:w="1533"/>
        <w:gridCol w:w="6995"/>
      </w:tblGrid>
      <w:tr w14:paraId="40CBB287">
        <w:tblPrEx>
          <w:tblCellMar>
            <w:top w:w="0" w:type="dxa"/>
            <w:left w:w="108" w:type="dxa"/>
            <w:bottom w:w="0" w:type="dxa"/>
            <w:right w:w="108" w:type="dxa"/>
          </w:tblCellMar>
        </w:tblPrEx>
        <w:tc>
          <w:tcPr>
            <w:tcW w:w="1533" w:type="dxa"/>
          </w:tcPr>
          <w:p w14:paraId="470ABF09">
            <w:pPr>
              <w:spacing w:line="300" w:lineRule="auto"/>
              <w:ind w:right="-108"/>
            </w:pPr>
            <w:r>
              <w:rPr>
                <w:rFonts w:hint="eastAsia"/>
                <w:kern w:val="0"/>
              </w:rPr>
              <w:t>式中：</w:t>
            </w:r>
            <w:r>
              <w:rPr>
                <w:rFonts w:hint="eastAsia"/>
                <w:i/>
                <w:kern w:val="0"/>
              </w:rPr>
              <w:t>Q</w:t>
            </w:r>
            <w:r>
              <w:rPr>
                <w:rFonts w:hint="eastAsia"/>
                <w:i/>
                <w:kern w:val="0"/>
                <w:vertAlign w:val="subscript"/>
              </w:rPr>
              <w:t>uk</w:t>
            </w:r>
            <w:r>
              <w:rPr>
                <w:rFonts w:hint="eastAsia"/>
                <w:i/>
                <w:kern w:val="0"/>
              </w:rPr>
              <w:t>—</w:t>
            </w:r>
          </w:p>
        </w:tc>
        <w:tc>
          <w:tcPr>
            <w:tcW w:w="6995" w:type="dxa"/>
            <w:vAlign w:val="center"/>
          </w:tcPr>
          <w:p w14:paraId="024F8C72">
            <w:pPr>
              <w:snapToGrid w:val="0"/>
              <w:spacing w:line="300" w:lineRule="auto"/>
            </w:pPr>
            <w:r>
              <w:rPr>
                <w:rFonts w:hint="eastAsia"/>
                <w:kern w:val="0"/>
              </w:rPr>
              <w:t>施工时的压桩阻力估算值（</w:t>
            </w:r>
            <w:r>
              <w:rPr>
                <w:rFonts w:hint="eastAsia"/>
              </w:rPr>
              <w:t>kN</w:t>
            </w:r>
            <w:r>
              <w:rPr>
                <w:rFonts w:hint="eastAsia"/>
                <w:kern w:val="0"/>
              </w:rPr>
              <w:t>）；</w:t>
            </w:r>
          </w:p>
        </w:tc>
      </w:tr>
      <w:tr w14:paraId="26991141">
        <w:tblPrEx>
          <w:tblCellMar>
            <w:top w:w="0" w:type="dxa"/>
            <w:left w:w="108" w:type="dxa"/>
            <w:bottom w:w="0" w:type="dxa"/>
            <w:right w:w="108" w:type="dxa"/>
          </w:tblCellMar>
        </w:tblPrEx>
        <w:tc>
          <w:tcPr>
            <w:tcW w:w="1533" w:type="dxa"/>
          </w:tcPr>
          <w:p w14:paraId="618CB8F7">
            <w:pPr>
              <w:spacing w:line="300" w:lineRule="auto"/>
              <w:ind w:right="-108"/>
              <w:jc w:val="center"/>
              <w:rPr>
                <w:i/>
              </w:rPr>
            </w:pPr>
            <w:r>
              <w:rPr>
                <w:rFonts w:hint="eastAsia"/>
                <w:i/>
                <w:kern w:val="0"/>
              </w:rPr>
              <w:t xml:space="preserve">    u</w:t>
            </w:r>
            <w:r>
              <w:rPr>
                <w:rFonts w:hint="eastAsia"/>
              </w:rPr>
              <w:t>—</w:t>
            </w:r>
          </w:p>
        </w:tc>
        <w:tc>
          <w:tcPr>
            <w:tcW w:w="6995" w:type="dxa"/>
            <w:vAlign w:val="center"/>
          </w:tcPr>
          <w:p w14:paraId="6EA0B6FE">
            <w:pPr>
              <w:snapToGrid w:val="0"/>
              <w:spacing w:line="300" w:lineRule="auto"/>
            </w:pPr>
            <w:r>
              <w:rPr>
                <w:rFonts w:hint="eastAsia"/>
                <w:kern w:val="0"/>
              </w:rPr>
              <w:t>桩身周长（</w:t>
            </w:r>
            <w:r>
              <w:rPr>
                <w:kern w:val="0"/>
              </w:rPr>
              <w:t>m</w:t>
            </w:r>
            <w:r>
              <w:rPr>
                <w:rFonts w:hint="eastAsia"/>
                <w:kern w:val="0"/>
              </w:rPr>
              <w:t>）；</w:t>
            </w:r>
          </w:p>
        </w:tc>
      </w:tr>
      <w:tr w14:paraId="320CAECC">
        <w:tblPrEx>
          <w:tblCellMar>
            <w:top w:w="0" w:type="dxa"/>
            <w:left w:w="108" w:type="dxa"/>
            <w:bottom w:w="0" w:type="dxa"/>
            <w:right w:w="108" w:type="dxa"/>
          </w:tblCellMar>
        </w:tblPrEx>
        <w:tc>
          <w:tcPr>
            <w:tcW w:w="1533" w:type="dxa"/>
          </w:tcPr>
          <w:p w14:paraId="5937C281">
            <w:pPr>
              <w:spacing w:line="300" w:lineRule="auto"/>
              <w:ind w:right="-108"/>
              <w:jc w:val="center"/>
              <w:rPr>
                <w:i/>
              </w:rPr>
            </w:pPr>
            <w:r>
              <w:rPr>
                <w:rFonts w:hint="eastAsia"/>
                <w:i/>
                <w:kern w:val="0"/>
              </w:rPr>
              <w:t xml:space="preserve">   q</w:t>
            </w:r>
            <w:r>
              <w:rPr>
                <w:rFonts w:hint="eastAsia"/>
                <w:i/>
                <w:kern w:val="0"/>
                <w:vertAlign w:val="subscript"/>
              </w:rPr>
              <w:t>sik</w:t>
            </w:r>
            <w:r>
              <w:rPr>
                <w:rFonts w:hint="eastAsia"/>
              </w:rPr>
              <w:t>—</w:t>
            </w:r>
          </w:p>
        </w:tc>
        <w:tc>
          <w:tcPr>
            <w:tcW w:w="6995" w:type="dxa"/>
            <w:vAlign w:val="center"/>
          </w:tcPr>
          <w:p w14:paraId="4B2DAB2D">
            <w:pPr>
              <w:snapToGrid w:val="0"/>
              <w:spacing w:line="300" w:lineRule="auto"/>
            </w:pPr>
            <w:r>
              <w:rPr>
                <w:rFonts w:hint="eastAsia"/>
                <w:kern w:val="0"/>
              </w:rPr>
              <w:t>桩侧第</w:t>
            </w:r>
            <w:r>
              <w:rPr>
                <w:rFonts w:hint="eastAsia"/>
                <w:i/>
                <w:iCs/>
                <w:kern w:val="0"/>
              </w:rPr>
              <w:t>i</w:t>
            </w:r>
            <w:r>
              <w:rPr>
                <w:rFonts w:hint="eastAsia"/>
                <w:kern w:val="0"/>
              </w:rPr>
              <w:t>层土的极限侧阻力标准值（kPa），按岩土工程勘察报告提供的参数采用；</w:t>
            </w:r>
          </w:p>
        </w:tc>
      </w:tr>
      <w:tr w14:paraId="0AB738D5">
        <w:tblPrEx>
          <w:tblCellMar>
            <w:top w:w="0" w:type="dxa"/>
            <w:left w:w="108" w:type="dxa"/>
            <w:bottom w:w="0" w:type="dxa"/>
            <w:right w:w="108" w:type="dxa"/>
          </w:tblCellMar>
        </w:tblPrEx>
        <w:tc>
          <w:tcPr>
            <w:tcW w:w="1533" w:type="dxa"/>
          </w:tcPr>
          <w:p w14:paraId="2B9A8C98">
            <w:pPr>
              <w:spacing w:line="300" w:lineRule="auto"/>
              <w:ind w:right="-108"/>
              <w:jc w:val="center"/>
              <w:rPr>
                <w:i/>
                <w:kern w:val="0"/>
              </w:rPr>
            </w:pPr>
            <w:r>
              <w:rPr>
                <w:rFonts w:hint="eastAsia"/>
                <w:i/>
                <w:kern w:val="0"/>
              </w:rPr>
              <w:t xml:space="preserve">  q</w:t>
            </w:r>
            <w:r>
              <w:rPr>
                <w:rFonts w:hint="eastAsia"/>
                <w:i/>
                <w:kern w:val="0"/>
                <w:vertAlign w:val="subscript"/>
              </w:rPr>
              <w:t>pk</w:t>
            </w:r>
            <w:r>
              <w:rPr>
                <w:rFonts w:hint="eastAsia"/>
              </w:rPr>
              <w:t>—</w:t>
            </w:r>
          </w:p>
        </w:tc>
        <w:tc>
          <w:tcPr>
            <w:tcW w:w="6995" w:type="dxa"/>
            <w:vAlign w:val="center"/>
          </w:tcPr>
          <w:p w14:paraId="63107DCE">
            <w:pPr>
              <w:snapToGrid w:val="0"/>
              <w:spacing w:line="300" w:lineRule="auto"/>
              <w:rPr>
                <w:kern w:val="0"/>
              </w:rPr>
            </w:pPr>
            <w:r>
              <w:rPr>
                <w:rFonts w:hint="eastAsia"/>
                <w:kern w:val="0"/>
              </w:rPr>
              <w:t>桩端处土的极限端阻力标准值（kPa），按岩土工程勘察报告提供的参数采用；</w:t>
            </w:r>
          </w:p>
        </w:tc>
      </w:tr>
      <w:tr w14:paraId="76C3DAA1">
        <w:tblPrEx>
          <w:tblCellMar>
            <w:top w:w="0" w:type="dxa"/>
            <w:left w:w="108" w:type="dxa"/>
            <w:bottom w:w="0" w:type="dxa"/>
            <w:right w:w="108" w:type="dxa"/>
          </w:tblCellMar>
        </w:tblPrEx>
        <w:tc>
          <w:tcPr>
            <w:tcW w:w="1533" w:type="dxa"/>
          </w:tcPr>
          <w:p w14:paraId="320BF38F">
            <w:pPr>
              <w:spacing w:line="300" w:lineRule="auto"/>
              <w:ind w:right="-108"/>
              <w:jc w:val="center"/>
              <w:rPr>
                <w:i/>
                <w:kern w:val="0"/>
              </w:rPr>
            </w:pPr>
            <w:r>
              <w:rPr>
                <w:rFonts w:hint="eastAsia"/>
                <w:i/>
                <w:kern w:val="0"/>
              </w:rPr>
              <w:t xml:space="preserve">  l</w:t>
            </w:r>
            <w:r>
              <w:rPr>
                <w:rFonts w:hint="eastAsia"/>
                <w:i/>
                <w:kern w:val="0"/>
                <w:vertAlign w:val="subscript"/>
              </w:rPr>
              <w:t>i</w:t>
            </w:r>
            <w:r>
              <w:rPr>
                <w:rFonts w:hint="eastAsia"/>
                <w:kern w:val="0"/>
              </w:rPr>
              <w:t>—</w:t>
            </w:r>
          </w:p>
        </w:tc>
        <w:tc>
          <w:tcPr>
            <w:tcW w:w="6995" w:type="dxa"/>
            <w:vAlign w:val="center"/>
          </w:tcPr>
          <w:p w14:paraId="0F8B86ED">
            <w:pPr>
              <w:snapToGrid w:val="0"/>
              <w:spacing w:line="300" w:lineRule="auto"/>
              <w:rPr>
                <w:kern w:val="0"/>
              </w:rPr>
            </w:pPr>
            <w:r>
              <w:rPr>
                <w:rFonts w:hint="eastAsia"/>
                <w:kern w:val="0"/>
              </w:rPr>
              <w:t>第</w:t>
            </w:r>
            <w:r>
              <w:rPr>
                <w:rFonts w:hint="eastAsia"/>
                <w:i/>
                <w:iCs/>
                <w:kern w:val="0"/>
              </w:rPr>
              <w:t>i</w:t>
            </w:r>
            <w:r>
              <w:rPr>
                <w:rFonts w:hint="eastAsia"/>
                <w:kern w:val="0"/>
              </w:rPr>
              <w:t xml:space="preserve">层土的厚度（m）； </w:t>
            </w:r>
          </w:p>
        </w:tc>
      </w:tr>
      <w:tr w14:paraId="6DFED1DD">
        <w:tblPrEx>
          <w:tblCellMar>
            <w:top w:w="0" w:type="dxa"/>
            <w:left w:w="108" w:type="dxa"/>
            <w:bottom w:w="0" w:type="dxa"/>
            <w:right w:w="108" w:type="dxa"/>
          </w:tblCellMar>
        </w:tblPrEx>
        <w:tc>
          <w:tcPr>
            <w:tcW w:w="1533" w:type="dxa"/>
          </w:tcPr>
          <w:p w14:paraId="52A75CF4">
            <w:pPr>
              <w:spacing w:line="300" w:lineRule="auto"/>
              <w:ind w:right="-108"/>
              <w:jc w:val="center"/>
              <w:rPr>
                <w:i/>
                <w:kern w:val="0"/>
              </w:rPr>
            </w:pPr>
            <w:r>
              <w:rPr>
                <w:rFonts w:hint="eastAsia"/>
                <w:kern w:val="0"/>
              </w:rPr>
              <w:t xml:space="preserve">  A</w:t>
            </w:r>
            <w:r>
              <w:rPr>
                <w:rFonts w:hint="eastAsia"/>
                <w:i/>
                <w:iCs/>
                <w:kern w:val="0"/>
                <w:vertAlign w:val="subscript"/>
              </w:rPr>
              <w:t>p</w:t>
            </w:r>
            <w:r>
              <w:rPr>
                <w:kern w:val="0"/>
              </w:rPr>
              <w:t>—</w:t>
            </w:r>
          </w:p>
        </w:tc>
        <w:tc>
          <w:tcPr>
            <w:tcW w:w="6995" w:type="dxa"/>
            <w:vAlign w:val="center"/>
          </w:tcPr>
          <w:p w14:paraId="79A5F040">
            <w:pPr>
              <w:snapToGrid w:val="0"/>
              <w:spacing w:line="300" w:lineRule="auto"/>
              <w:rPr>
                <w:kern w:val="0"/>
              </w:rPr>
            </w:pPr>
            <w:r>
              <w:rPr>
                <w:rFonts w:hint="eastAsia"/>
                <w:kern w:val="0"/>
              </w:rPr>
              <w:t>桩端面积（m</w:t>
            </w:r>
            <w:r>
              <w:rPr>
                <w:rFonts w:hint="eastAsia"/>
                <w:kern w:val="0"/>
                <w:vertAlign w:val="superscript"/>
              </w:rPr>
              <w:t>2</w:t>
            </w:r>
            <w:r>
              <w:rPr>
                <w:rFonts w:hint="eastAsia"/>
                <w:kern w:val="0"/>
              </w:rPr>
              <w:t>）；</w:t>
            </w:r>
          </w:p>
        </w:tc>
      </w:tr>
      <w:tr w14:paraId="039500B5">
        <w:tblPrEx>
          <w:tblCellMar>
            <w:top w:w="0" w:type="dxa"/>
            <w:left w:w="108" w:type="dxa"/>
            <w:bottom w:w="0" w:type="dxa"/>
            <w:right w:w="108" w:type="dxa"/>
          </w:tblCellMar>
        </w:tblPrEx>
        <w:tc>
          <w:tcPr>
            <w:tcW w:w="1533" w:type="dxa"/>
          </w:tcPr>
          <w:p w14:paraId="63C60CFC">
            <w:pPr>
              <w:spacing w:line="360" w:lineRule="auto"/>
              <w:ind w:right="102"/>
              <w:jc w:val="center"/>
              <w:rPr>
                <w:position w:val="-14"/>
              </w:rPr>
            </w:pPr>
            <w:r>
              <w:rPr>
                <w:rFonts w:hint="eastAsia"/>
                <w:kern w:val="0"/>
              </w:rPr>
              <w:t xml:space="preserve">    </w:t>
            </w:r>
            <w:r>
              <w:rPr>
                <w:kern w:val="0"/>
              </w:rPr>
              <w:t>λ—</w:t>
            </w:r>
          </w:p>
        </w:tc>
        <w:tc>
          <w:tcPr>
            <w:tcW w:w="6995" w:type="dxa"/>
            <w:vAlign w:val="center"/>
          </w:tcPr>
          <w:p w14:paraId="3FED0992">
            <w:pPr>
              <w:snapToGrid w:val="0"/>
              <w:spacing w:line="360" w:lineRule="auto"/>
              <w:rPr>
                <w:kern w:val="0"/>
              </w:rPr>
            </w:pPr>
            <w:r>
              <w:rPr>
                <w:rFonts w:hint="eastAsia"/>
              </w:rPr>
              <w:t>桩侧极限侧阻力折减系数，取值0.6~0.8。</w:t>
            </w:r>
          </w:p>
        </w:tc>
      </w:tr>
    </w:tbl>
    <w:p w14:paraId="0648CAFE">
      <w:bookmarkStart w:id="27" w:name="_Toc29844"/>
      <w:bookmarkStart w:id="28" w:name="_Toc27480"/>
    </w:p>
    <w:p w14:paraId="31A01E55">
      <w:pPr>
        <w:pStyle w:val="3"/>
        <w:spacing w:before="312" w:beforeLines="100"/>
        <w:ind w:firstLine="281"/>
      </w:pPr>
      <w:r>
        <w:rPr>
          <w:rFonts w:hint="eastAsia"/>
        </w:rPr>
        <w:t>5.3  布置与构造</w:t>
      </w:r>
      <w:bookmarkEnd w:id="27"/>
      <w:bookmarkEnd w:id="28"/>
    </w:p>
    <w:p w14:paraId="66B87539">
      <w:r>
        <w:rPr>
          <w:rFonts w:hint="eastAsia"/>
        </w:rPr>
        <w:t>5.3.</w:t>
      </w:r>
      <w:r>
        <w:t xml:space="preserve">1  </w:t>
      </w:r>
      <w:r>
        <w:rPr>
          <w:rFonts w:hint="eastAsia"/>
        </w:rPr>
        <w:t>静压钢板桩截面宜采用U型，宜采用整材，截面型号及参数可按参考附录B选用。</w:t>
      </w:r>
    </w:p>
    <w:p w14:paraId="4D75FD73">
      <w:r>
        <w:rPr>
          <w:rFonts w:hint="eastAsia"/>
        </w:rPr>
        <w:t>5.3.</w:t>
      </w:r>
      <w:r>
        <w:t>2</w:t>
      </w:r>
      <w:r>
        <w:rPr>
          <w:rFonts w:hint="eastAsia"/>
        </w:rPr>
        <w:t xml:space="preserve">  钢板桩的平面布置宜平直，避免不规则的转角，平面尺寸应符合钢板桩模数的要求。</w:t>
      </w:r>
    </w:p>
    <w:p w14:paraId="4288F447">
      <w:r>
        <w:rPr>
          <w:rFonts w:hint="eastAsia"/>
        </w:rPr>
        <w:t>5.3.</w:t>
      </w:r>
      <w:r>
        <w:t>3</w:t>
      </w:r>
      <w:r>
        <w:rPr>
          <w:rFonts w:hint="eastAsia"/>
        </w:rPr>
        <w:t xml:space="preserve">  平面向内凸出的阳角宜设置可靠的双向约束。嵌固部位为软土时，宜对嵌固部位土体进行加固。</w:t>
      </w:r>
    </w:p>
    <w:p w14:paraId="1B1016EB">
      <w:r>
        <w:rPr>
          <w:rFonts w:hint="eastAsia"/>
        </w:rPr>
        <w:t>5.3.</w:t>
      </w:r>
      <w:r>
        <w:t>4</w:t>
      </w:r>
      <w:r>
        <w:rPr>
          <w:rFonts w:hint="eastAsia"/>
        </w:rPr>
        <w:t xml:space="preserve">  钢板桩转角应设置转角桩，并宜在转角采取加强措施。</w:t>
      </w:r>
    </w:p>
    <w:p w14:paraId="534C0804">
      <w:r>
        <w:rPr>
          <w:rFonts w:hint="eastAsia"/>
        </w:rPr>
        <w:t>5.3.</w:t>
      </w:r>
      <w:r>
        <w:t>5</w:t>
      </w:r>
      <w:r>
        <w:rPr>
          <w:rFonts w:hint="eastAsia"/>
        </w:rPr>
        <w:t xml:space="preserve">  钢板桩的转角桩，宜采用成型锁口产品焊接而成，也可由原钢板桩沿纵向割下的带锁口的肢体焊接而成。</w:t>
      </w:r>
    </w:p>
    <w:p w14:paraId="26DC68B5">
      <w:r>
        <w:rPr>
          <w:rFonts w:hint="eastAsia"/>
        </w:rPr>
        <w:t>5.3.6  钢板桩的设计长度应满足计算要求，宜符合定尺长度，也可结合既有的型钢板桩长度设计。</w:t>
      </w:r>
    </w:p>
    <w:p w14:paraId="70A9A6C4">
      <w:r>
        <w:rPr>
          <w:rFonts w:hint="eastAsia"/>
        </w:rPr>
        <w:t>5</w:t>
      </w:r>
      <w:r>
        <w:t>.</w:t>
      </w:r>
      <w:r>
        <w:rPr>
          <w:rFonts w:hint="eastAsia"/>
        </w:rPr>
        <w:t>3.7</w:t>
      </w:r>
      <w:r>
        <w:t xml:space="preserve"> </w:t>
      </w:r>
      <w:r>
        <w:rPr>
          <w:rFonts w:hint="eastAsia"/>
        </w:rPr>
        <w:t xml:space="preserve"> </w:t>
      </w:r>
      <w:r>
        <w:t>钢板桩长度小于等于18m时不宜设置接头</w:t>
      </w:r>
      <w:r>
        <w:rPr>
          <w:rFonts w:hint="eastAsia"/>
        </w:rPr>
        <w:t>，</w:t>
      </w:r>
      <w:r>
        <w:t>如接头不可避免时</w:t>
      </w:r>
      <w:r>
        <w:rPr>
          <w:rFonts w:hint="eastAsia"/>
        </w:rPr>
        <w:t>，</w:t>
      </w:r>
      <w:r>
        <w:t>应选择桩身受力较小的部位设置</w:t>
      </w:r>
      <w:r>
        <w:rPr>
          <w:rFonts w:hint="eastAsia"/>
        </w:rPr>
        <w:t>，</w:t>
      </w:r>
      <w:r>
        <w:t>且接头处宜采取等强拼接。</w:t>
      </w:r>
    </w:p>
    <w:p w14:paraId="376FA431">
      <w:r>
        <w:rPr>
          <w:rFonts w:hint="eastAsia"/>
        </w:rPr>
        <w:t>5.3.8  钢板桩支护结构宜</w:t>
      </w:r>
      <w:r>
        <w:t>设置完整、封闭的冠梁。冠梁可采用H型钢、组合型钢、钢筋混凝土梁，并与支锚体系连成整体。冠梁为钢筋混凝土时，混凝土强度等级不应低于C30。</w:t>
      </w:r>
    </w:p>
    <w:p w14:paraId="50FAB05C">
      <w:r>
        <w:rPr>
          <w:rFonts w:hint="eastAsia"/>
        </w:rPr>
        <w:t>5</w:t>
      </w:r>
      <w:r>
        <w:t>.</w:t>
      </w:r>
      <w:r>
        <w:rPr>
          <w:rFonts w:hint="eastAsia"/>
        </w:rPr>
        <w:t>3</w:t>
      </w:r>
      <w:r>
        <w:t>.</w:t>
      </w:r>
      <w:r>
        <w:rPr>
          <w:rFonts w:hint="eastAsia"/>
        </w:rPr>
        <w:t xml:space="preserve">9  </w:t>
      </w:r>
      <w:r>
        <w:t>钢板桩冠梁构造应符合下列要求</w:t>
      </w:r>
      <w:r>
        <w:rPr>
          <w:rFonts w:hint="eastAsia"/>
        </w:rPr>
        <w:t>：</w:t>
      </w:r>
    </w:p>
    <w:p w14:paraId="3C4C9AFB">
      <w:pPr>
        <w:ind w:firstLine="420" w:firstLineChars="200"/>
      </w:pPr>
      <w:r>
        <w:t>1 钢冠梁可采用单根型钢或型钢组合构件，型钢与钢板桩应采用螺栓连接或焊接连接</w:t>
      </w:r>
      <w:r>
        <w:rPr>
          <w:rFonts w:hint="eastAsia"/>
        </w:rPr>
        <w:t>，</w:t>
      </w:r>
      <w:r>
        <w:t>其构造应符合现行国家标准《钢结构设计标准》GB50017的规定</w:t>
      </w:r>
      <w:r>
        <w:rPr>
          <w:rFonts w:hint="eastAsia"/>
        </w:rPr>
        <w:t>；</w:t>
      </w:r>
    </w:p>
    <w:p w14:paraId="61E255B0">
      <w:pPr>
        <w:ind w:firstLine="420" w:firstLineChars="200"/>
      </w:pPr>
      <w:r>
        <w:t>2 钢冠梁与钢板桩之间的局部间隙应根据间隙大小加工钢板或型钢垫块顶紧焊牢</w:t>
      </w:r>
      <w:r>
        <w:rPr>
          <w:rFonts w:hint="eastAsia"/>
        </w:rPr>
        <w:t>；</w:t>
      </w:r>
    </w:p>
    <w:p w14:paraId="42FE3E38">
      <w:pPr>
        <w:ind w:firstLine="420" w:firstLineChars="200"/>
      </w:pPr>
      <w:r>
        <w:t>3 钢筋混凝土冠梁钢筋应符合现行国家标准《混凝土结构设计规范》GB50010对梁的构造配筋要求</w:t>
      </w:r>
      <w:r>
        <w:rPr>
          <w:rFonts w:hint="eastAsia"/>
        </w:rPr>
        <w:t>；</w:t>
      </w:r>
    </w:p>
    <w:p w14:paraId="2EA5B8CC">
      <w:pPr>
        <w:ind w:firstLine="420" w:firstLineChars="200"/>
      </w:pPr>
      <w:r>
        <w:t>4 钢筋混凝土冠梁应封闭</w:t>
      </w:r>
      <w:r>
        <w:rPr>
          <w:rFonts w:hint="eastAsia"/>
        </w:rPr>
        <w:t>，</w:t>
      </w:r>
      <w:r>
        <w:t>冠梁竖向高度不宜小于500mm</w:t>
      </w:r>
      <w:r>
        <w:rPr>
          <w:rFonts w:hint="eastAsia"/>
        </w:rPr>
        <w:t>，</w:t>
      </w:r>
      <w:r>
        <w:t>冠梁外边缘距离钢板桩外边缘不应小于75mm</w:t>
      </w:r>
      <w:r>
        <w:rPr>
          <w:rFonts w:hint="eastAsia"/>
        </w:rPr>
        <w:t>；</w:t>
      </w:r>
    </w:p>
    <w:p w14:paraId="26AF2468">
      <w:pPr>
        <w:ind w:firstLine="420" w:firstLineChars="200"/>
      </w:pPr>
      <w:r>
        <w:t>5 钢板桩墙伸</w:t>
      </w:r>
      <w:r>
        <w:rPr>
          <w:rFonts w:hint="eastAsia"/>
        </w:rPr>
        <w:t>入</w:t>
      </w:r>
      <w:r>
        <w:t>钢筋混凝土冠梁内不宜小于1倍钢板桩墙截面高度且不宜小于梁高</w:t>
      </w:r>
      <w:r>
        <w:rPr>
          <w:rFonts w:hint="eastAsia"/>
        </w:rPr>
        <w:t>；</w:t>
      </w:r>
      <w:r>
        <w:t>仅起桩间挡土作用的钢板伸入钢筋混凝土冠梁内不得小于100mm</w:t>
      </w:r>
      <w:r>
        <w:rPr>
          <w:rFonts w:hint="eastAsia"/>
        </w:rPr>
        <w:t>；</w:t>
      </w:r>
    </w:p>
    <w:p w14:paraId="28146966">
      <w:pPr>
        <w:ind w:firstLine="420" w:firstLineChars="200"/>
      </w:pPr>
      <w:r>
        <w:t xml:space="preserve">6 </w:t>
      </w:r>
      <w:r>
        <w:rPr>
          <w:rFonts w:hint="eastAsia" w:ascii="宋体" w:hAnsi="宋体" w:cs="宋体"/>
        </w:rPr>
        <w:t>钢筋混凝土冠梁兼做支撑、锚杆(索)围檩时，钢板桩与冠梁间不应设置隔离材料</w:t>
      </w:r>
      <w:r>
        <w:t>。</w:t>
      </w:r>
    </w:p>
    <w:p w14:paraId="321C29B3"/>
    <w:p w14:paraId="7D7881FA">
      <w:r>
        <w:rPr>
          <w:rFonts w:hint="eastAsia"/>
        </w:rPr>
        <w:t>5</w:t>
      </w:r>
      <w:r>
        <w:t>.</w:t>
      </w:r>
      <w:r>
        <w:rPr>
          <w:rFonts w:hint="eastAsia"/>
        </w:rPr>
        <w:t>3</w:t>
      </w:r>
      <w:r>
        <w:t>.</w:t>
      </w:r>
      <w:r>
        <w:rPr>
          <w:rFonts w:hint="eastAsia"/>
        </w:rPr>
        <w:t xml:space="preserve">10 </w:t>
      </w:r>
      <w:r>
        <w:t xml:space="preserve"> </w:t>
      </w:r>
      <w:r>
        <w:rPr>
          <w:rFonts w:hint="eastAsia" w:ascii="宋体" w:hAnsi="宋体" w:cs="宋体"/>
        </w:rPr>
        <w:t>钢板桩支护结构中内支撑、锚杆(索)与钢板桩墙宜采用钢围檩连接，钢围檩与钢板桩墙的常用的连接方式如下图所示</w:t>
      </w:r>
      <w:r>
        <w:rPr>
          <w:rFonts w:hint="eastAsia"/>
        </w:rPr>
        <w:t>：</w:t>
      </w:r>
    </w:p>
    <w:p w14:paraId="131F5EBE">
      <w:pPr>
        <w:spacing w:line="240" w:lineRule="auto"/>
        <w:jc w:val="center"/>
      </w:pPr>
      <w:r>
        <w:drawing>
          <wp:inline distT="0" distB="0" distL="114300" distR="114300">
            <wp:extent cx="5306060" cy="3888105"/>
            <wp:effectExtent l="0" t="0" r="1270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9"/>
                    <a:stretch>
                      <a:fillRect/>
                    </a:stretch>
                  </pic:blipFill>
                  <pic:spPr>
                    <a:xfrm>
                      <a:off x="0" y="0"/>
                      <a:ext cx="5306060" cy="3888105"/>
                    </a:xfrm>
                    <a:prstGeom prst="rect">
                      <a:avLst/>
                    </a:prstGeom>
                    <a:noFill/>
                    <a:ln>
                      <a:noFill/>
                    </a:ln>
                  </pic:spPr>
                </pic:pic>
              </a:graphicData>
            </a:graphic>
          </wp:inline>
        </w:drawing>
      </w:r>
    </w:p>
    <w:p w14:paraId="35824982">
      <w:pPr>
        <w:jc w:val="center"/>
      </w:pPr>
      <w:r>
        <w:rPr>
          <w:rFonts w:hint="eastAsia"/>
        </w:rPr>
        <w:t>图5.3.10  钢围檩做法</w:t>
      </w:r>
    </w:p>
    <w:p w14:paraId="624AD9B0">
      <w:r>
        <w:rPr>
          <w:rFonts w:hint="eastAsia"/>
        </w:rPr>
        <w:t xml:space="preserve">5.3.11  </w:t>
      </w:r>
      <w:r>
        <w:t>钢支撑与冠梁、围檩斜交时，应在冠梁、围檩与支护结构之间应设置剪力传递构件，其规格、数量、位置和构造应满足《钢结构设计标准》GB50017相关的要求。</w:t>
      </w:r>
    </w:p>
    <w:p w14:paraId="6C8E307E">
      <w:r>
        <w:rPr>
          <w:rFonts w:hint="eastAsia"/>
        </w:rPr>
        <w:t xml:space="preserve">5.3.12  </w:t>
      </w:r>
      <w:r>
        <w:t>钢围檩的构造应符合下列规定</w:t>
      </w:r>
      <w:r>
        <w:rPr>
          <w:rFonts w:hint="eastAsia"/>
        </w:rPr>
        <w:t>：</w:t>
      </w:r>
    </w:p>
    <w:p w14:paraId="25E73FC5">
      <w:pPr>
        <w:ind w:firstLine="420" w:firstLineChars="200"/>
      </w:pPr>
      <w:r>
        <w:rPr>
          <w:rFonts w:hint="eastAsia"/>
        </w:rPr>
        <w:t xml:space="preserve">1 </w:t>
      </w:r>
      <w:r>
        <w:t>围檩的截面宽度不应小于300mm</w:t>
      </w:r>
      <w:r>
        <w:rPr>
          <w:rFonts w:hint="eastAsia"/>
        </w:rPr>
        <w:t>；</w:t>
      </w:r>
    </w:p>
    <w:p w14:paraId="338634EB">
      <w:pPr>
        <w:ind w:firstLine="420" w:firstLineChars="200"/>
      </w:pPr>
      <w:r>
        <w:rPr>
          <w:rFonts w:hint="eastAsia"/>
        </w:rPr>
        <w:t xml:space="preserve">2 </w:t>
      </w:r>
      <w:r>
        <w:t>围</w:t>
      </w:r>
      <w:bookmarkStart w:id="29" w:name="_Hlk201996472"/>
      <w:r>
        <w:t>檩</w:t>
      </w:r>
      <w:bookmarkEnd w:id="29"/>
      <w:r>
        <w:t>宜减少拼接节点，拼接点位置应尽量设置在支撑点附近</w:t>
      </w:r>
      <w:r>
        <w:rPr>
          <w:rFonts w:hint="eastAsia"/>
        </w:rPr>
        <w:t>，</w:t>
      </w:r>
      <w:r>
        <w:t>并不应超过围檩计算跨度的三分点</w:t>
      </w:r>
      <w:r>
        <w:rPr>
          <w:rFonts w:hint="eastAsia"/>
        </w:rPr>
        <w:t>；</w:t>
      </w:r>
      <w:r>
        <w:t>围分段长度不宜小于支撑间距的两倍</w:t>
      </w:r>
      <w:r>
        <w:rPr>
          <w:rFonts w:hint="eastAsia"/>
        </w:rPr>
        <w:t>；</w:t>
      </w:r>
      <w:r>
        <w:t>当采用多根型钢组合时</w:t>
      </w:r>
      <w:r>
        <w:rPr>
          <w:rFonts w:hint="eastAsia"/>
        </w:rPr>
        <w:t>，</w:t>
      </w:r>
      <w:r>
        <w:t>拼接点应错开布置且不宜在同跨内设置</w:t>
      </w:r>
      <w:r>
        <w:rPr>
          <w:rFonts w:hint="eastAsia"/>
        </w:rPr>
        <w:t>；</w:t>
      </w:r>
    </w:p>
    <w:p w14:paraId="3EA8F8BB">
      <w:pPr>
        <w:ind w:firstLine="420" w:firstLineChars="200"/>
      </w:pPr>
      <w:r>
        <w:t>3 围檩与钢板桩内表面之间的空隙应采用强度等级不低于C30的细石混凝土填嵌</w:t>
      </w:r>
      <w:r>
        <w:rPr>
          <w:rFonts w:hint="eastAsia"/>
        </w:rPr>
        <w:t>，</w:t>
      </w:r>
      <w:r>
        <w:t>当支撑设置预加轴力时也可采用垫块</w:t>
      </w:r>
      <w:r>
        <w:rPr>
          <w:rFonts w:hint="eastAsia"/>
        </w:rPr>
        <w:t>；</w:t>
      </w:r>
    </w:p>
    <w:p w14:paraId="735B0435">
      <w:pPr>
        <w:ind w:firstLine="420" w:firstLineChars="200"/>
      </w:pPr>
      <w:r>
        <w:rPr>
          <w:rFonts w:hint="eastAsia"/>
        </w:rPr>
        <w:t>4</w:t>
      </w:r>
      <w:r>
        <w:t xml:space="preserve"> 安装钢围檩前</w:t>
      </w:r>
      <w:r>
        <w:rPr>
          <w:rFonts w:hint="eastAsia"/>
        </w:rPr>
        <w:t>，</w:t>
      </w:r>
      <w:r>
        <w:t>应在钢板桩上设置安装钢支架</w:t>
      </w:r>
      <w:r>
        <w:rPr>
          <w:rFonts w:hint="eastAsia"/>
        </w:rPr>
        <w:t>，</w:t>
      </w:r>
      <w:r>
        <w:t>钢支架与钢板桩可直接焊接连接。安装支架应能承受边跨支撑、围檩及填嵌细石混凝土的重量</w:t>
      </w:r>
      <w:r>
        <w:rPr>
          <w:rFonts w:hint="eastAsia"/>
        </w:rPr>
        <w:t>；</w:t>
      </w:r>
    </w:p>
    <w:p w14:paraId="05BD6323">
      <w:pPr>
        <w:ind w:firstLine="420" w:firstLineChars="200"/>
      </w:pPr>
      <w:r>
        <w:rPr>
          <w:rFonts w:hint="eastAsia"/>
        </w:rPr>
        <w:t>5</w:t>
      </w:r>
      <w:r>
        <w:t xml:space="preserve"> 与支撑斜交相连的围</w:t>
      </w:r>
      <w:r>
        <w:rPr>
          <w:rFonts w:hint="eastAsia"/>
        </w:rPr>
        <w:t>檩，</w:t>
      </w:r>
      <w:r>
        <w:t>应有避免围檩产生顺向滑移的抗剪措施</w:t>
      </w:r>
      <w:bookmarkStart w:id="30" w:name="OLE_LINK4"/>
      <w:r>
        <w:rPr>
          <w:rFonts w:hint="eastAsia"/>
        </w:rPr>
        <w:t>；</w:t>
      </w:r>
      <w:bookmarkEnd w:id="30"/>
    </w:p>
    <w:p w14:paraId="4D90EF2F">
      <w:pPr>
        <w:ind w:firstLine="420" w:firstLineChars="200"/>
      </w:pPr>
      <w:r>
        <w:rPr>
          <w:rFonts w:hint="eastAsia"/>
        </w:rPr>
        <w:t>6</w:t>
      </w:r>
      <w:r>
        <w:t xml:space="preserve"> 用于竖向斜撑的围檩应设置反向支架</w:t>
      </w:r>
      <w:r>
        <w:rPr>
          <w:rFonts w:hint="eastAsia"/>
        </w:rPr>
        <w:t>。</w:t>
      </w:r>
    </w:p>
    <w:p w14:paraId="4C34C420">
      <w:r>
        <w:rPr>
          <w:rFonts w:hint="eastAsia"/>
        </w:rPr>
        <w:t>5</w:t>
      </w:r>
      <w:r>
        <w:t>.</w:t>
      </w:r>
      <w:r>
        <w:rPr>
          <w:rFonts w:hint="eastAsia"/>
        </w:rPr>
        <w:t>3</w:t>
      </w:r>
      <w:r>
        <w:t>.</w:t>
      </w:r>
      <w:r>
        <w:rPr>
          <w:rFonts w:hint="eastAsia"/>
        </w:rPr>
        <w:t>13</w:t>
      </w:r>
      <w:r>
        <w:t xml:space="preserve"> </w:t>
      </w:r>
      <w:r>
        <w:rPr>
          <w:rFonts w:hint="eastAsia"/>
        </w:rPr>
        <w:t xml:space="preserve"> </w:t>
      </w:r>
      <w:r>
        <w:t>对锚拉式钢板桩支护结构，锚杆的设计除应符合</w:t>
      </w:r>
      <w:r>
        <w:rPr>
          <w:rFonts w:hint="eastAsia"/>
        </w:rPr>
        <w:t>广西工程建设</w:t>
      </w:r>
      <w:r>
        <w:t>现行</w:t>
      </w:r>
      <w:r>
        <w:rPr>
          <w:rFonts w:hint="eastAsia"/>
        </w:rPr>
        <w:t>地方</w:t>
      </w:r>
      <w:r>
        <w:t>标准《</w:t>
      </w:r>
      <w:r>
        <w:rPr>
          <w:rFonts w:hint="eastAsia"/>
        </w:rPr>
        <w:t>广西建筑基坑支护技术规范</w:t>
      </w:r>
      <w:r>
        <w:t>》</w:t>
      </w:r>
      <w:r>
        <w:rPr>
          <w:rFonts w:hint="eastAsia"/>
        </w:rPr>
        <w:t>DBJ/T45-065</w:t>
      </w:r>
      <w:r>
        <w:t>的相关规定外，还应符合下列规定</w:t>
      </w:r>
      <w:r>
        <w:rPr>
          <w:rFonts w:hint="eastAsia"/>
        </w:rPr>
        <w:t>：</w:t>
      </w:r>
    </w:p>
    <w:p w14:paraId="1F54E89A">
      <w:pPr>
        <w:ind w:firstLine="420" w:firstLineChars="200"/>
      </w:pPr>
      <w:r>
        <w:t>1 应复核钢板桩开孔处截面承载力</w:t>
      </w:r>
      <w:r>
        <w:rPr>
          <w:rFonts w:hint="eastAsia"/>
        </w:rPr>
        <w:t>；</w:t>
      </w:r>
    </w:p>
    <w:p w14:paraId="176C21C8">
      <w:pPr>
        <w:ind w:firstLine="420" w:firstLineChars="200"/>
      </w:pPr>
      <w:r>
        <w:t>2 对透水地层，还应提出合理、有效的措施，确保开孔处不发生涌水、涌砂。</w:t>
      </w:r>
    </w:p>
    <w:p w14:paraId="2A58B439">
      <w:r>
        <w:rPr>
          <w:rFonts w:hint="eastAsia"/>
        </w:rPr>
        <w:t>5</w:t>
      </w:r>
      <w:r>
        <w:t>.</w:t>
      </w:r>
      <w:r>
        <w:rPr>
          <w:rFonts w:hint="eastAsia"/>
        </w:rPr>
        <w:t>3</w:t>
      </w:r>
      <w:r>
        <w:t>.</w:t>
      </w:r>
      <w:r>
        <w:rPr>
          <w:rFonts w:hint="eastAsia"/>
        </w:rPr>
        <w:t xml:space="preserve">14 </w:t>
      </w:r>
      <w:r>
        <w:t xml:space="preserve"> 对支撑式钢板桩支护结构，内支撑的设计除应符合</w:t>
      </w:r>
      <w:r>
        <w:rPr>
          <w:rFonts w:hint="eastAsia"/>
        </w:rPr>
        <w:t>广西工程建设</w:t>
      </w:r>
      <w:r>
        <w:t>现行</w:t>
      </w:r>
      <w:r>
        <w:rPr>
          <w:rFonts w:hint="eastAsia"/>
        </w:rPr>
        <w:t>地方</w:t>
      </w:r>
      <w:r>
        <w:t>标准《</w:t>
      </w:r>
      <w:r>
        <w:rPr>
          <w:rFonts w:hint="eastAsia"/>
        </w:rPr>
        <w:t>广西建筑基坑支护技术规范</w:t>
      </w:r>
      <w:r>
        <w:t>》</w:t>
      </w:r>
      <w:r>
        <w:rPr>
          <w:rFonts w:hint="eastAsia"/>
        </w:rPr>
        <w:t>DBJ/T45-065</w:t>
      </w:r>
      <w:r>
        <w:t>的相关规定外，还宜符合下列规定</w:t>
      </w:r>
      <w:r>
        <w:rPr>
          <w:rFonts w:hint="eastAsia"/>
        </w:rPr>
        <w:t>：</w:t>
      </w:r>
    </w:p>
    <w:p w14:paraId="2806BBE3">
      <w:pPr>
        <w:ind w:firstLine="420" w:firstLineChars="200"/>
      </w:pPr>
      <w:r>
        <w:rPr>
          <w:rFonts w:hint="eastAsia"/>
        </w:rPr>
        <w:t xml:space="preserve">1 </w:t>
      </w:r>
      <w:r>
        <w:t>宜采用钢管或型钢制作</w:t>
      </w:r>
      <w:r>
        <w:rPr>
          <w:rFonts w:hint="eastAsia"/>
        </w:rPr>
        <w:t>；</w:t>
      </w:r>
    </w:p>
    <w:p w14:paraId="2562AA64">
      <w:pPr>
        <w:ind w:firstLine="420" w:firstLineChars="200"/>
      </w:pPr>
      <w:r>
        <w:rPr>
          <w:rFonts w:hint="eastAsia"/>
        </w:rPr>
        <w:t>2 宜在内支撑的一侧安装千斤顶施加预应力；</w:t>
      </w:r>
    </w:p>
    <w:p w14:paraId="552F7746">
      <w:pPr>
        <w:ind w:firstLine="420" w:firstLineChars="200"/>
      </w:pPr>
      <w:r>
        <w:rPr>
          <w:rFonts w:hint="eastAsia"/>
        </w:rPr>
        <w:t>3 宜考虑温度变化产生的作用。</w:t>
      </w:r>
    </w:p>
    <w:p w14:paraId="18FF9412">
      <w:r>
        <w:rPr>
          <w:rFonts w:hint="eastAsia"/>
        </w:rPr>
        <w:t>5.3.15  双排钢板桩墙前、后排之间顶部宜采用拉杆及混凝土盖板连接，并宜符合下列规定：</w:t>
      </w:r>
    </w:p>
    <w:p w14:paraId="1FE02FA3">
      <w:pPr>
        <w:ind w:firstLine="420" w:firstLineChars="200"/>
      </w:pPr>
      <w:r>
        <w:rPr>
          <w:rFonts w:hint="eastAsia"/>
        </w:rPr>
        <w:t>1 拉杆宜采用钢筋或钢绞线制作；</w:t>
      </w:r>
    </w:p>
    <w:p w14:paraId="7690436C">
      <w:pPr>
        <w:ind w:firstLine="420" w:firstLineChars="200"/>
      </w:pPr>
      <w:r>
        <w:rPr>
          <w:rFonts w:hint="eastAsia"/>
        </w:rPr>
        <w:t>2 拉杆与钢板桩之间宜设置钢围檩连接；</w:t>
      </w:r>
    </w:p>
    <w:p w14:paraId="177783D1">
      <w:pPr>
        <w:ind w:firstLine="420" w:firstLineChars="200"/>
      </w:pPr>
      <w:r>
        <w:rPr>
          <w:rFonts w:hint="eastAsia"/>
        </w:rPr>
        <w:t>3 拉杆宜张紧或施加预应力；</w:t>
      </w:r>
    </w:p>
    <w:p w14:paraId="5F08ACE2">
      <w:pPr>
        <w:ind w:firstLine="420" w:firstLineChars="200"/>
      </w:pPr>
      <w:r>
        <w:rPr>
          <w:rFonts w:hint="eastAsia"/>
        </w:rPr>
        <w:t>4 前、后排钢板桩之间的距离宜为2.0倍~5.0倍钢板桩支护高度。</w:t>
      </w:r>
    </w:p>
    <w:p w14:paraId="6ADD50A3">
      <w:r>
        <w:rPr>
          <w:rFonts w:hint="eastAsia"/>
        </w:rPr>
        <w:t>5.3.16  钢板桩作为截水帷幕与其他支护结构共同使用时，应符合下列规定：</w:t>
      </w:r>
    </w:p>
    <w:p w14:paraId="476B64B1">
      <w:pPr>
        <w:ind w:firstLine="420" w:firstLineChars="200"/>
      </w:pPr>
      <w:r>
        <w:rPr>
          <w:rFonts w:hint="eastAsia"/>
        </w:rPr>
        <w:t>1 钢板桩应在支护结构中间或外侧设置；</w:t>
      </w:r>
    </w:p>
    <w:p w14:paraId="7E02AE4B">
      <w:pPr>
        <w:ind w:firstLine="420" w:firstLineChars="200"/>
      </w:pPr>
      <w:r>
        <w:rPr>
          <w:rFonts w:hint="eastAsia"/>
        </w:rPr>
        <w:t>2 支护结构外侧的钢板桩墙宜先于支护结构施工，两者之间的净距宜大于200mm；</w:t>
      </w:r>
    </w:p>
    <w:p w14:paraId="47E564D6">
      <w:pPr>
        <w:ind w:firstLine="420" w:firstLineChars="200"/>
      </w:pPr>
      <w:r>
        <w:rPr>
          <w:rFonts w:hint="eastAsia"/>
        </w:rPr>
        <w:t>3 钢板桩应截断基坑开挖深度及其影响范围内渗透性较大的含水岩土层。</w:t>
      </w:r>
    </w:p>
    <w:p w14:paraId="465A4DAB">
      <w:pPr>
        <w:rPr>
          <w:szCs w:val="24"/>
        </w:rPr>
      </w:pPr>
      <w:r>
        <w:rPr>
          <w:rFonts w:hint="eastAsia"/>
        </w:rPr>
        <w:t>5.3.17  当含水层厚度较大时，基坑截水可采用钢板桩截水帷幕与水平封底联合的截水方法，也可采用钢板桩截水帷幕与坑内井点降水相结合的方法。</w:t>
      </w:r>
    </w:p>
    <w:p w14:paraId="1162707E">
      <w:r>
        <w:rPr>
          <w:rFonts w:hint="eastAsia"/>
        </w:rPr>
        <w:t xml:space="preserve">5.3.18  </w:t>
      </w:r>
      <w:r>
        <w:t>钢板桩采用锁口式防水构造时，</w:t>
      </w:r>
      <w:r>
        <w:rPr>
          <w:rFonts w:hint="eastAsia"/>
        </w:rPr>
        <w:t>可</w:t>
      </w:r>
      <w:r>
        <w:t>在锁口间涂抹沥青类密封剂、水溶性膨胀型密封剂或其他密封止水材料。</w:t>
      </w:r>
    </w:p>
    <w:p w14:paraId="08823D4F"/>
    <w:p w14:paraId="0776C7A2">
      <w:pPr>
        <w:pStyle w:val="3"/>
        <w:spacing w:before="312" w:beforeLines="100"/>
        <w:ind w:firstLine="281"/>
      </w:pPr>
      <w:bookmarkStart w:id="31" w:name="_Toc25946"/>
      <w:bookmarkStart w:id="32" w:name="_Toc16965"/>
      <w:r>
        <w:rPr>
          <w:rFonts w:hint="eastAsia"/>
        </w:rPr>
        <w:t>5.4  防渗止水设计</w:t>
      </w:r>
      <w:bookmarkEnd w:id="31"/>
      <w:bookmarkEnd w:id="32"/>
    </w:p>
    <w:p w14:paraId="72D553B6">
      <w:r>
        <w:rPr>
          <w:rFonts w:hint="eastAsia"/>
        </w:rPr>
        <w:t>5.4.1  有止水要求的钢板桩的实际入土深度应同时满足受力平衡和作为止水帷幕的抗渗稳定要求。</w:t>
      </w:r>
    </w:p>
    <w:p w14:paraId="7CF9605B">
      <w:r>
        <w:t>5</w:t>
      </w:r>
      <w:r>
        <w:rPr>
          <w:rFonts w:hint="eastAsia"/>
        </w:rPr>
        <w:t>.4.2  有严格止水要求的钢板桩墙，应从桩身断面以及桩顶、锁口、桩端等节点情况、穿越土层情况、计划施工工艺等多方面考虑钢板桩作为止水帷幕的防渗性能，可按下列规定执行：</w:t>
      </w:r>
    </w:p>
    <w:p w14:paraId="05F26AFD">
      <w:pPr>
        <w:ind w:firstLine="420" w:firstLineChars="200"/>
      </w:pPr>
      <w:r>
        <w:rPr>
          <w:rFonts w:hint="eastAsia"/>
        </w:rPr>
        <w:t>1 永久工程中的钢板桩顶部应埋入上部结构一定深度，板顶部应与主体结构设焊接钢筋相连，可采用图5.4.2-1所示节点构造。其中对板桩周围土体有沉陷趋势时应加强连接；</w:t>
      </w:r>
    </w:p>
    <w:p w14:paraId="3FFF1CFD">
      <w:pPr>
        <w:spacing w:line="240" w:lineRule="auto"/>
        <w:jc w:val="center"/>
        <w:rPr>
          <w:rStyle w:val="23"/>
        </w:rPr>
      </w:pPr>
      <w:r>
        <w:drawing>
          <wp:inline distT="0" distB="0" distL="114300" distR="114300">
            <wp:extent cx="5273040" cy="191579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0"/>
                    <a:srcRect b="22937"/>
                    <a:stretch>
                      <a:fillRect/>
                    </a:stretch>
                  </pic:blipFill>
                  <pic:spPr>
                    <a:xfrm>
                      <a:off x="0" y="0"/>
                      <a:ext cx="5273040" cy="1915795"/>
                    </a:xfrm>
                    <a:prstGeom prst="rect">
                      <a:avLst/>
                    </a:prstGeom>
                    <a:noFill/>
                    <a:ln>
                      <a:noFill/>
                    </a:ln>
                  </pic:spPr>
                </pic:pic>
              </a:graphicData>
            </a:graphic>
          </wp:inline>
        </w:drawing>
      </w:r>
    </w:p>
    <w:p w14:paraId="3907EEC7">
      <w:pPr>
        <w:spacing w:line="240" w:lineRule="auto"/>
        <w:ind w:firstLine="1890" w:firstLineChars="900"/>
        <w:rPr>
          <w:rStyle w:val="23"/>
        </w:rPr>
      </w:pPr>
      <w:r>
        <w:rPr>
          <w:rStyle w:val="23"/>
          <w:rFonts w:hint="eastAsia"/>
        </w:rPr>
        <w:t>（a）浅埋式节点                         （b）深埋式节点</w:t>
      </w:r>
    </w:p>
    <w:p w14:paraId="00600C1B">
      <w:pPr>
        <w:spacing w:line="240" w:lineRule="auto"/>
        <w:jc w:val="center"/>
      </w:pPr>
      <w:r>
        <w:rPr>
          <w:rFonts w:hint="eastAsia"/>
        </w:rPr>
        <w:t>图5.4.2-1  钢板桩与上部胸墙连接节点</w:t>
      </w:r>
    </w:p>
    <w:p w14:paraId="7FBD2A0B">
      <w:pPr>
        <w:ind w:firstLine="420" w:firstLineChars="200"/>
      </w:pPr>
      <w:r>
        <w:rPr>
          <w:rFonts w:hint="eastAsia"/>
        </w:rPr>
        <w:t>2 永久工程中钢板桩桩身与主体结构衔接节点有止水要求时，宜将止水带的一端固定在钢板桩上，可采用图5.4.2-2所示节点构造；</w:t>
      </w:r>
    </w:p>
    <w:p w14:paraId="1702D7B8">
      <w:pPr>
        <w:spacing w:line="240" w:lineRule="auto"/>
        <w:jc w:val="center"/>
      </w:pPr>
      <w:r>
        <w:drawing>
          <wp:inline distT="0" distB="0" distL="114300" distR="114300">
            <wp:extent cx="6034405" cy="1979930"/>
            <wp:effectExtent l="0" t="0" r="635" b="1270"/>
            <wp:docPr id="8" name="图片 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81"/>
                    <a:srcRect b="24389"/>
                    <a:stretch>
                      <a:fillRect/>
                    </a:stretch>
                  </pic:blipFill>
                  <pic:spPr>
                    <a:xfrm>
                      <a:off x="0" y="0"/>
                      <a:ext cx="6034405" cy="1979930"/>
                    </a:xfrm>
                    <a:prstGeom prst="rect">
                      <a:avLst/>
                    </a:prstGeom>
                    <a:noFill/>
                    <a:ln>
                      <a:noFill/>
                    </a:ln>
                  </pic:spPr>
                </pic:pic>
              </a:graphicData>
            </a:graphic>
          </wp:inline>
        </w:drawing>
      </w:r>
    </w:p>
    <w:p w14:paraId="631A691C">
      <w:pPr>
        <w:spacing w:line="240" w:lineRule="auto"/>
        <w:ind w:firstLine="1890" w:firstLineChars="900"/>
        <w:rPr>
          <w:rStyle w:val="23"/>
        </w:rPr>
      </w:pPr>
      <w:r>
        <w:rPr>
          <w:rStyle w:val="23"/>
          <w:rFonts w:hint="eastAsia"/>
        </w:rPr>
        <w:t>（a）焊接节点                         （b）螺栓固定节点</w:t>
      </w:r>
    </w:p>
    <w:p w14:paraId="073F4B04">
      <w:pPr>
        <w:spacing w:line="240" w:lineRule="auto"/>
        <w:jc w:val="center"/>
      </w:pPr>
      <w:r>
        <w:rPr>
          <w:rFonts w:hint="eastAsia"/>
        </w:rPr>
        <w:t>图5.4.2-2  钢板桩与主体结构止水节点</w:t>
      </w:r>
    </w:p>
    <w:p w14:paraId="222D84E3">
      <w:pPr>
        <w:ind w:firstLine="420" w:firstLineChars="200"/>
      </w:pPr>
      <w:r>
        <w:rPr>
          <w:rFonts w:hint="eastAsia"/>
        </w:rPr>
        <w:t>3</w:t>
      </w:r>
      <w:r>
        <w:t xml:space="preserve"> </w:t>
      </w:r>
      <w:r>
        <w:rPr>
          <w:rFonts w:hint="eastAsia"/>
        </w:rPr>
        <w:t>对防水性能要求高的工程，当钢板桩桩端不能有效进入相对隔水层时，应根据总体设计要求的工程渗流量，必要时增设桩端防渗措施，增设的防渗结构体与上部或两侧的钢板桩间的搭接应封闭，搭接长度不宜小于2m；</w:t>
      </w:r>
    </w:p>
    <w:p w14:paraId="474FC74A">
      <w:pPr>
        <w:ind w:firstLine="420" w:firstLineChars="200"/>
      </w:pPr>
      <w:r>
        <w:rPr>
          <w:rFonts w:hint="eastAsia"/>
        </w:rPr>
        <w:t>4 永久性止水钢板桩墙锁口应设置止水材料，止水材料应经过试验或工程实例验证；</w:t>
      </w:r>
    </w:p>
    <w:p w14:paraId="5A9D3F04">
      <w:pPr>
        <w:ind w:firstLine="420" w:firstLineChars="200"/>
      </w:pPr>
      <w:r>
        <w:rPr>
          <w:rFonts w:hint="eastAsia"/>
        </w:rPr>
        <w:t>5</w:t>
      </w:r>
      <w:r>
        <w:t xml:space="preserve"> </w:t>
      </w:r>
      <w:r>
        <w:rPr>
          <w:rFonts w:hint="eastAsia"/>
        </w:rPr>
        <w:t>在平面转角处宜根据平面布置采用定制转角桩，转角桩宜在沉桩前与其中一侧标准钢板桩预先连接。</w:t>
      </w:r>
    </w:p>
    <w:p w14:paraId="5D877430">
      <w:r>
        <w:t>5</w:t>
      </w:r>
      <w:r>
        <w:rPr>
          <w:rFonts w:hint="eastAsia"/>
        </w:rPr>
        <w:t>.4.3  采用钢板桩作为止水帷幕时，渗流计算和渗流量的确定应符合以下规定：</w:t>
      </w:r>
    </w:p>
    <w:p w14:paraId="30813951">
      <w:pPr>
        <w:ind w:firstLine="420" w:firstLineChars="200"/>
      </w:pPr>
      <w:r>
        <w:rPr>
          <w:rFonts w:hint="eastAsia"/>
        </w:rPr>
        <w:t>1</w:t>
      </w:r>
      <w:r>
        <w:t xml:space="preserve"> </w:t>
      </w:r>
      <w:r>
        <w:rPr>
          <w:rFonts w:hint="eastAsia"/>
        </w:rPr>
        <w:t>渗流可简化为平面恒定流计算，必要时宜进行空间渗流计算或模型试验；</w:t>
      </w:r>
    </w:p>
    <w:p w14:paraId="6880B722">
      <w:pPr>
        <w:ind w:firstLine="420" w:firstLineChars="200"/>
      </w:pPr>
      <w:r>
        <w:rPr>
          <w:rFonts w:hint="eastAsia"/>
        </w:rPr>
        <w:t>2 平面恒定渗流计算，可采用直线比例法、流网法、阻力系数法(或改进阻力系数法)和电模拟试验法；</w:t>
      </w:r>
    </w:p>
    <w:p w14:paraId="2CFE83F8">
      <w:pPr>
        <w:ind w:firstLine="420" w:firstLineChars="200"/>
      </w:pPr>
      <w:r>
        <w:rPr>
          <w:rFonts w:hint="eastAsia"/>
        </w:rPr>
        <w:t>3 空间渗流计算可采用有限元、有限差分法或电模拟试验法；</w:t>
      </w:r>
    </w:p>
    <w:p w14:paraId="3B199B28">
      <w:pPr>
        <w:ind w:firstLine="420" w:firstLineChars="200"/>
      </w:pPr>
      <w:r>
        <w:rPr>
          <w:rFonts w:hint="eastAsia"/>
        </w:rPr>
        <w:t>4</w:t>
      </w:r>
      <w:r>
        <w:t xml:space="preserve"> </w:t>
      </w:r>
      <w:r>
        <w:rPr>
          <w:rFonts w:hint="eastAsia"/>
        </w:rPr>
        <w:t>基底地下轮廓较复杂而地基土质较均匀时，可采用改进阻力系数法计算；基底土质不均匀时，可采用流网法计算，也可同时采用空间渗流计算法或电模拟试验法；</w:t>
      </w:r>
    </w:p>
    <w:p w14:paraId="6062341B">
      <w:pPr>
        <w:ind w:firstLine="420" w:firstLineChars="200"/>
      </w:pPr>
      <w:r>
        <w:rPr>
          <w:rFonts w:hint="eastAsia"/>
        </w:rPr>
        <w:t>5 总渗流量的计算应根据场地地层特性、钢板桩新旧程度、锁口性能、总长度等因素综合确定，必要时可通过现场抽水试验确定单位宽度渗流量；</w:t>
      </w:r>
    </w:p>
    <w:p w14:paraId="3275E333">
      <w:pPr>
        <w:ind w:firstLine="420" w:firstLineChars="200"/>
      </w:pPr>
      <w:r>
        <w:rPr>
          <w:rFonts w:hint="eastAsia"/>
        </w:rPr>
        <w:t>6 钢板桩墙的渗透轮廊，应满足基于渗流稳定的渗径长度要求。换算渗径总长度可按下列公式计算：</w:t>
      </w:r>
    </w:p>
    <w:p w14:paraId="6F99EAE0">
      <w:pPr>
        <w:ind w:firstLine="420" w:firstLineChars="200"/>
        <w:jc w:val="center"/>
      </w:pPr>
      <w:r>
        <w:rPr>
          <w:rFonts w:hint="eastAsia"/>
          <w:position w:val="-12"/>
        </w:rPr>
        <w:t xml:space="preserve">                            </w:t>
      </w:r>
      <w:r>
        <w:rPr>
          <w:rFonts w:hint="eastAsia"/>
          <w:position w:val="-12"/>
        </w:rPr>
        <w:object>
          <v:shape id="_x0000_i1052" o:spt="75" type="#_x0000_t75" style="height:17.15pt;width:45.45pt;" o:ole="t" filled="f" o:preferrelative="t" stroked="f" coordsize="21600,21600">
            <v:path/>
            <v:fill on="f" focussize="0,0"/>
            <v:stroke on="f" joinstyle="miter"/>
            <v:imagedata r:id="rId83" o:title=""/>
            <o:lock v:ext="edit" aspectratio="f"/>
            <w10:wrap type="none"/>
            <w10:anchorlock/>
          </v:shape>
          <o:OLEObject Type="Embed" ProgID="Equation.DSMT4" ShapeID="_x0000_i1052" DrawAspect="Content" ObjectID="_1468075752" r:id="rId82">
            <o:LockedField>false</o:LockedField>
          </o:OLEObject>
        </w:object>
      </w:r>
      <w:r>
        <w:rPr>
          <w:rFonts w:hint="eastAsia"/>
          <w:position w:val="-12"/>
        </w:rPr>
        <w:t xml:space="preserve">                     </w:t>
      </w:r>
      <w:r>
        <w:rPr>
          <w:rFonts w:hint="eastAsia"/>
        </w:rPr>
        <w:t>（5.4.3-1）</w:t>
      </w:r>
    </w:p>
    <w:p w14:paraId="7ED47AEC">
      <w:pPr>
        <w:ind w:firstLine="420" w:firstLineChars="200"/>
        <w:jc w:val="center"/>
      </w:pPr>
    </w:p>
    <w:p w14:paraId="387CB123">
      <w:pPr>
        <w:ind w:firstLine="420" w:firstLineChars="200"/>
        <w:jc w:val="center"/>
      </w:pPr>
      <w:r>
        <w:rPr>
          <w:rFonts w:hint="eastAsia"/>
          <w:position w:val="-14"/>
        </w:rPr>
        <w:t xml:space="preserve">                      </w:t>
      </w:r>
      <w:r>
        <w:rPr>
          <w:rFonts w:hint="eastAsia"/>
          <w:position w:val="-14"/>
        </w:rPr>
        <w:object>
          <v:shape id="_x0000_i1053" o:spt="75" type="#_x0000_t75" style="height:18.45pt;width:113.55pt;" o:ole="t" filled="f" o:preferrelative="t" stroked="f" coordsize="21600,21600">
            <v:path/>
            <v:fill on="f" focussize="0,0"/>
            <v:stroke on="f" joinstyle="miter"/>
            <v:imagedata r:id="rId85" o:title=""/>
            <o:lock v:ext="edit" aspectratio="f"/>
            <w10:wrap type="none"/>
            <w10:anchorlock/>
          </v:shape>
          <o:OLEObject Type="Embed" ProgID="Equation.DSMT4" ShapeID="_x0000_i1053" DrawAspect="Content" ObjectID="_1468075753" r:id="rId84">
            <o:LockedField>false</o:LockedField>
          </o:OLEObject>
        </w:object>
      </w:r>
      <w:r>
        <w:rPr>
          <w:rFonts w:hint="eastAsia"/>
          <w:position w:val="-14"/>
        </w:rPr>
        <w:t xml:space="preserve">             </w:t>
      </w:r>
      <w:r>
        <w:rPr>
          <w:rFonts w:hint="eastAsia"/>
        </w:rPr>
        <w:t>（5.4.3-2）</w:t>
      </w:r>
    </w:p>
    <w:p w14:paraId="22A459DE">
      <w:pPr>
        <w:ind w:firstLine="420" w:firstLineChars="200"/>
        <w:jc w:val="center"/>
      </w:pPr>
    </w:p>
    <w:p w14:paraId="16185E6F">
      <w:pPr>
        <w:ind w:firstLine="420" w:firstLineChars="200"/>
        <w:jc w:val="center"/>
      </w:pPr>
      <w:r>
        <w:rPr>
          <w:rFonts w:hint="eastAsia"/>
          <w:position w:val="-16"/>
        </w:rPr>
        <w:t xml:space="preserve">                      </w:t>
      </w:r>
      <w:r>
        <w:rPr>
          <w:rFonts w:hint="eastAsia"/>
          <w:position w:val="-16"/>
        </w:rPr>
        <w:object>
          <v:shape id="_x0000_i1054" o:spt="75" type="#_x0000_t75" style="height:22.7pt;width:102pt;" o:ole="t" filled="f" o:preferrelative="t" stroked="f" coordsize="21600,21600">
            <v:path/>
            <v:fill on="f" focussize="0,0"/>
            <v:stroke on="f" joinstyle="miter"/>
            <v:imagedata r:id="rId87" o:title=""/>
            <o:lock v:ext="edit" aspectratio="f"/>
            <w10:wrap type="none"/>
            <w10:anchorlock/>
          </v:shape>
          <o:OLEObject Type="Embed" ProgID="Equation.DSMT4" ShapeID="_x0000_i1054" DrawAspect="Content" ObjectID="_1468075754" r:id="rId86">
            <o:LockedField>false</o:LockedField>
          </o:OLEObject>
        </w:object>
      </w:r>
      <w:r>
        <w:rPr>
          <w:rFonts w:hint="eastAsia"/>
          <w:position w:val="-16"/>
        </w:rPr>
        <w:t xml:space="preserve">                </w:t>
      </w:r>
      <w:r>
        <w:rPr>
          <w:rFonts w:hint="eastAsia"/>
        </w:rPr>
        <w:t>（5.4.3-3）</w:t>
      </w:r>
    </w:p>
    <w:p w14:paraId="3FEB986C"/>
    <w:tbl>
      <w:tblPr>
        <w:tblStyle w:val="17"/>
        <w:tblW w:w="8528" w:type="dxa"/>
        <w:tblInd w:w="0" w:type="dxa"/>
        <w:tblLayout w:type="fixed"/>
        <w:tblCellMar>
          <w:top w:w="0" w:type="dxa"/>
          <w:left w:w="108" w:type="dxa"/>
          <w:bottom w:w="0" w:type="dxa"/>
          <w:right w:w="108" w:type="dxa"/>
        </w:tblCellMar>
      </w:tblPr>
      <w:tblGrid>
        <w:gridCol w:w="1533"/>
        <w:gridCol w:w="6995"/>
      </w:tblGrid>
      <w:tr w14:paraId="20557C10">
        <w:tblPrEx>
          <w:tblCellMar>
            <w:top w:w="0" w:type="dxa"/>
            <w:left w:w="108" w:type="dxa"/>
            <w:bottom w:w="0" w:type="dxa"/>
            <w:right w:w="108" w:type="dxa"/>
          </w:tblCellMar>
        </w:tblPrEx>
        <w:tc>
          <w:tcPr>
            <w:tcW w:w="1533" w:type="dxa"/>
          </w:tcPr>
          <w:p w14:paraId="4C4347BE">
            <w:pPr>
              <w:spacing w:line="300" w:lineRule="auto"/>
              <w:ind w:right="-108"/>
            </w:pPr>
            <w:r>
              <w:rPr>
                <w:rFonts w:hint="eastAsia"/>
                <w:kern w:val="0"/>
              </w:rPr>
              <w:t>式中：</w:t>
            </w:r>
            <w:r>
              <w:rPr>
                <w:rFonts w:hint="eastAsia"/>
                <w:i/>
                <w:kern w:val="0"/>
              </w:rPr>
              <w:t>L—</w:t>
            </w:r>
          </w:p>
        </w:tc>
        <w:tc>
          <w:tcPr>
            <w:tcW w:w="6995" w:type="dxa"/>
            <w:vAlign w:val="center"/>
          </w:tcPr>
          <w:p w14:paraId="4C241C10">
            <w:pPr>
              <w:snapToGrid w:val="0"/>
              <w:spacing w:line="300" w:lineRule="auto"/>
            </w:pPr>
            <w:r>
              <w:rPr>
                <w:rFonts w:hint="eastAsia"/>
                <w:kern w:val="0"/>
              </w:rPr>
              <w:t>渗流轮廓换算渗径总长度（m）；</w:t>
            </w:r>
          </w:p>
        </w:tc>
      </w:tr>
      <w:tr w14:paraId="14E06A45">
        <w:tblPrEx>
          <w:tblCellMar>
            <w:top w:w="0" w:type="dxa"/>
            <w:left w:w="108" w:type="dxa"/>
            <w:bottom w:w="0" w:type="dxa"/>
            <w:right w:w="108" w:type="dxa"/>
          </w:tblCellMar>
        </w:tblPrEx>
        <w:tc>
          <w:tcPr>
            <w:tcW w:w="1533" w:type="dxa"/>
          </w:tcPr>
          <w:p w14:paraId="0A853B05">
            <w:pPr>
              <w:spacing w:line="300" w:lineRule="auto"/>
              <w:ind w:right="-108"/>
              <w:jc w:val="center"/>
              <w:rPr>
                <w:i/>
              </w:rPr>
            </w:pPr>
            <w:r>
              <w:rPr>
                <w:rFonts w:hint="eastAsia"/>
                <w:i/>
                <w:kern w:val="0"/>
              </w:rPr>
              <w:t xml:space="preserve">  C</w:t>
            </w:r>
            <w:r>
              <w:rPr>
                <w:rFonts w:hint="eastAsia"/>
              </w:rPr>
              <w:t>—</w:t>
            </w:r>
          </w:p>
        </w:tc>
        <w:tc>
          <w:tcPr>
            <w:tcW w:w="6995" w:type="dxa"/>
            <w:vAlign w:val="center"/>
          </w:tcPr>
          <w:p w14:paraId="3435F40D">
            <w:pPr>
              <w:snapToGrid w:val="0"/>
              <w:spacing w:line="300" w:lineRule="auto"/>
            </w:pPr>
            <w:r>
              <w:rPr>
                <w:rFonts w:hint="eastAsia"/>
                <w:kern w:val="0"/>
              </w:rPr>
              <w:t>渗径系数，按表5.4.3采用；</w:t>
            </w:r>
          </w:p>
        </w:tc>
      </w:tr>
      <w:tr w14:paraId="08259D63">
        <w:tblPrEx>
          <w:tblCellMar>
            <w:top w:w="0" w:type="dxa"/>
            <w:left w:w="108" w:type="dxa"/>
            <w:bottom w:w="0" w:type="dxa"/>
            <w:right w:w="108" w:type="dxa"/>
          </w:tblCellMar>
        </w:tblPrEx>
        <w:tc>
          <w:tcPr>
            <w:tcW w:w="1533" w:type="dxa"/>
          </w:tcPr>
          <w:p w14:paraId="0059A0DA">
            <w:pPr>
              <w:spacing w:line="300" w:lineRule="auto"/>
              <w:ind w:right="-108"/>
              <w:jc w:val="center"/>
              <w:rPr>
                <w:i/>
              </w:rPr>
            </w:pPr>
            <w:r>
              <w:rPr>
                <w:rFonts w:hint="eastAsia"/>
                <w:i/>
                <w:kern w:val="0"/>
              </w:rPr>
              <w:t xml:space="preserve">  H</w:t>
            </w:r>
            <w:r>
              <w:rPr>
                <w:rFonts w:hint="eastAsia"/>
                <w:i/>
                <w:kern w:val="0"/>
                <w:vertAlign w:val="subscript"/>
              </w:rPr>
              <w:t>s</w:t>
            </w:r>
            <w:r>
              <w:rPr>
                <w:rFonts w:hint="eastAsia"/>
              </w:rPr>
              <w:t>—</w:t>
            </w:r>
          </w:p>
        </w:tc>
        <w:tc>
          <w:tcPr>
            <w:tcW w:w="6995" w:type="dxa"/>
            <w:vAlign w:val="center"/>
          </w:tcPr>
          <w:p w14:paraId="097C7F20">
            <w:pPr>
              <w:snapToGrid w:val="0"/>
              <w:spacing w:line="300" w:lineRule="auto"/>
            </w:pPr>
            <w:r>
              <w:rPr>
                <w:rFonts w:hint="eastAsia"/>
                <w:kern w:val="0"/>
              </w:rPr>
              <w:t>渗径起点和终点水位差（m）；</w:t>
            </w:r>
          </w:p>
        </w:tc>
      </w:tr>
      <w:tr w14:paraId="103A971E">
        <w:tblPrEx>
          <w:tblCellMar>
            <w:top w:w="0" w:type="dxa"/>
            <w:left w:w="108" w:type="dxa"/>
            <w:bottom w:w="0" w:type="dxa"/>
            <w:right w:w="108" w:type="dxa"/>
          </w:tblCellMar>
        </w:tblPrEx>
        <w:tc>
          <w:tcPr>
            <w:tcW w:w="1533" w:type="dxa"/>
          </w:tcPr>
          <w:p w14:paraId="261387A5">
            <w:pPr>
              <w:spacing w:line="300" w:lineRule="auto"/>
              <w:ind w:right="-108"/>
              <w:jc w:val="center"/>
              <w:rPr>
                <w:i/>
                <w:kern w:val="0"/>
              </w:rPr>
            </w:pPr>
            <w:r>
              <w:rPr>
                <w:rFonts w:hint="eastAsia"/>
                <w:i/>
                <w:kern w:val="0"/>
              </w:rPr>
              <w:t xml:space="preserve">  l</w:t>
            </w:r>
            <w:r>
              <w:rPr>
                <w:rFonts w:hint="eastAsia"/>
                <w:i/>
                <w:kern w:val="0"/>
                <w:vertAlign w:val="subscript"/>
              </w:rPr>
              <w:t>s</w:t>
            </w:r>
            <w:r>
              <w:rPr>
                <w:rFonts w:hint="eastAsia"/>
              </w:rPr>
              <w:t>—</w:t>
            </w:r>
          </w:p>
        </w:tc>
        <w:tc>
          <w:tcPr>
            <w:tcW w:w="6995" w:type="dxa"/>
            <w:vAlign w:val="center"/>
          </w:tcPr>
          <w:p w14:paraId="5647815C">
            <w:pPr>
              <w:snapToGrid w:val="0"/>
              <w:spacing w:line="300" w:lineRule="auto"/>
              <w:rPr>
                <w:kern w:val="0"/>
              </w:rPr>
            </w:pPr>
            <w:r>
              <w:rPr>
                <w:rFonts w:hint="eastAsia"/>
                <w:kern w:val="0"/>
              </w:rPr>
              <w:t>渗流轮廓的水平段长度（m）；</w:t>
            </w:r>
          </w:p>
        </w:tc>
      </w:tr>
      <w:tr w14:paraId="24AAA2C1">
        <w:tblPrEx>
          <w:tblCellMar>
            <w:top w:w="0" w:type="dxa"/>
            <w:left w:w="108" w:type="dxa"/>
            <w:bottom w:w="0" w:type="dxa"/>
            <w:right w:w="108" w:type="dxa"/>
          </w:tblCellMar>
        </w:tblPrEx>
        <w:tc>
          <w:tcPr>
            <w:tcW w:w="1533" w:type="dxa"/>
          </w:tcPr>
          <w:p w14:paraId="32C41492">
            <w:pPr>
              <w:spacing w:line="300" w:lineRule="auto"/>
              <w:ind w:right="-108"/>
              <w:jc w:val="center"/>
              <w:rPr>
                <w:i/>
                <w:kern w:val="0"/>
              </w:rPr>
            </w:pPr>
            <w:r>
              <w:rPr>
                <w:rFonts w:hint="eastAsia"/>
                <w:i/>
                <w:kern w:val="0"/>
              </w:rPr>
              <w:t xml:space="preserve">  l</w:t>
            </w:r>
            <w:r>
              <w:rPr>
                <w:rFonts w:hint="eastAsia"/>
                <w:i/>
                <w:kern w:val="0"/>
                <w:vertAlign w:val="subscript"/>
              </w:rPr>
              <w:t>c</w:t>
            </w:r>
            <w:r>
              <w:rPr>
                <w:rFonts w:hint="eastAsia"/>
                <w:kern w:val="0"/>
              </w:rPr>
              <w:t>—</w:t>
            </w:r>
          </w:p>
        </w:tc>
        <w:tc>
          <w:tcPr>
            <w:tcW w:w="6995" w:type="dxa"/>
            <w:vAlign w:val="center"/>
          </w:tcPr>
          <w:p w14:paraId="2755E122">
            <w:pPr>
              <w:snapToGrid w:val="0"/>
              <w:spacing w:line="300" w:lineRule="auto"/>
              <w:rPr>
                <w:kern w:val="0"/>
              </w:rPr>
            </w:pPr>
            <w:r>
              <w:rPr>
                <w:rFonts w:hint="eastAsia"/>
                <w:kern w:val="0"/>
              </w:rPr>
              <w:t xml:space="preserve">渗流轮廓的垂直段长度（m）； </w:t>
            </w:r>
          </w:p>
        </w:tc>
      </w:tr>
      <w:tr w14:paraId="7447EDE5">
        <w:tblPrEx>
          <w:tblCellMar>
            <w:top w:w="0" w:type="dxa"/>
            <w:left w:w="108" w:type="dxa"/>
            <w:bottom w:w="0" w:type="dxa"/>
            <w:right w:w="108" w:type="dxa"/>
          </w:tblCellMar>
        </w:tblPrEx>
        <w:tc>
          <w:tcPr>
            <w:tcW w:w="1533" w:type="dxa"/>
          </w:tcPr>
          <w:p w14:paraId="413291F1">
            <w:pPr>
              <w:spacing w:line="300" w:lineRule="auto"/>
              <w:ind w:right="-108"/>
              <w:jc w:val="center"/>
              <w:rPr>
                <w:i/>
                <w:kern w:val="0"/>
              </w:rPr>
            </w:pPr>
            <w:r>
              <w:rPr>
                <w:rFonts w:hint="eastAsia"/>
                <w:kern w:val="0"/>
              </w:rPr>
              <w:t xml:space="preserve">  </w:t>
            </w:r>
            <w:r>
              <w:rPr>
                <w:rFonts w:hint="eastAsia"/>
                <w:i/>
                <w:iCs/>
                <w:kern w:val="0"/>
              </w:rPr>
              <w:t>l</w:t>
            </w:r>
            <w:r>
              <w:rPr>
                <w:rFonts w:hint="eastAsia"/>
                <w:i/>
                <w:iCs/>
                <w:kern w:val="0"/>
                <w:vertAlign w:val="subscript"/>
              </w:rPr>
              <w:t>x</w:t>
            </w:r>
            <w:r>
              <w:rPr>
                <w:kern w:val="0"/>
              </w:rPr>
              <w:t>—</w:t>
            </w:r>
          </w:p>
        </w:tc>
        <w:tc>
          <w:tcPr>
            <w:tcW w:w="6995" w:type="dxa"/>
            <w:vAlign w:val="center"/>
          </w:tcPr>
          <w:p w14:paraId="4C159D7F">
            <w:pPr>
              <w:snapToGrid w:val="0"/>
              <w:spacing w:line="300" w:lineRule="auto"/>
              <w:rPr>
                <w:kern w:val="0"/>
              </w:rPr>
            </w:pPr>
            <w:r>
              <w:rPr>
                <w:rFonts w:hint="eastAsia"/>
                <w:kern w:val="0"/>
              </w:rPr>
              <w:t>渗流轮廓的倾斜段换算长度（m）；</w:t>
            </w:r>
          </w:p>
        </w:tc>
      </w:tr>
      <w:tr w14:paraId="2FD93A43">
        <w:tblPrEx>
          <w:tblCellMar>
            <w:top w:w="0" w:type="dxa"/>
            <w:left w:w="108" w:type="dxa"/>
            <w:bottom w:w="0" w:type="dxa"/>
            <w:right w:w="108" w:type="dxa"/>
          </w:tblCellMar>
        </w:tblPrEx>
        <w:tc>
          <w:tcPr>
            <w:tcW w:w="1533" w:type="dxa"/>
          </w:tcPr>
          <w:p w14:paraId="067E6574">
            <w:pPr>
              <w:spacing w:line="360" w:lineRule="auto"/>
              <w:ind w:right="102"/>
              <w:jc w:val="center"/>
              <w:rPr>
                <w:position w:val="-14"/>
              </w:rPr>
            </w:pPr>
            <w:r>
              <w:rPr>
                <w:rFonts w:hint="eastAsia"/>
                <w:kern w:val="0"/>
              </w:rPr>
              <w:t xml:space="preserve">    </w:t>
            </w:r>
            <w:r>
              <w:rPr>
                <w:rFonts w:hint="eastAsia"/>
                <w:i/>
                <w:iCs/>
                <w:kern w:val="0"/>
              </w:rPr>
              <w:t>l</w:t>
            </w:r>
            <w:r>
              <w:rPr>
                <w:rFonts w:hint="eastAsia"/>
                <w:kern w:val="0"/>
                <w:vertAlign w:val="subscript"/>
              </w:rPr>
              <w:t>1</w:t>
            </w:r>
            <w:r>
              <w:rPr>
                <w:kern w:val="0"/>
              </w:rPr>
              <w:t>—</w:t>
            </w:r>
          </w:p>
        </w:tc>
        <w:tc>
          <w:tcPr>
            <w:tcW w:w="6995" w:type="dxa"/>
            <w:vAlign w:val="center"/>
          </w:tcPr>
          <w:p w14:paraId="3A06BEF9">
            <w:pPr>
              <w:snapToGrid w:val="0"/>
              <w:spacing w:line="360" w:lineRule="auto"/>
              <w:rPr>
                <w:kern w:val="0"/>
              </w:rPr>
            </w:pPr>
            <w:r>
              <w:rPr>
                <w:rFonts w:hint="eastAsia"/>
                <w:kern w:val="0"/>
              </w:rPr>
              <w:t>渗流轮廓倾斜段的水平投影长度（m）；</w:t>
            </w:r>
          </w:p>
        </w:tc>
      </w:tr>
      <w:tr w14:paraId="0870380E">
        <w:tblPrEx>
          <w:tblCellMar>
            <w:top w:w="0" w:type="dxa"/>
            <w:left w:w="108" w:type="dxa"/>
            <w:bottom w:w="0" w:type="dxa"/>
            <w:right w:w="108" w:type="dxa"/>
          </w:tblCellMar>
        </w:tblPrEx>
        <w:tc>
          <w:tcPr>
            <w:tcW w:w="1533" w:type="dxa"/>
          </w:tcPr>
          <w:p w14:paraId="3B9CF415">
            <w:pPr>
              <w:spacing w:line="360" w:lineRule="auto"/>
              <w:ind w:right="102"/>
              <w:jc w:val="center"/>
              <w:rPr>
                <w:kern w:val="0"/>
              </w:rPr>
            </w:pPr>
            <w:r>
              <w:rPr>
                <w:rFonts w:hint="eastAsia"/>
                <w:kern w:val="0"/>
              </w:rPr>
              <w:t xml:space="preserve">    </w:t>
            </w:r>
            <w:r>
              <w:rPr>
                <w:rFonts w:hint="eastAsia"/>
                <w:i/>
                <w:iCs/>
                <w:kern w:val="0"/>
              </w:rPr>
              <w:t>m</w:t>
            </w:r>
            <w:r>
              <w:rPr>
                <w:kern w:val="0"/>
              </w:rPr>
              <w:t>—</w:t>
            </w:r>
          </w:p>
        </w:tc>
        <w:tc>
          <w:tcPr>
            <w:tcW w:w="6995" w:type="dxa"/>
            <w:vAlign w:val="center"/>
          </w:tcPr>
          <w:p w14:paraId="0F4C9802">
            <w:pPr>
              <w:snapToGrid w:val="0"/>
              <w:spacing w:line="360" w:lineRule="auto"/>
            </w:pPr>
            <w:r>
              <w:rPr>
                <w:rFonts w:hint="eastAsia"/>
                <w:kern w:val="0"/>
              </w:rPr>
              <w:t>换算系数，对单排板桩取1.5，对多排板桩取2.0；</w:t>
            </w:r>
          </w:p>
        </w:tc>
      </w:tr>
      <w:tr w14:paraId="688A5435">
        <w:tblPrEx>
          <w:tblCellMar>
            <w:top w:w="0" w:type="dxa"/>
            <w:left w:w="108" w:type="dxa"/>
            <w:bottom w:w="0" w:type="dxa"/>
            <w:right w:w="108" w:type="dxa"/>
          </w:tblCellMar>
        </w:tblPrEx>
        <w:tc>
          <w:tcPr>
            <w:tcW w:w="1533" w:type="dxa"/>
          </w:tcPr>
          <w:p w14:paraId="542334D2">
            <w:pPr>
              <w:spacing w:line="360" w:lineRule="auto"/>
              <w:ind w:right="102"/>
              <w:jc w:val="center"/>
              <w:rPr>
                <w:kern w:val="0"/>
              </w:rPr>
            </w:pPr>
            <w:r>
              <w:rPr>
                <w:rFonts w:hint="eastAsia"/>
                <w:kern w:val="0"/>
              </w:rPr>
              <w:t xml:space="preserve">    </w:t>
            </w:r>
            <w:r>
              <w:rPr>
                <w:rFonts w:hint="eastAsia"/>
                <w:i/>
                <w:iCs/>
                <w:kern w:val="0"/>
              </w:rPr>
              <w:t>l</w:t>
            </w:r>
            <w:r>
              <w:rPr>
                <w:rFonts w:hint="eastAsia"/>
                <w:kern w:val="0"/>
                <w:vertAlign w:val="subscript"/>
              </w:rPr>
              <w:t>2</w:t>
            </w:r>
            <w:r>
              <w:rPr>
                <w:kern w:val="0"/>
              </w:rPr>
              <w:t>—</w:t>
            </w:r>
          </w:p>
        </w:tc>
        <w:tc>
          <w:tcPr>
            <w:tcW w:w="6995" w:type="dxa"/>
            <w:vAlign w:val="center"/>
          </w:tcPr>
          <w:p w14:paraId="65AE3DEB">
            <w:pPr>
              <w:snapToGrid w:val="0"/>
              <w:spacing w:line="360" w:lineRule="auto"/>
            </w:pPr>
            <w:r>
              <w:rPr>
                <w:rFonts w:hint="eastAsia"/>
                <w:kern w:val="0"/>
              </w:rPr>
              <w:t>渗流轮廓倾斜段的垂直投影长度（m）。</w:t>
            </w:r>
          </w:p>
        </w:tc>
      </w:tr>
    </w:tbl>
    <w:p w14:paraId="1DCD6E6A">
      <w:pPr>
        <w:ind w:firstLine="420" w:firstLineChars="200"/>
        <w:jc w:val="center"/>
        <w:rPr>
          <w:kern w:val="0"/>
        </w:rPr>
      </w:pPr>
      <w:r>
        <w:rPr>
          <w:rFonts w:hint="eastAsia"/>
        </w:rPr>
        <w:t xml:space="preserve">表5.4.3  </w:t>
      </w:r>
      <w:r>
        <w:rPr>
          <w:rFonts w:hint="eastAsia"/>
          <w:kern w:val="0"/>
        </w:rPr>
        <w:t>渗径系数表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2169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6D11A754">
            <w:pPr>
              <w:jc w:val="center"/>
              <w:rPr>
                <w:kern w:val="0"/>
              </w:rPr>
            </w:pPr>
            <w:r>
              <w:rPr>
                <w:rFonts w:hint="eastAsia"/>
                <w:kern w:val="0"/>
              </w:rPr>
              <w:t>土壤类别</w:t>
            </w:r>
          </w:p>
        </w:tc>
        <w:tc>
          <w:tcPr>
            <w:tcW w:w="1420" w:type="dxa"/>
          </w:tcPr>
          <w:p w14:paraId="594D4503">
            <w:pPr>
              <w:jc w:val="center"/>
              <w:rPr>
                <w:kern w:val="0"/>
              </w:rPr>
            </w:pPr>
            <w:r>
              <w:rPr>
                <w:rFonts w:hint="eastAsia"/>
                <w:kern w:val="0"/>
              </w:rPr>
              <w:t>粘土</w:t>
            </w:r>
          </w:p>
        </w:tc>
        <w:tc>
          <w:tcPr>
            <w:tcW w:w="1420" w:type="dxa"/>
          </w:tcPr>
          <w:p w14:paraId="045D7BE7">
            <w:pPr>
              <w:jc w:val="center"/>
              <w:rPr>
                <w:kern w:val="0"/>
              </w:rPr>
            </w:pPr>
            <w:r>
              <w:rPr>
                <w:rFonts w:hint="eastAsia"/>
                <w:kern w:val="0"/>
              </w:rPr>
              <w:t>粉质粘土</w:t>
            </w:r>
          </w:p>
        </w:tc>
        <w:tc>
          <w:tcPr>
            <w:tcW w:w="1420" w:type="dxa"/>
          </w:tcPr>
          <w:p w14:paraId="11671168">
            <w:pPr>
              <w:jc w:val="center"/>
              <w:rPr>
                <w:kern w:val="0"/>
              </w:rPr>
            </w:pPr>
            <w:r>
              <w:rPr>
                <w:rFonts w:hint="eastAsia"/>
                <w:kern w:val="0"/>
              </w:rPr>
              <w:t>中砂、粗砂</w:t>
            </w:r>
          </w:p>
        </w:tc>
        <w:tc>
          <w:tcPr>
            <w:tcW w:w="1421" w:type="dxa"/>
          </w:tcPr>
          <w:p w14:paraId="3A137702">
            <w:pPr>
              <w:jc w:val="center"/>
              <w:rPr>
                <w:kern w:val="0"/>
              </w:rPr>
            </w:pPr>
            <w:r>
              <w:rPr>
                <w:rFonts w:hint="eastAsia"/>
                <w:kern w:val="0"/>
              </w:rPr>
              <w:t>细砂</w:t>
            </w:r>
          </w:p>
        </w:tc>
        <w:tc>
          <w:tcPr>
            <w:tcW w:w="1421" w:type="dxa"/>
          </w:tcPr>
          <w:p w14:paraId="17C9525C">
            <w:pPr>
              <w:jc w:val="center"/>
              <w:rPr>
                <w:kern w:val="0"/>
              </w:rPr>
            </w:pPr>
            <w:r>
              <w:rPr>
                <w:rFonts w:hint="eastAsia"/>
                <w:kern w:val="0"/>
              </w:rPr>
              <w:t>粉砂</w:t>
            </w:r>
          </w:p>
        </w:tc>
      </w:tr>
      <w:tr w14:paraId="76C7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5E533CEA">
            <w:pPr>
              <w:jc w:val="center"/>
              <w:rPr>
                <w:kern w:val="0"/>
              </w:rPr>
            </w:pPr>
            <w:r>
              <w:rPr>
                <w:rFonts w:hint="eastAsia"/>
                <w:kern w:val="0"/>
              </w:rPr>
              <w:t>C</w:t>
            </w:r>
            <w:r>
              <w:rPr>
                <w:rFonts w:hint="eastAsia"/>
                <w:kern w:val="0"/>
                <w:vertAlign w:val="subscript"/>
              </w:rPr>
              <w:t>1</w:t>
            </w:r>
          </w:p>
        </w:tc>
        <w:tc>
          <w:tcPr>
            <w:tcW w:w="1420" w:type="dxa"/>
          </w:tcPr>
          <w:p w14:paraId="3A54D245">
            <w:pPr>
              <w:jc w:val="center"/>
              <w:rPr>
                <w:kern w:val="0"/>
              </w:rPr>
            </w:pPr>
            <w:r>
              <w:rPr>
                <w:rFonts w:hint="eastAsia"/>
                <w:kern w:val="0"/>
              </w:rPr>
              <w:t>3~4</w:t>
            </w:r>
          </w:p>
        </w:tc>
        <w:tc>
          <w:tcPr>
            <w:tcW w:w="1420" w:type="dxa"/>
          </w:tcPr>
          <w:p w14:paraId="6313852B">
            <w:pPr>
              <w:jc w:val="center"/>
              <w:rPr>
                <w:kern w:val="0"/>
              </w:rPr>
            </w:pPr>
            <w:r>
              <w:rPr>
                <w:rFonts w:hint="eastAsia"/>
                <w:kern w:val="0"/>
              </w:rPr>
              <w:t>4~6</w:t>
            </w:r>
          </w:p>
        </w:tc>
        <w:tc>
          <w:tcPr>
            <w:tcW w:w="1420" w:type="dxa"/>
          </w:tcPr>
          <w:p w14:paraId="7EE8B63B">
            <w:pPr>
              <w:jc w:val="center"/>
              <w:rPr>
                <w:kern w:val="0"/>
              </w:rPr>
            </w:pPr>
            <w:r>
              <w:rPr>
                <w:rFonts w:hint="eastAsia"/>
                <w:kern w:val="0"/>
              </w:rPr>
              <w:t>6~7</w:t>
            </w:r>
          </w:p>
        </w:tc>
        <w:tc>
          <w:tcPr>
            <w:tcW w:w="1421" w:type="dxa"/>
          </w:tcPr>
          <w:p w14:paraId="40A4000D">
            <w:pPr>
              <w:jc w:val="center"/>
              <w:rPr>
                <w:kern w:val="0"/>
              </w:rPr>
            </w:pPr>
            <w:r>
              <w:rPr>
                <w:rFonts w:hint="eastAsia"/>
                <w:kern w:val="0"/>
              </w:rPr>
              <w:t>7~9</w:t>
            </w:r>
          </w:p>
        </w:tc>
        <w:tc>
          <w:tcPr>
            <w:tcW w:w="1421" w:type="dxa"/>
          </w:tcPr>
          <w:p w14:paraId="6EA2CE0F">
            <w:pPr>
              <w:jc w:val="center"/>
              <w:rPr>
                <w:kern w:val="0"/>
              </w:rPr>
            </w:pPr>
            <w:r>
              <w:rPr>
                <w:rFonts w:hint="eastAsia"/>
                <w:kern w:val="0"/>
              </w:rPr>
              <w:t>9~13</w:t>
            </w:r>
          </w:p>
        </w:tc>
      </w:tr>
    </w:tbl>
    <w:p w14:paraId="719DBFE6">
      <w:pPr>
        <w:spacing w:line="240" w:lineRule="auto"/>
      </w:pPr>
    </w:p>
    <w:p w14:paraId="4BD7BE49">
      <w:pPr>
        <w:spacing w:line="240" w:lineRule="auto"/>
      </w:pPr>
      <w:r>
        <w:t>5</w:t>
      </w:r>
      <w:r>
        <w:rPr>
          <w:rFonts w:hint="eastAsia"/>
        </w:rPr>
        <w:t>.4.4</w:t>
      </w:r>
      <w:r>
        <w:t xml:space="preserve"> </w:t>
      </w:r>
      <w:r>
        <w:rPr>
          <w:rFonts w:hint="eastAsia"/>
        </w:rPr>
        <w:t xml:space="preserve"> 钢板桩墙实际渗透情况可采用现场围井抽水试验确定。抽水试验的要求可按现行行业标准《水利水电工程钻孔抽水试验规程》SL320的规定执行。</w:t>
      </w:r>
    </w:p>
    <w:p w14:paraId="2EABC75E">
      <w:r>
        <w:rPr>
          <w:rFonts w:hint="eastAsia"/>
        </w:rPr>
        <w:t>5.4.5  在满足防水标准条件下，钢板桩支护结构尚应按现行行业标准《建筑基坑支护技术规程》</w:t>
      </w:r>
      <w:r>
        <w:t>JGJ120</w:t>
      </w:r>
      <w:r>
        <w:rPr>
          <w:rFonts w:hint="eastAsia"/>
        </w:rPr>
        <w:t>的有关规定验算防渗、抗突涌安全性。</w:t>
      </w:r>
    </w:p>
    <w:p w14:paraId="0F0C3A9E">
      <w:r>
        <w:rPr>
          <w:rFonts w:hint="eastAsia"/>
        </w:rPr>
        <w:t>5.4.6  锁口间沥青类密封剂、水溶性膨胀型密封剂等止水材料宜根据材料特性，于钢板桩沉桩前在室内填充涂抹，涂抹施工应符合下列规定：</w:t>
      </w:r>
    </w:p>
    <w:p w14:paraId="63316E3A">
      <w:pPr>
        <w:ind w:firstLine="420" w:firstLineChars="200"/>
      </w:pPr>
      <w:r>
        <w:rPr>
          <w:rFonts w:hint="eastAsia"/>
        </w:rPr>
        <w:t>1 密封剂应保持干燥，避免油脂；</w:t>
      </w:r>
    </w:p>
    <w:p w14:paraId="7A5E9510">
      <w:pPr>
        <w:ind w:firstLine="420" w:firstLineChars="200"/>
      </w:pPr>
      <w:r>
        <w:rPr>
          <w:rFonts w:hint="eastAsia"/>
        </w:rPr>
        <w:t>2 密封剂使用前应充分搅拌，涂抹应均匀；</w:t>
      </w:r>
    </w:p>
    <w:p w14:paraId="19897988">
      <w:pPr>
        <w:ind w:firstLine="420" w:firstLineChars="200"/>
      </w:pPr>
      <w:r>
        <w:rPr>
          <w:rFonts w:hint="eastAsia"/>
        </w:rPr>
        <w:t>3 钢板桩应保持水平；</w:t>
      </w:r>
    </w:p>
    <w:p w14:paraId="4A080D7A">
      <w:pPr>
        <w:ind w:firstLine="420" w:firstLineChars="200"/>
      </w:pPr>
      <w:r>
        <w:rPr>
          <w:rFonts w:hint="eastAsia"/>
        </w:rPr>
        <w:t>4 涂抹前应采用压缩空气、刷子或高压水枪清洗接头；</w:t>
      </w:r>
    </w:p>
    <w:p w14:paraId="31F9EE91">
      <w:pPr>
        <w:ind w:firstLine="420" w:firstLineChars="200"/>
      </w:pPr>
      <w:r>
        <w:rPr>
          <w:rFonts w:hint="eastAsia"/>
        </w:rPr>
        <w:t>5 桩两端应采用封泥封堵；</w:t>
      </w:r>
    </w:p>
    <w:p w14:paraId="5C420412">
      <w:pPr>
        <w:ind w:firstLine="420" w:firstLineChars="200"/>
      </w:pPr>
      <w:r>
        <w:t>6</w:t>
      </w:r>
      <w:r>
        <w:rPr>
          <w:rFonts w:hint="eastAsia"/>
        </w:rPr>
        <w:t xml:space="preserve"> 涂抹后应按材料性能指标保持存储环境温度相对恒定，避免接触高温。</w:t>
      </w:r>
    </w:p>
    <w:p w14:paraId="6BA306BF">
      <w:r>
        <w:rPr>
          <w:rFonts w:hint="eastAsia"/>
        </w:rPr>
        <w:t>5.4.7  现场施工类硅烷改性聚合物止水密封剂时，应符合下列规定</w:t>
      </w:r>
      <w:r>
        <w:t>：</w:t>
      </w:r>
    </w:p>
    <w:p w14:paraId="6846AFEA">
      <w:pPr>
        <w:ind w:firstLine="420" w:firstLineChars="200"/>
      </w:pPr>
      <w:r>
        <w:rPr>
          <w:rFonts w:hint="eastAsia"/>
        </w:rPr>
        <w:t>1 应避免雨雪天气施工或设置遮挡；</w:t>
      </w:r>
    </w:p>
    <w:p w14:paraId="7AD79ED0">
      <w:pPr>
        <w:ind w:firstLine="420" w:firstLineChars="200"/>
      </w:pPr>
      <w:r>
        <w:rPr>
          <w:rFonts w:hint="eastAsia"/>
        </w:rPr>
        <w:t>2 填料硬化前板桩应水平放置，锁口开口朝上；</w:t>
      </w:r>
    </w:p>
    <w:p w14:paraId="3CF4869A">
      <w:pPr>
        <w:ind w:firstLine="420" w:firstLineChars="200"/>
      </w:pPr>
      <w:r>
        <w:rPr>
          <w:rFonts w:hint="eastAsia"/>
        </w:rPr>
        <w:t>3 冷却后应避免高温，避免曝晒；</w:t>
      </w:r>
    </w:p>
    <w:p w14:paraId="0BDC914C">
      <w:pPr>
        <w:ind w:firstLine="420" w:firstLineChars="200"/>
      </w:pPr>
      <w:r>
        <w:rPr>
          <w:rFonts w:hint="eastAsia"/>
        </w:rPr>
        <w:t>4 沉桩应采用导向架；</w:t>
      </w:r>
    </w:p>
    <w:p w14:paraId="27BED1CC">
      <w:pPr>
        <w:ind w:firstLine="420" w:firstLineChars="200"/>
      </w:pPr>
      <w:r>
        <w:rPr>
          <w:rFonts w:hint="eastAsia"/>
        </w:rPr>
        <w:t>5 低温状态下可采用辅助材料，但不应在室外温度低于-10</w:t>
      </w:r>
      <w:r>
        <w:t>°c</w:t>
      </w:r>
      <w:r>
        <w:rPr>
          <w:rFonts w:hint="eastAsia"/>
        </w:rPr>
        <w:t>时使用。</w:t>
      </w:r>
    </w:p>
    <w:p w14:paraId="5E8359FF">
      <w:r>
        <w:rPr>
          <w:rFonts w:hint="eastAsia"/>
        </w:rPr>
        <w:t>5.4.8  当开挖后发现锁口止水破坏，可根据原止水材料类型、位置、锁口实际缝隙尺寸、漏水程度以及操作性，按表5.4.8分别选用锁口补焊缝法、锁口补焊角钢或钢板法、锁口塞条或遇水膨胀橡胶条法等止水修复方法。</w:t>
      </w:r>
    </w:p>
    <w:p w14:paraId="70207223">
      <w:pPr>
        <w:jc w:val="center"/>
      </w:pPr>
      <w:r>
        <w:rPr>
          <w:rFonts w:hint="eastAsia"/>
        </w:rPr>
        <w:t>表5.4.8  钢板桩锁口止水修复方法</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1106"/>
        <w:gridCol w:w="697"/>
        <w:gridCol w:w="997"/>
        <w:gridCol w:w="684"/>
        <w:gridCol w:w="552"/>
        <w:gridCol w:w="503"/>
        <w:gridCol w:w="743"/>
        <w:gridCol w:w="804"/>
        <w:gridCol w:w="911"/>
        <w:gridCol w:w="2476"/>
      </w:tblGrid>
      <w:tr w14:paraId="09F2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Merge w:val="restart"/>
          </w:tcPr>
          <w:p w14:paraId="27C79523">
            <w:pPr>
              <w:jc w:val="center"/>
            </w:pPr>
            <w:r>
              <w:rPr>
                <w:rFonts w:hint="eastAsia"/>
              </w:rPr>
              <w:t>序号</w:t>
            </w:r>
          </w:p>
        </w:tc>
        <w:tc>
          <w:tcPr>
            <w:tcW w:w="560" w:type="pct"/>
            <w:vMerge w:val="restart"/>
          </w:tcPr>
          <w:p w14:paraId="2EB13343">
            <w:pPr>
              <w:jc w:val="center"/>
            </w:pPr>
            <w:r>
              <w:rPr>
                <w:rFonts w:hint="eastAsia"/>
              </w:rPr>
              <w:t>原止水</w:t>
            </w:r>
          </w:p>
          <w:p w14:paraId="5F08591F">
            <w:pPr>
              <w:jc w:val="center"/>
            </w:pPr>
            <w:r>
              <w:rPr>
                <w:rFonts w:hint="eastAsia"/>
              </w:rPr>
              <w:t>材料位置</w:t>
            </w:r>
          </w:p>
        </w:tc>
        <w:tc>
          <w:tcPr>
            <w:tcW w:w="1205" w:type="pct"/>
            <w:gridSpan w:val="3"/>
          </w:tcPr>
          <w:p w14:paraId="5E4FD48C">
            <w:pPr>
              <w:jc w:val="center"/>
            </w:pPr>
            <w:r>
              <w:rPr>
                <w:rFonts w:hint="eastAsia"/>
              </w:rPr>
              <w:t>原止水材料类型</w:t>
            </w:r>
          </w:p>
        </w:tc>
        <w:tc>
          <w:tcPr>
            <w:tcW w:w="535" w:type="pct"/>
            <w:gridSpan w:val="2"/>
          </w:tcPr>
          <w:p w14:paraId="3799FA58">
            <w:pPr>
              <w:jc w:val="center"/>
            </w:pPr>
            <w:r>
              <w:rPr>
                <w:rFonts w:hint="eastAsia"/>
              </w:rPr>
              <w:t>锁口</w:t>
            </w:r>
          </w:p>
          <w:p w14:paraId="2925C2A2">
            <w:pPr>
              <w:jc w:val="center"/>
            </w:pPr>
            <w:r>
              <w:rPr>
                <w:rFonts w:hint="eastAsia"/>
              </w:rPr>
              <w:t>缝隙</w:t>
            </w:r>
          </w:p>
        </w:tc>
        <w:tc>
          <w:tcPr>
            <w:tcW w:w="785" w:type="pct"/>
            <w:gridSpan w:val="2"/>
          </w:tcPr>
          <w:p w14:paraId="28A89154">
            <w:pPr>
              <w:jc w:val="center"/>
            </w:pPr>
            <w:r>
              <w:rPr>
                <w:rFonts w:hint="eastAsia"/>
              </w:rPr>
              <w:t>锁口漏水情况</w:t>
            </w:r>
          </w:p>
        </w:tc>
        <w:tc>
          <w:tcPr>
            <w:tcW w:w="462" w:type="pct"/>
          </w:tcPr>
          <w:p w14:paraId="65DBFA23">
            <w:pPr>
              <w:jc w:val="center"/>
            </w:pPr>
            <w:r>
              <w:rPr>
                <w:rFonts w:hint="eastAsia"/>
              </w:rPr>
              <w:t>可及性</w:t>
            </w:r>
          </w:p>
        </w:tc>
        <w:tc>
          <w:tcPr>
            <w:tcW w:w="1255" w:type="pct"/>
            <w:vMerge w:val="restart"/>
          </w:tcPr>
          <w:p w14:paraId="4317FA84">
            <w:pPr>
              <w:jc w:val="center"/>
            </w:pPr>
            <w:r>
              <w:rPr>
                <w:rFonts w:hint="eastAsia"/>
              </w:rPr>
              <w:t>使用方法</w:t>
            </w:r>
          </w:p>
        </w:tc>
      </w:tr>
      <w:tr w14:paraId="11BB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vMerge w:val="continue"/>
          </w:tcPr>
          <w:p w14:paraId="324EA714">
            <w:pPr>
              <w:jc w:val="center"/>
            </w:pPr>
          </w:p>
        </w:tc>
        <w:tc>
          <w:tcPr>
            <w:tcW w:w="560" w:type="pct"/>
            <w:vMerge w:val="continue"/>
          </w:tcPr>
          <w:p w14:paraId="0E6C7B91">
            <w:pPr>
              <w:jc w:val="center"/>
            </w:pPr>
          </w:p>
        </w:tc>
        <w:tc>
          <w:tcPr>
            <w:tcW w:w="353" w:type="pct"/>
          </w:tcPr>
          <w:p w14:paraId="72CD2039">
            <w:pPr>
              <w:jc w:val="center"/>
            </w:pPr>
            <w:r>
              <w:rPr>
                <w:rFonts w:hint="eastAsia"/>
              </w:rPr>
              <w:t>沥青类密封剂</w:t>
            </w:r>
          </w:p>
        </w:tc>
        <w:tc>
          <w:tcPr>
            <w:tcW w:w="505" w:type="pct"/>
          </w:tcPr>
          <w:p w14:paraId="425A0D8A">
            <w:pPr>
              <w:jc w:val="center"/>
            </w:pPr>
            <w:r>
              <w:rPr>
                <w:rFonts w:hint="eastAsia"/>
              </w:rPr>
              <w:t>水溶性膨胀型密封剂</w:t>
            </w:r>
          </w:p>
        </w:tc>
        <w:tc>
          <w:tcPr>
            <w:tcW w:w="347" w:type="pct"/>
          </w:tcPr>
          <w:p w14:paraId="13C63117">
            <w:pPr>
              <w:jc w:val="center"/>
            </w:pPr>
            <w:r>
              <w:rPr>
                <w:rFonts w:hint="eastAsia"/>
              </w:rPr>
              <w:t>焊接锁口</w:t>
            </w:r>
          </w:p>
        </w:tc>
        <w:tc>
          <w:tcPr>
            <w:tcW w:w="280" w:type="pct"/>
          </w:tcPr>
          <w:p w14:paraId="3555FD8C">
            <w:pPr>
              <w:jc w:val="center"/>
            </w:pPr>
            <w:r>
              <w:rPr>
                <w:rFonts w:hint="eastAsia"/>
              </w:rPr>
              <w:t>无</w:t>
            </w:r>
          </w:p>
        </w:tc>
        <w:tc>
          <w:tcPr>
            <w:tcW w:w="255" w:type="pct"/>
          </w:tcPr>
          <w:p w14:paraId="3EECB48F">
            <w:pPr>
              <w:jc w:val="center"/>
            </w:pPr>
            <w:r>
              <w:rPr>
                <w:rFonts w:hint="eastAsia"/>
              </w:rPr>
              <w:t>有</w:t>
            </w:r>
          </w:p>
        </w:tc>
        <w:tc>
          <w:tcPr>
            <w:tcW w:w="377" w:type="pct"/>
          </w:tcPr>
          <w:p w14:paraId="19D79D7B">
            <w:pPr>
              <w:jc w:val="center"/>
            </w:pPr>
            <w:r>
              <w:rPr>
                <w:rFonts w:hint="eastAsia"/>
              </w:rPr>
              <w:t>潮湿无缝</w:t>
            </w:r>
          </w:p>
        </w:tc>
        <w:tc>
          <w:tcPr>
            <w:tcW w:w="407" w:type="pct"/>
          </w:tcPr>
          <w:p w14:paraId="7FC12EC1">
            <w:pPr>
              <w:jc w:val="center"/>
            </w:pPr>
            <w:r>
              <w:rPr>
                <w:rFonts w:hint="eastAsia"/>
              </w:rPr>
              <w:t>潮湿有缝</w:t>
            </w:r>
          </w:p>
        </w:tc>
        <w:tc>
          <w:tcPr>
            <w:tcW w:w="462" w:type="pct"/>
          </w:tcPr>
          <w:p w14:paraId="312B8F5C">
            <w:pPr>
              <w:jc w:val="center"/>
            </w:pPr>
            <w:r>
              <w:rPr>
                <w:rFonts w:hint="eastAsia"/>
              </w:rPr>
              <w:t>仅开</w:t>
            </w:r>
          </w:p>
          <w:p w14:paraId="6F278FF7">
            <w:pPr>
              <w:jc w:val="center"/>
            </w:pPr>
            <w:r>
              <w:rPr>
                <w:rFonts w:hint="eastAsia"/>
              </w:rPr>
              <w:t>挖面</w:t>
            </w:r>
          </w:p>
        </w:tc>
        <w:tc>
          <w:tcPr>
            <w:tcW w:w="1255" w:type="pct"/>
            <w:vMerge w:val="continue"/>
          </w:tcPr>
          <w:p w14:paraId="5BCAE4E0">
            <w:pPr>
              <w:jc w:val="center"/>
            </w:pPr>
          </w:p>
        </w:tc>
      </w:tr>
      <w:tr w14:paraId="42D3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tcPr>
          <w:p w14:paraId="578BF19E">
            <w:pPr>
              <w:jc w:val="center"/>
            </w:pPr>
            <w:r>
              <w:rPr>
                <w:rFonts w:hint="eastAsia"/>
              </w:rPr>
              <w:t>1</w:t>
            </w:r>
          </w:p>
        </w:tc>
        <w:tc>
          <w:tcPr>
            <w:tcW w:w="560" w:type="pct"/>
            <w:vMerge w:val="restart"/>
            <w:textDirection w:val="tbRlV"/>
          </w:tcPr>
          <w:p w14:paraId="2EC1192F">
            <w:pPr>
              <w:ind w:left="113" w:right="113"/>
            </w:pPr>
          </w:p>
          <w:p w14:paraId="40EFF14C">
            <w:pPr>
              <w:ind w:left="113" w:right="113"/>
              <w:jc w:val="center"/>
            </w:pPr>
            <w:r>
              <w:rPr>
                <w:rFonts w:hint="eastAsia"/>
              </w:rPr>
              <w:t>位于迎水、迎土侧</w:t>
            </w:r>
          </w:p>
        </w:tc>
        <w:tc>
          <w:tcPr>
            <w:tcW w:w="353" w:type="pct"/>
          </w:tcPr>
          <w:p w14:paraId="5008C68D">
            <w:pPr>
              <w:jc w:val="center"/>
            </w:pPr>
            <w:r>
              <w:rPr>
                <w:rFonts w:ascii="Arial" w:hAnsi="Arial" w:cs="Arial"/>
              </w:rPr>
              <w:t>√</w:t>
            </w:r>
          </w:p>
        </w:tc>
        <w:tc>
          <w:tcPr>
            <w:tcW w:w="505" w:type="pct"/>
          </w:tcPr>
          <w:p w14:paraId="7BB5F62C">
            <w:pPr>
              <w:jc w:val="center"/>
            </w:pPr>
            <w:r>
              <w:rPr>
                <w:rFonts w:ascii="Arial" w:hAnsi="Arial" w:cs="Arial"/>
              </w:rPr>
              <w:t>√</w:t>
            </w:r>
          </w:p>
        </w:tc>
        <w:tc>
          <w:tcPr>
            <w:tcW w:w="347" w:type="pct"/>
          </w:tcPr>
          <w:p w14:paraId="0EB1E5DB">
            <w:pPr>
              <w:jc w:val="center"/>
            </w:pPr>
            <w:r>
              <w:rPr>
                <w:rFonts w:ascii="Arial" w:hAnsi="Arial" w:cs="Arial"/>
              </w:rPr>
              <w:t>√</w:t>
            </w:r>
          </w:p>
        </w:tc>
        <w:tc>
          <w:tcPr>
            <w:tcW w:w="280" w:type="pct"/>
          </w:tcPr>
          <w:p w14:paraId="59CBBD60">
            <w:pPr>
              <w:jc w:val="center"/>
            </w:pPr>
            <w:r>
              <w:rPr>
                <w:rFonts w:ascii="Arial" w:hAnsi="Arial" w:cs="Arial"/>
              </w:rPr>
              <w:t>√</w:t>
            </w:r>
          </w:p>
        </w:tc>
        <w:tc>
          <w:tcPr>
            <w:tcW w:w="255" w:type="pct"/>
          </w:tcPr>
          <w:p w14:paraId="782CFC44">
            <w:pPr>
              <w:jc w:val="center"/>
            </w:pPr>
          </w:p>
        </w:tc>
        <w:tc>
          <w:tcPr>
            <w:tcW w:w="377" w:type="pct"/>
          </w:tcPr>
          <w:p w14:paraId="70D6A839">
            <w:pPr>
              <w:jc w:val="center"/>
            </w:pPr>
            <w:r>
              <w:rPr>
                <w:rFonts w:ascii="Arial" w:hAnsi="Arial" w:cs="Arial"/>
              </w:rPr>
              <w:t>√</w:t>
            </w:r>
          </w:p>
        </w:tc>
        <w:tc>
          <w:tcPr>
            <w:tcW w:w="407" w:type="pct"/>
          </w:tcPr>
          <w:p w14:paraId="760085B8">
            <w:pPr>
              <w:jc w:val="center"/>
            </w:pPr>
          </w:p>
        </w:tc>
        <w:tc>
          <w:tcPr>
            <w:tcW w:w="462" w:type="pct"/>
          </w:tcPr>
          <w:p w14:paraId="0D16DD28">
            <w:pPr>
              <w:jc w:val="center"/>
            </w:pPr>
            <w:r>
              <w:rPr>
                <w:rFonts w:ascii="Arial" w:hAnsi="Arial" w:cs="Arial"/>
              </w:rPr>
              <w:t>√</w:t>
            </w:r>
          </w:p>
        </w:tc>
        <w:tc>
          <w:tcPr>
            <w:tcW w:w="1255" w:type="pct"/>
          </w:tcPr>
          <w:p w14:paraId="412EFE01">
            <w:pPr>
              <w:jc w:val="center"/>
            </w:pPr>
            <w:r>
              <w:rPr>
                <w:rFonts w:hint="eastAsia"/>
              </w:rPr>
              <w:t>锁口补焊缝法、锁口补焊角钢或钢板法</w:t>
            </w:r>
          </w:p>
        </w:tc>
      </w:tr>
      <w:tr w14:paraId="7694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tcPr>
          <w:p w14:paraId="3E86A712">
            <w:pPr>
              <w:jc w:val="center"/>
            </w:pPr>
            <w:r>
              <w:rPr>
                <w:rFonts w:hint="eastAsia"/>
              </w:rPr>
              <w:t>2</w:t>
            </w:r>
          </w:p>
        </w:tc>
        <w:tc>
          <w:tcPr>
            <w:tcW w:w="560" w:type="pct"/>
            <w:vMerge w:val="continue"/>
          </w:tcPr>
          <w:p w14:paraId="4EC43AC0">
            <w:pPr>
              <w:jc w:val="center"/>
            </w:pPr>
          </w:p>
        </w:tc>
        <w:tc>
          <w:tcPr>
            <w:tcW w:w="353" w:type="pct"/>
          </w:tcPr>
          <w:p w14:paraId="590EB017">
            <w:pPr>
              <w:jc w:val="center"/>
            </w:pPr>
            <w:r>
              <w:rPr>
                <w:rFonts w:ascii="Arial" w:hAnsi="Arial" w:cs="Arial"/>
              </w:rPr>
              <w:t>√</w:t>
            </w:r>
          </w:p>
        </w:tc>
        <w:tc>
          <w:tcPr>
            <w:tcW w:w="505" w:type="pct"/>
          </w:tcPr>
          <w:p w14:paraId="2386421E">
            <w:pPr>
              <w:jc w:val="center"/>
            </w:pPr>
            <w:r>
              <w:rPr>
                <w:rFonts w:ascii="Arial" w:hAnsi="Arial" w:cs="Arial"/>
              </w:rPr>
              <w:t>√</w:t>
            </w:r>
          </w:p>
        </w:tc>
        <w:tc>
          <w:tcPr>
            <w:tcW w:w="347" w:type="pct"/>
          </w:tcPr>
          <w:p w14:paraId="70A3319E">
            <w:pPr>
              <w:jc w:val="center"/>
            </w:pPr>
            <w:r>
              <w:rPr>
                <w:rFonts w:ascii="Arial" w:hAnsi="Arial" w:cs="Arial"/>
              </w:rPr>
              <w:t>√</w:t>
            </w:r>
          </w:p>
        </w:tc>
        <w:tc>
          <w:tcPr>
            <w:tcW w:w="280" w:type="pct"/>
          </w:tcPr>
          <w:p w14:paraId="3FB3677F">
            <w:pPr>
              <w:jc w:val="center"/>
            </w:pPr>
          </w:p>
        </w:tc>
        <w:tc>
          <w:tcPr>
            <w:tcW w:w="255" w:type="pct"/>
          </w:tcPr>
          <w:p w14:paraId="60963898">
            <w:pPr>
              <w:jc w:val="center"/>
            </w:pPr>
            <w:r>
              <w:rPr>
                <w:rFonts w:ascii="Arial" w:hAnsi="Arial" w:cs="Arial"/>
              </w:rPr>
              <w:t>√</w:t>
            </w:r>
          </w:p>
        </w:tc>
        <w:tc>
          <w:tcPr>
            <w:tcW w:w="377" w:type="pct"/>
          </w:tcPr>
          <w:p w14:paraId="7E0607AA">
            <w:pPr>
              <w:jc w:val="center"/>
            </w:pPr>
            <w:r>
              <w:rPr>
                <w:rFonts w:ascii="Arial" w:hAnsi="Arial" w:cs="Arial"/>
              </w:rPr>
              <w:t>√</w:t>
            </w:r>
          </w:p>
        </w:tc>
        <w:tc>
          <w:tcPr>
            <w:tcW w:w="407" w:type="pct"/>
          </w:tcPr>
          <w:p w14:paraId="48610CE7">
            <w:pPr>
              <w:jc w:val="center"/>
            </w:pPr>
          </w:p>
        </w:tc>
        <w:tc>
          <w:tcPr>
            <w:tcW w:w="462" w:type="pct"/>
          </w:tcPr>
          <w:p w14:paraId="4E38D568">
            <w:pPr>
              <w:jc w:val="center"/>
            </w:pPr>
            <w:r>
              <w:rPr>
                <w:rFonts w:ascii="Arial" w:hAnsi="Arial" w:cs="Arial"/>
              </w:rPr>
              <w:t>√</w:t>
            </w:r>
          </w:p>
        </w:tc>
        <w:tc>
          <w:tcPr>
            <w:tcW w:w="1255" w:type="pct"/>
          </w:tcPr>
          <w:p w14:paraId="755FC84D">
            <w:pPr>
              <w:jc w:val="center"/>
            </w:pPr>
            <w:r>
              <w:rPr>
                <w:rFonts w:hint="eastAsia"/>
              </w:rPr>
              <w:t>锁口补焊缝法、锁口补焊角钢或钢板法、锁口塞条或遇水膨胀橡胶条法</w:t>
            </w:r>
          </w:p>
        </w:tc>
      </w:tr>
      <w:tr w14:paraId="53A7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tcPr>
          <w:p w14:paraId="2C2DD2ED">
            <w:pPr>
              <w:jc w:val="center"/>
            </w:pPr>
            <w:r>
              <w:rPr>
                <w:rFonts w:hint="eastAsia"/>
              </w:rPr>
              <w:t>3</w:t>
            </w:r>
          </w:p>
        </w:tc>
        <w:tc>
          <w:tcPr>
            <w:tcW w:w="560" w:type="pct"/>
            <w:vMerge w:val="continue"/>
          </w:tcPr>
          <w:p w14:paraId="7501A024">
            <w:pPr>
              <w:jc w:val="center"/>
            </w:pPr>
          </w:p>
        </w:tc>
        <w:tc>
          <w:tcPr>
            <w:tcW w:w="353" w:type="pct"/>
          </w:tcPr>
          <w:p w14:paraId="5A69814F">
            <w:pPr>
              <w:jc w:val="center"/>
            </w:pPr>
            <w:r>
              <w:rPr>
                <w:rFonts w:ascii="Arial" w:hAnsi="Arial" w:cs="Arial"/>
              </w:rPr>
              <w:t>√</w:t>
            </w:r>
          </w:p>
        </w:tc>
        <w:tc>
          <w:tcPr>
            <w:tcW w:w="505" w:type="pct"/>
          </w:tcPr>
          <w:p w14:paraId="1C9293D6">
            <w:pPr>
              <w:jc w:val="center"/>
            </w:pPr>
            <w:r>
              <w:rPr>
                <w:rFonts w:ascii="Arial" w:hAnsi="Arial" w:cs="Arial"/>
              </w:rPr>
              <w:t>√</w:t>
            </w:r>
          </w:p>
        </w:tc>
        <w:tc>
          <w:tcPr>
            <w:tcW w:w="347" w:type="pct"/>
          </w:tcPr>
          <w:p w14:paraId="3E3E2DF1">
            <w:pPr>
              <w:jc w:val="center"/>
            </w:pPr>
            <w:r>
              <w:rPr>
                <w:rFonts w:ascii="Arial" w:hAnsi="Arial" w:cs="Arial"/>
              </w:rPr>
              <w:t>√</w:t>
            </w:r>
          </w:p>
        </w:tc>
        <w:tc>
          <w:tcPr>
            <w:tcW w:w="280" w:type="pct"/>
          </w:tcPr>
          <w:p w14:paraId="72754F0A">
            <w:pPr>
              <w:jc w:val="center"/>
            </w:pPr>
          </w:p>
        </w:tc>
        <w:tc>
          <w:tcPr>
            <w:tcW w:w="255" w:type="pct"/>
          </w:tcPr>
          <w:p w14:paraId="19662055">
            <w:pPr>
              <w:jc w:val="center"/>
            </w:pPr>
            <w:r>
              <w:rPr>
                <w:rFonts w:ascii="Arial" w:hAnsi="Arial" w:cs="Arial"/>
              </w:rPr>
              <w:t>√</w:t>
            </w:r>
          </w:p>
        </w:tc>
        <w:tc>
          <w:tcPr>
            <w:tcW w:w="377" w:type="pct"/>
          </w:tcPr>
          <w:p w14:paraId="7DF30D5B">
            <w:pPr>
              <w:jc w:val="center"/>
            </w:pPr>
          </w:p>
        </w:tc>
        <w:tc>
          <w:tcPr>
            <w:tcW w:w="407" w:type="pct"/>
          </w:tcPr>
          <w:p w14:paraId="705449E7">
            <w:pPr>
              <w:jc w:val="center"/>
            </w:pPr>
            <w:r>
              <w:rPr>
                <w:rFonts w:ascii="Arial" w:hAnsi="Arial" w:cs="Arial"/>
              </w:rPr>
              <w:t>√</w:t>
            </w:r>
          </w:p>
        </w:tc>
        <w:tc>
          <w:tcPr>
            <w:tcW w:w="462" w:type="pct"/>
          </w:tcPr>
          <w:p w14:paraId="6CA407D8">
            <w:pPr>
              <w:jc w:val="center"/>
            </w:pPr>
            <w:r>
              <w:rPr>
                <w:rFonts w:ascii="Arial" w:hAnsi="Arial" w:cs="Arial"/>
              </w:rPr>
              <w:t>√</w:t>
            </w:r>
          </w:p>
        </w:tc>
        <w:tc>
          <w:tcPr>
            <w:tcW w:w="1255" w:type="pct"/>
          </w:tcPr>
          <w:p w14:paraId="6BCDDD15">
            <w:pPr>
              <w:jc w:val="center"/>
            </w:pPr>
            <w:r>
              <w:rPr>
                <w:rFonts w:hint="eastAsia"/>
              </w:rPr>
              <w:t>锁口补焊角钢或钢板法、锁口塞条或遇水膨胀橡胶条法</w:t>
            </w:r>
          </w:p>
        </w:tc>
      </w:tr>
      <w:tr w14:paraId="4715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tcPr>
          <w:p w14:paraId="5526633C">
            <w:pPr>
              <w:jc w:val="center"/>
            </w:pPr>
            <w:r>
              <w:rPr>
                <w:rFonts w:hint="eastAsia"/>
              </w:rPr>
              <w:t>4</w:t>
            </w:r>
          </w:p>
        </w:tc>
        <w:tc>
          <w:tcPr>
            <w:tcW w:w="560" w:type="pct"/>
            <w:vMerge w:val="restart"/>
            <w:textDirection w:val="tbRlV"/>
          </w:tcPr>
          <w:p w14:paraId="3CB9D3A8">
            <w:pPr>
              <w:ind w:left="113" w:right="113"/>
            </w:pPr>
          </w:p>
          <w:p w14:paraId="3FF9AC39">
            <w:pPr>
              <w:ind w:left="113" w:right="113"/>
              <w:jc w:val="center"/>
            </w:pPr>
            <w:r>
              <w:rPr>
                <w:rFonts w:hint="eastAsia"/>
              </w:rPr>
              <w:t>位于迎坑侧</w:t>
            </w:r>
          </w:p>
        </w:tc>
        <w:tc>
          <w:tcPr>
            <w:tcW w:w="353" w:type="pct"/>
          </w:tcPr>
          <w:p w14:paraId="6850D887">
            <w:pPr>
              <w:jc w:val="center"/>
            </w:pPr>
            <w:r>
              <w:rPr>
                <w:rFonts w:ascii="Arial" w:hAnsi="Arial" w:cs="Arial"/>
              </w:rPr>
              <w:t>√</w:t>
            </w:r>
          </w:p>
        </w:tc>
        <w:tc>
          <w:tcPr>
            <w:tcW w:w="505" w:type="pct"/>
          </w:tcPr>
          <w:p w14:paraId="008F9A60">
            <w:pPr>
              <w:jc w:val="center"/>
            </w:pPr>
            <w:r>
              <w:rPr>
                <w:rFonts w:ascii="Arial" w:hAnsi="Arial" w:cs="Arial"/>
              </w:rPr>
              <w:t>√</w:t>
            </w:r>
          </w:p>
        </w:tc>
        <w:tc>
          <w:tcPr>
            <w:tcW w:w="347" w:type="pct"/>
          </w:tcPr>
          <w:p w14:paraId="2021F47F">
            <w:pPr>
              <w:jc w:val="center"/>
            </w:pPr>
          </w:p>
        </w:tc>
        <w:tc>
          <w:tcPr>
            <w:tcW w:w="280" w:type="pct"/>
          </w:tcPr>
          <w:p w14:paraId="51AD78A4">
            <w:pPr>
              <w:jc w:val="center"/>
            </w:pPr>
            <w:r>
              <w:rPr>
                <w:rFonts w:ascii="Arial" w:hAnsi="Arial" w:cs="Arial"/>
              </w:rPr>
              <w:t>√</w:t>
            </w:r>
          </w:p>
        </w:tc>
        <w:tc>
          <w:tcPr>
            <w:tcW w:w="255" w:type="pct"/>
          </w:tcPr>
          <w:p w14:paraId="06F9FC04">
            <w:pPr>
              <w:jc w:val="center"/>
            </w:pPr>
          </w:p>
        </w:tc>
        <w:tc>
          <w:tcPr>
            <w:tcW w:w="377" w:type="pct"/>
          </w:tcPr>
          <w:p w14:paraId="3F45EBBC">
            <w:pPr>
              <w:jc w:val="center"/>
            </w:pPr>
            <w:r>
              <w:rPr>
                <w:rFonts w:ascii="Arial" w:hAnsi="Arial" w:cs="Arial"/>
              </w:rPr>
              <w:t>√</w:t>
            </w:r>
          </w:p>
        </w:tc>
        <w:tc>
          <w:tcPr>
            <w:tcW w:w="407" w:type="pct"/>
          </w:tcPr>
          <w:p w14:paraId="787173AB">
            <w:pPr>
              <w:jc w:val="center"/>
            </w:pPr>
          </w:p>
        </w:tc>
        <w:tc>
          <w:tcPr>
            <w:tcW w:w="462" w:type="pct"/>
          </w:tcPr>
          <w:p w14:paraId="336F684C">
            <w:pPr>
              <w:jc w:val="center"/>
            </w:pPr>
            <w:r>
              <w:rPr>
                <w:rFonts w:ascii="Arial" w:hAnsi="Arial" w:cs="Arial"/>
              </w:rPr>
              <w:t>√</w:t>
            </w:r>
          </w:p>
        </w:tc>
        <w:tc>
          <w:tcPr>
            <w:tcW w:w="1255" w:type="pct"/>
          </w:tcPr>
          <w:p w14:paraId="54010B24">
            <w:pPr>
              <w:jc w:val="center"/>
            </w:pPr>
            <w:r>
              <w:rPr>
                <w:rFonts w:hint="eastAsia"/>
              </w:rPr>
              <w:t>锁口补焊角钢或钢板法</w:t>
            </w:r>
          </w:p>
        </w:tc>
      </w:tr>
      <w:tr w14:paraId="5332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tcPr>
          <w:p w14:paraId="185C2ADC">
            <w:pPr>
              <w:jc w:val="center"/>
            </w:pPr>
            <w:r>
              <w:rPr>
                <w:rFonts w:hint="eastAsia"/>
              </w:rPr>
              <w:t>5</w:t>
            </w:r>
          </w:p>
        </w:tc>
        <w:tc>
          <w:tcPr>
            <w:tcW w:w="560" w:type="pct"/>
            <w:vMerge w:val="continue"/>
          </w:tcPr>
          <w:p w14:paraId="22E4FE42">
            <w:pPr>
              <w:jc w:val="center"/>
            </w:pPr>
          </w:p>
        </w:tc>
        <w:tc>
          <w:tcPr>
            <w:tcW w:w="353" w:type="pct"/>
          </w:tcPr>
          <w:p w14:paraId="45FAF6A1">
            <w:pPr>
              <w:jc w:val="center"/>
            </w:pPr>
            <w:r>
              <w:rPr>
                <w:rFonts w:ascii="Arial" w:hAnsi="Arial" w:cs="Arial"/>
              </w:rPr>
              <w:t>√</w:t>
            </w:r>
          </w:p>
        </w:tc>
        <w:tc>
          <w:tcPr>
            <w:tcW w:w="505" w:type="pct"/>
          </w:tcPr>
          <w:p w14:paraId="47D4515C">
            <w:pPr>
              <w:jc w:val="center"/>
            </w:pPr>
            <w:r>
              <w:rPr>
                <w:rFonts w:ascii="Arial" w:hAnsi="Arial" w:cs="Arial"/>
              </w:rPr>
              <w:t>√</w:t>
            </w:r>
          </w:p>
        </w:tc>
        <w:tc>
          <w:tcPr>
            <w:tcW w:w="347" w:type="pct"/>
          </w:tcPr>
          <w:p w14:paraId="37420C37">
            <w:pPr>
              <w:jc w:val="center"/>
            </w:pPr>
          </w:p>
        </w:tc>
        <w:tc>
          <w:tcPr>
            <w:tcW w:w="280" w:type="pct"/>
          </w:tcPr>
          <w:p w14:paraId="7BDB72FE">
            <w:pPr>
              <w:jc w:val="center"/>
            </w:pPr>
          </w:p>
        </w:tc>
        <w:tc>
          <w:tcPr>
            <w:tcW w:w="255" w:type="pct"/>
          </w:tcPr>
          <w:p w14:paraId="2CD77263">
            <w:pPr>
              <w:jc w:val="center"/>
            </w:pPr>
            <w:r>
              <w:rPr>
                <w:rFonts w:ascii="Arial" w:hAnsi="Arial" w:cs="Arial"/>
              </w:rPr>
              <w:t>√</w:t>
            </w:r>
          </w:p>
        </w:tc>
        <w:tc>
          <w:tcPr>
            <w:tcW w:w="377" w:type="pct"/>
          </w:tcPr>
          <w:p w14:paraId="604BFA08">
            <w:pPr>
              <w:jc w:val="center"/>
            </w:pPr>
            <w:r>
              <w:rPr>
                <w:rFonts w:ascii="Arial" w:hAnsi="Arial" w:cs="Arial"/>
              </w:rPr>
              <w:t>√</w:t>
            </w:r>
          </w:p>
        </w:tc>
        <w:tc>
          <w:tcPr>
            <w:tcW w:w="407" w:type="pct"/>
          </w:tcPr>
          <w:p w14:paraId="5DC3FC57">
            <w:pPr>
              <w:jc w:val="center"/>
            </w:pPr>
            <w:r>
              <w:rPr>
                <w:rFonts w:ascii="Arial" w:hAnsi="Arial" w:cs="Arial"/>
              </w:rPr>
              <w:t>√</w:t>
            </w:r>
          </w:p>
        </w:tc>
        <w:tc>
          <w:tcPr>
            <w:tcW w:w="462" w:type="pct"/>
          </w:tcPr>
          <w:p w14:paraId="42B483FA">
            <w:pPr>
              <w:jc w:val="center"/>
            </w:pPr>
            <w:r>
              <w:rPr>
                <w:rFonts w:ascii="Arial" w:hAnsi="Arial" w:cs="Arial"/>
              </w:rPr>
              <w:t>√</w:t>
            </w:r>
          </w:p>
        </w:tc>
        <w:tc>
          <w:tcPr>
            <w:tcW w:w="1255" w:type="pct"/>
          </w:tcPr>
          <w:p w14:paraId="2237D6A7">
            <w:pPr>
              <w:jc w:val="center"/>
            </w:pPr>
            <w:r>
              <w:rPr>
                <w:rFonts w:hint="eastAsia"/>
              </w:rPr>
              <w:t>锁口补焊角钢或钢板法、锁口塞条或遇水膨胀橡胶条法</w:t>
            </w:r>
          </w:p>
        </w:tc>
      </w:tr>
      <w:tr w14:paraId="5CD8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 w:type="pct"/>
          </w:tcPr>
          <w:p w14:paraId="55685062">
            <w:pPr>
              <w:jc w:val="center"/>
            </w:pPr>
            <w:r>
              <w:rPr>
                <w:rFonts w:hint="eastAsia"/>
              </w:rPr>
              <w:t>6</w:t>
            </w:r>
          </w:p>
        </w:tc>
        <w:tc>
          <w:tcPr>
            <w:tcW w:w="560" w:type="pct"/>
            <w:vMerge w:val="continue"/>
          </w:tcPr>
          <w:p w14:paraId="1DE0ABE0">
            <w:pPr>
              <w:jc w:val="center"/>
            </w:pPr>
          </w:p>
        </w:tc>
        <w:tc>
          <w:tcPr>
            <w:tcW w:w="353" w:type="pct"/>
          </w:tcPr>
          <w:p w14:paraId="4F2E75E8">
            <w:pPr>
              <w:jc w:val="center"/>
            </w:pPr>
          </w:p>
        </w:tc>
        <w:tc>
          <w:tcPr>
            <w:tcW w:w="505" w:type="pct"/>
          </w:tcPr>
          <w:p w14:paraId="446E34B3">
            <w:pPr>
              <w:jc w:val="center"/>
            </w:pPr>
          </w:p>
        </w:tc>
        <w:tc>
          <w:tcPr>
            <w:tcW w:w="347" w:type="pct"/>
          </w:tcPr>
          <w:p w14:paraId="52E894B0">
            <w:pPr>
              <w:jc w:val="center"/>
            </w:pPr>
            <w:r>
              <w:rPr>
                <w:rFonts w:ascii="Arial" w:hAnsi="Arial" w:cs="Arial"/>
              </w:rPr>
              <w:t>√</w:t>
            </w:r>
          </w:p>
        </w:tc>
        <w:tc>
          <w:tcPr>
            <w:tcW w:w="280" w:type="pct"/>
          </w:tcPr>
          <w:p w14:paraId="3F9CFFBA">
            <w:pPr>
              <w:jc w:val="center"/>
            </w:pPr>
            <w:r>
              <w:rPr>
                <w:rFonts w:ascii="Arial" w:hAnsi="Arial" w:cs="Arial"/>
              </w:rPr>
              <w:t>√</w:t>
            </w:r>
          </w:p>
        </w:tc>
        <w:tc>
          <w:tcPr>
            <w:tcW w:w="255" w:type="pct"/>
          </w:tcPr>
          <w:p w14:paraId="050B499B">
            <w:pPr>
              <w:jc w:val="center"/>
            </w:pPr>
            <w:r>
              <w:rPr>
                <w:rFonts w:ascii="Arial" w:hAnsi="Arial" w:cs="Arial"/>
              </w:rPr>
              <w:t>√</w:t>
            </w:r>
          </w:p>
        </w:tc>
        <w:tc>
          <w:tcPr>
            <w:tcW w:w="377" w:type="pct"/>
          </w:tcPr>
          <w:p w14:paraId="1D137A48">
            <w:pPr>
              <w:jc w:val="center"/>
            </w:pPr>
            <w:r>
              <w:rPr>
                <w:rFonts w:ascii="Arial" w:hAnsi="Arial" w:cs="Arial"/>
              </w:rPr>
              <w:t>√</w:t>
            </w:r>
          </w:p>
        </w:tc>
        <w:tc>
          <w:tcPr>
            <w:tcW w:w="407" w:type="pct"/>
          </w:tcPr>
          <w:p w14:paraId="0F46CDC3">
            <w:pPr>
              <w:jc w:val="center"/>
            </w:pPr>
            <w:r>
              <w:rPr>
                <w:rFonts w:ascii="Arial" w:hAnsi="Arial" w:cs="Arial"/>
              </w:rPr>
              <w:t>√</w:t>
            </w:r>
          </w:p>
        </w:tc>
        <w:tc>
          <w:tcPr>
            <w:tcW w:w="462" w:type="pct"/>
          </w:tcPr>
          <w:p w14:paraId="2A506EC2">
            <w:pPr>
              <w:jc w:val="center"/>
            </w:pPr>
            <w:r>
              <w:rPr>
                <w:rFonts w:ascii="Arial" w:hAnsi="Arial" w:cs="Arial"/>
              </w:rPr>
              <w:t>√</w:t>
            </w:r>
          </w:p>
        </w:tc>
        <w:tc>
          <w:tcPr>
            <w:tcW w:w="1255" w:type="pct"/>
          </w:tcPr>
          <w:p w14:paraId="6AB5D5CD">
            <w:pPr>
              <w:jc w:val="center"/>
            </w:pPr>
            <w:r>
              <w:rPr>
                <w:rFonts w:hint="eastAsia"/>
              </w:rPr>
              <w:t>锁口补焊缝法、锁口补焊角钢或钢板法</w:t>
            </w:r>
          </w:p>
        </w:tc>
      </w:tr>
    </w:tbl>
    <w:p w14:paraId="6638F7BB">
      <w:r>
        <w:rPr>
          <w:rFonts w:hint="eastAsia"/>
        </w:rPr>
        <w:t>（表5.4.8续表）</w:t>
      </w:r>
    </w:p>
    <w:p w14:paraId="32849D52">
      <w:r>
        <w:rPr>
          <w:rFonts w:hint="eastAsia"/>
        </w:rPr>
        <w:t>5.4.9  坑底以下锁口可采用下列止水补救措施：</w:t>
      </w:r>
    </w:p>
    <w:p w14:paraId="24942B35">
      <w:pPr>
        <w:ind w:firstLine="420" w:firstLineChars="200"/>
      </w:pPr>
      <w:r>
        <w:rPr>
          <w:rFonts w:hint="eastAsia"/>
        </w:rPr>
        <w:t>1 桩锁口处迎土侧深层注浆；</w:t>
      </w:r>
    </w:p>
    <w:p w14:paraId="634A509E">
      <w:pPr>
        <w:ind w:firstLine="420" w:firstLineChars="200"/>
      </w:pPr>
      <w:r>
        <w:rPr>
          <w:rFonts w:hint="eastAsia"/>
        </w:rPr>
        <w:t>2 坑底开槽引流，及时排水；</w:t>
      </w:r>
    </w:p>
    <w:p w14:paraId="3503985D">
      <w:pPr>
        <w:ind w:firstLine="420" w:firstLineChars="200"/>
      </w:pPr>
      <w:r>
        <w:rPr>
          <w:rFonts w:hint="eastAsia"/>
        </w:rPr>
        <w:t>3 迎水侧补打弧形钢管进行注浆，或灌入木屑与快干水泥混合物；</w:t>
      </w:r>
    </w:p>
    <w:p w14:paraId="65F8EEE4">
      <w:pPr>
        <w:ind w:firstLine="420" w:firstLineChars="200"/>
      </w:pPr>
      <w:r>
        <w:t>4</w:t>
      </w:r>
      <w:r>
        <w:rPr>
          <w:rFonts w:hint="eastAsia"/>
        </w:rPr>
        <w:t xml:space="preserve"> 在不影响周边环境的条件下，在桩锁口外侧设置降水井，进行降水。</w:t>
      </w:r>
    </w:p>
    <w:p w14:paraId="19F18922">
      <w:pPr>
        <w:ind w:firstLine="420" w:firstLineChars="200"/>
      </w:pPr>
    </w:p>
    <w:p w14:paraId="62268AD5">
      <w:pPr>
        <w:pStyle w:val="3"/>
        <w:spacing w:before="312" w:beforeLines="100"/>
        <w:ind w:firstLine="281"/>
      </w:pPr>
      <w:bookmarkStart w:id="33" w:name="_Toc3474"/>
      <w:bookmarkStart w:id="34" w:name="_Toc1915"/>
      <w:r>
        <w:t>5</w:t>
      </w:r>
      <w:r>
        <w:rPr>
          <w:rFonts w:hint="eastAsia"/>
        </w:rPr>
        <w:t>.5  防腐设计</w:t>
      </w:r>
      <w:bookmarkEnd w:id="33"/>
      <w:bookmarkEnd w:id="34"/>
    </w:p>
    <w:p w14:paraId="7BA8F108">
      <w:r>
        <w:t>5</w:t>
      </w:r>
      <w:r>
        <w:rPr>
          <w:rFonts w:hint="eastAsia"/>
        </w:rPr>
        <w:t>.5.1  钢板桩应根据环境条件、材质、结构形式、使用要求、施工条件、维护管理条件和技术经济效益等因素进行防腐蚀设计。</w:t>
      </w:r>
    </w:p>
    <w:p w14:paraId="1B33B014">
      <w:r>
        <w:t>5.</w:t>
      </w:r>
      <w:r>
        <w:rPr>
          <w:rFonts w:hint="eastAsia"/>
        </w:rPr>
        <w:t>5</w:t>
      </w:r>
      <w:r>
        <w:t>.2</w:t>
      </w:r>
      <w:r>
        <w:rPr>
          <w:rFonts w:hint="eastAsia"/>
        </w:rPr>
        <w:t xml:space="preserve">  钢板桩的防腐可采用腐蚀裕量法、涂层保护、金属热喷涂、阴极保护等措施。</w:t>
      </w:r>
    </w:p>
    <w:p w14:paraId="28F69F99">
      <w:r>
        <w:t>5</w:t>
      </w:r>
      <w:r>
        <w:rPr>
          <w:rFonts w:hint="eastAsia"/>
        </w:rPr>
        <w:t>.5.3  采用涂层或阴极保护时，钢板桩设计应留有适当的腐蚀裕量，钢板桩不同部位的单面腐蚀裕量可按下式计算：</w:t>
      </w:r>
    </w:p>
    <w:p w14:paraId="18556A21">
      <w:pPr>
        <w:ind w:firstLine="2520" w:firstLineChars="1200"/>
      </w:pPr>
      <w:r>
        <w:rPr>
          <w:rFonts w:hint="eastAsia"/>
          <w:position w:val="-30"/>
        </w:rPr>
        <w:object>
          <v:shape id="_x0000_i1055" o:spt="75" type="#_x0000_t75" style="height:31.3pt;width:144.45pt;" o:ole="t" filled="f" o:preferrelative="t" stroked="f" coordsize="21600,21600">
            <v:path/>
            <v:fill on="f" focussize="0,0"/>
            <v:stroke on="f" joinstyle="miter"/>
            <v:imagedata r:id="rId89" o:title=""/>
            <o:lock v:ext="edit" aspectratio="f"/>
            <w10:wrap type="none"/>
            <w10:anchorlock/>
          </v:shape>
          <o:OLEObject Type="Embed" ProgID="Equation.DSMT4" ShapeID="_x0000_i1055" DrawAspect="Content" ObjectID="_1468075755" r:id="rId88">
            <o:LockedField>false</o:LockedField>
          </o:OLEObject>
        </w:object>
      </w:r>
      <w:r>
        <w:rPr>
          <w:rFonts w:hint="eastAsia"/>
          <w:position w:val="-30"/>
        </w:rPr>
        <w:t xml:space="preserve">                      </w:t>
      </w:r>
      <w:r>
        <w:rPr>
          <w:rFonts w:hint="eastAsia"/>
        </w:rPr>
        <w:t>(5.5.3)</w:t>
      </w:r>
    </w:p>
    <w:tbl>
      <w:tblPr>
        <w:tblStyle w:val="17"/>
        <w:tblW w:w="8528" w:type="dxa"/>
        <w:tblInd w:w="0" w:type="dxa"/>
        <w:tblLayout w:type="fixed"/>
        <w:tblCellMar>
          <w:top w:w="0" w:type="dxa"/>
          <w:left w:w="108" w:type="dxa"/>
          <w:bottom w:w="0" w:type="dxa"/>
          <w:right w:w="108" w:type="dxa"/>
        </w:tblCellMar>
      </w:tblPr>
      <w:tblGrid>
        <w:gridCol w:w="1533"/>
        <w:gridCol w:w="6995"/>
      </w:tblGrid>
      <w:tr w14:paraId="3D864851">
        <w:tblPrEx>
          <w:tblCellMar>
            <w:top w:w="0" w:type="dxa"/>
            <w:left w:w="108" w:type="dxa"/>
            <w:bottom w:w="0" w:type="dxa"/>
            <w:right w:w="108" w:type="dxa"/>
          </w:tblCellMar>
        </w:tblPrEx>
        <w:tc>
          <w:tcPr>
            <w:tcW w:w="1533" w:type="dxa"/>
          </w:tcPr>
          <w:p w14:paraId="1FD53AA6">
            <w:pPr>
              <w:spacing w:line="300" w:lineRule="auto"/>
              <w:ind w:right="-108"/>
            </w:pPr>
            <w:r>
              <w:rPr>
                <w:rFonts w:hint="eastAsia"/>
                <w:kern w:val="0"/>
              </w:rPr>
              <w:t>式中：</w:t>
            </w:r>
            <w:r>
              <w:rPr>
                <w:iCs/>
                <w:kern w:val="0"/>
              </w:rPr>
              <w:t>Δ</w:t>
            </w:r>
            <w:r>
              <w:rPr>
                <w:i/>
                <w:kern w:val="0"/>
              </w:rPr>
              <w:t>δ</w:t>
            </w:r>
            <w:r>
              <w:rPr>
                <w:rFonts w:hint="eastAsia"/>
                <w:i/>
                <w:kern w:val="0"/>
              </w:rPr>
              <w:t>—</w:t>
            </w:r>
          </w:p>
        </w:tc>
        <w:tc>
          <w:tcPr>
            <w:tcW w:w="6995" w:type="dxa"/>
            <w:vAlign w:val="center"/>
          </w:tcPr>
          <w:p w14:paraId="5237B0CB">
            <w:pPr>
              <w:snapToGrid w:val="0"/>
              <w:spacing w:line="300" w:lineRule="auto"/>
            </w:pPr>
            <w:r>
              <w:rPr>
                <w:rFonts w:hint="eastAsia"/>
                <w:kern w:val="0"/>
              </w:rPr>
              <w:t>钢板桩单面腐蚀裕量（mm）；</w:t>
            </w:r>
          </w:p>
        </w:tc>
      </w:tr>
      <w:tr w14:paraId="4ED1CA39">
        <w:tblPrEx>
          <w:tblCellMar>
            <w:top w:w="0" w:type="dxa"/>
            <w:left w:w="108" w:type="dxa"/>
            <w:bottom w:w="0" w:type="dxa"/>
            <w:right w:w="108" w:type="dxa"/>
          </w:tblCellMar>
        </w:tblPrEx>
        <w:tc>
          <w:tcPr>
            <w:tcW w:w="1533" w:type="dxa"/>
          </w:tcPr>
          <w:p w14:paraId="63912CD5">
            <w:pPr>
              <w:spacing w:line="300" w:lineRule="auto"/>
              <w:ind w:right="-108"/>
              <w:jc w:val="center"/>
              <w:rPr>
                <w:i/>
              </w:rPr>
            </w:pPr>
            <w:r>
              <w:rPr>
                <w:rFonts w:hint="eastAsia"/>
                <w:i/>
                <w:kern w:val="0"/>
              </w:rPr>
              <w:t xml:space="preserve">  K</w:t>
            </w:r>
            <w:r>
              <w:rPr>
                <w:rFonts w:hint="eastAsia"/>
              </w:rPr>
              <w:t>—</w:t>
            </w:r>
          </w:p>
        </w:tc>
        <w:tc>
          <w:tcPr>
            <w:tcW w:w="6995" w:type="dxa"/>
            <w:vAlign w:val="center"/>
          </w:tcPr>
          <w:p w14:paraId="5371C650">
            <w:pPr>
              <w:snapToGrid w:val="0"/>
              <w:spacing w:line="300" w:lineRule="auto"/>
            </w:pPr>
            <w:r>
              <w:rPr>
                <w:rFonts w:hint="eastAsia"/>
                <w:kern w:val="0"/>
              </w:rPr>
              <w:t>钢板桩单面平均腐蚀速度（mm/a），碳素钢单面平均腐蚀速度可参考表5.3.3-1取值，必要时可现场实测确定；</w:t>
            </w:r>
          </w:p>
        </w:tc>
      </w:tr>
      <w:tr w14:paraId="4AA9CA82">
        <w:tblPrEx>
          <w:tblCellMar>
            <w:top w:w="0" w:type="dxa"/>
            <w:left w:w="108" w:type="dxa"/>
            <w:bottom w:w="0" w:type="dxa"/>
            <w:right w:w="108" w:type="dxa"/>
          </w:tblCellMar>
        </w:tblPrEx>
        <w:tc>
          <w:tcPr>
            <w:tcW w:w="1533" w:type="dxa"/>
          </w:tcPr>
          <w:p w14:paraId="6147BA68">
            <w:pPr>
              <w:spacing w:line="300" w:lineRule="auto"/>
              <w:ind w:right="-108"/>
              <w:jc w:val="center"/>
              <w:rPr>
                <w:i/>
              </w:rPr>
            </w:pPr>
            <w:r>
              <w:rPr>
                <w:rFonts w:hint="eastAsia"/>
                <w:i/>
                <w:kern w:val="0"/>
              </w:rPr>
              <w:t xml:space="preserve">  P</w:t>
            </w:r>
            <w:r>
              <w:rPr>
                <w:rFonts w:hint="eastAsia"/>
              </w:rPr>
              <w:t>—</w:t>
            </w:r>
          </w:p>
        </w:tc>
        <w:tc>
          <w:tcPr>
            <w:tcW w:w="6995" w:type="dxa"/>
            <w:vAlign w:val="center"/>
          </w:tcPr>
          <w:p w14:paraId="17C70F7C">
            <w:pPr>
              <w:snapToGrid w:val="0"/>
              <w:spacing w:line="300" w:lineRule="auto"/>
            </w:pPr>
            <w:r>
              <w:rPr>
                <w:rFonts w:hint="eastAsia"/>
                <w:kern w:val="0"/>
              </w:rPr>
              <w:t>保护效率（</w:t>
            </w:r>
            <w:r>
              <w:rPr>
                <w:rFonts w:hint="eastAsia" w:ascii="宋体" w:hAnsi="宋体" w:cs="宋体"/>
                <w:kern w:val="0"/>
              </w:rPr>
              <w:t>％</w:t>
            </w:r>
            <w:r>
              <w:rPr>
                <w:rFonts w:hint="eastAsia"/>
                <w:kern w:val="0"/>
              </w:rPr>
              <w:t>），采用涂层保护时，在涂层的设计使用年限内，保护效率可取50</w:t>
            </w:r>
            <w:r>
              <w:rPr>
                <w:rFonts w:hint="eastAsia" w:ascii="宋体" w:hAnsi="宋体" w:cs="宋体"/>
                <w:kern w:val="0"/>
              </w:rPr>
              <w:t>％</w:t>
            </w:r>
            <w:r>
              <w:rPr>
                <w:rFonts w:hint="eastAsia"/>
                <w:kern w:val="0"/>
              </w:rPr>
              <w:t>~95</w:t>
            </w:r>
            <w:r>
              <w:rPr>
                <w:rFonts w:hint="eastAsia" w:ascii="宋体" w:hAnsi="宋体" w:cs="宋体"/>
                <w:kern w:val="0"/>
              </w:rPr>
              <w:t>％</w:t>
            </w:r>
            <w:r>
              <w:rPr>
                <w:rFonts w:hint="eastAsia"/>
                <w:kern w:val="0"/>
              </w:rPr>
              <w:t>；采用阴极保护时，保护效率可按表5.3.3-2取值；采用阴极保护和涂层联合保护时，保护效率可取85</w:t>
            </w:r>
            <w:r>
              <w:rPr>
                <w:rFonts w:hint="eastAsia" w:ascii="宋体" w:hAnsi="宋体" w:cs="宋体"/>
                <w:kern w:val="0"/>
              </w:rPr>
              <w:t>％</w:t>
            </w:r>
            <w:r>
              <w:rPr>
                <w:rFonts w:hint="eastAsia"/>
                <w:kern w:val="0"/>
              </w:rPr>
              <w:t>~95</w:t>
            </w:r>
            <w:r>
              <w:rPr>
                <w:rFonts w:hint="eastAsia" w:ascii="宋体" w:hAnsi="宋体" w:cs="宋体"/>
                <w:kern w:val="0"/>
              </w:rPr>
              <w:t>％；</w:t>
            </w:r>
          </w:p>
        </w:tc>
      </w:tr>
      <w:tr w14:paraId="510F3DD8">
        <w:tblPrEx>
          <w:tblCellMar>
            <w:top w:w="0" w:type="dxa"/>
            <w:left w:w="108" w:type="dxa"/>
            <w:bottom w:w="0" w:type="dxa"/>
            <w:right w:w="108" w:type="dxa"/>
          </w:tblCellMar>
        </w:tblPrEx>
        <w:tc>
          <w:tcPr>
            <w:tcW w:w="1533" w:type="dxa"/>
          </w:tcPr>
          <w:p w14:paraId="6ECABB7C">
            <w:pPr>
              <w:spacing w:line="300" w:lineRule="auto"/>
              <w:ind w:right="-108"/>
              <w:jc w:val="center"/>
              <w:rPr>
                <w:i/>
                <w:kern w:val="0"/>
              </w:rPr>
            </w:pPr>
            <w:r>
              <w:rPr>
                <w:rFonts w:hint="eastAsia"/>
                <w:i/>
                <w:kern w:val="0"/>
              </w:rPr>
              <w:t xml:space="preserve">  t</w:t>
            </w:r>
            <w:r>
              <w:rPr>
                <w:rFonts w:hint="eastAsia"/>
                <w:i/>
                <w:kern w:val="0"/>
                <w:vertAlign w:val="subscript"/>
              </w:rPr>
              <w:t>1</w:t>
            </w:r>
            <w:r>
              <w:rPr>
                <w:rFonts w:hint="eastAsia"/>
              </w:rPr>
              <w:t>—</w:t>
            </w:r>
          </w:p>
        </w:tc>
        <w:tc>
          <w:tcPr>
            <w:tcW w:w="6995" w:type="dxa"/>
            <w:vAlign w:val="center"/>
          </w:tcPr>
          <w:p w14:paraId="72877137">
            <w:pPr>
              <w:snapToGrid w:val="0"/>
              <w:spacing w:line="300" w:lineRule="auto"/>
              <w:rPr>
                <w:kern w:val="0"/>
              </w:rPr>
            </w:pPr>
            <w:r>
              <w:rPr>
                <w:rFonts w:hint="eastAsia"/>
                <w:kern w:val="0"/>
              </w:rPr>
              <w:t>防腐蚀措施的设计使用年限（a）；</w:t>
            </w:r>
          </w:p>
        </w:tc>
      </w:tr>
      <w:tr w14:paraId="2D2A1151">
        <w:tblPrEx>
          <w:tblCellMar>
            <w:top w:w="0" w:type="dxa"/>
            <w:left w:w="108" w:type="dxa"/>
            <w:bottom w:w="0" w:type="dxa"/>
            <w:right w:w="108" w:type="dxa"/>
          </w:tblCellMar>
        </w:tblPrEx>
        <w:trPr>
          <w:trHeight w:val="402" w:hRule="atLeast"/>
        </w:trPr>
        <w:tc>
          <w:tcPr>
            <w:tcW w:w="1533" w:type="dxa"/>
          </w:tcPr>
          <w:p w14:paraId="50C472D7">
            <w:pPr>
              <w:spacing w:line="300" w:lineRule="auto"/>
              <w:ind w:right="-108"/>
              <w:jc w:val="center"/>
              <w:rPr>
                <w:i/>
                <w:kern w:val="0"/>
              </w:rPr>
            </w:pPr>
            <w:r>
              <w:rPr>
                <w:rFonts w:hint="eastAsia"/>
                <w:i/>
                <w:kern w:val="0"/>
              </w:rPr>
              <w:t xml:space="preserve">  t</w:t>
            </w:r>
            <w:r>
              <w:rPr>
                <w:rFonts w:hint="eastAsia"/>
                <w:kern w:val="0"/>
              </w:rPr>
              <w:t>—</w:t>
            </w:r>
          </w:p>
        </w:tc>
        <w:tc>
          <w:tcPr>
            <w:tcW w:w="6995" w:type="dxa"/>
            <w:vAlign w:val="center"/>
          </w:tcPr>
          <w:p w14:paraId="1B76871D">
            <w:pPr>
              <w:snapToGrid w:val="0"/>
              <w:spacing w:line="300" w:lineRule="auto"/>
              <w:rPr>
                <w:kern w:val="0"/>
              </w:rPr>
            </w:pPr>
            <w:r>
              <w:rPr>
                <w:rFonts w:hint="eastAsia"/>
                <w:kern w:val="0"/>
              </w:rPr>
              <w:t xml:space="preserve">钢结构的设计使用年限（a）。 </w:t>
            </w:r>
          </w:p>
        </w:tc>
      </w:tr>
    </w:tbl>
    <w:p w14:paraId="41E72997">
      <w:pPr>
        <w:jc w:val="center"/>
      </w:pPr>
      <w:r>
        <w:rPr>
          <w:rFonts w:hint="eastAsia"/>
        </w:rPr>
        <w:t>表5.3.3-1  钢板桩的单面平均腐蚀速度</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2320"/>
        <w:gridCol w:w="4261"/>
      </w:tblGrid>
      <w:tr w14:paraId="2113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tcPr>
          <w:p w14:paraId="5C33658A">
            <w:pPr>
              <w:jc w:val="center"/>
            </w:pPr>
            <w:r>
              <w:rPr>
                <w:rFonts w:hint="eastAsia"/>
              </w:rPr>
              <w:t>部位</w:t>
            </w:r>
          </w:p>
        </w:tc>
        <w:tc>
          <w:tcPr>
            <w:tcW w:w="4261" w:type="dxa"/>
          </w:tcPr>
          <w:p w14:paraId="3ACB3740">
            <w:pPr>
              <w:jc w:val="center"/>
            </w:pPr>
            <w:r>
              <w:rPr>
                <w:rFonts w:hint="eastAsia"/>
                <w:kern w:val="0"/>
              </w:rPr>
              <w:t>平均腐蚀速度（mm/a）</w:t>
            </w:r>
          </w:p>
        </w:tc>
      </w:tr>
      <w:tr w14:paraId="3F56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tcPr>
          <w:p w14:paraId="7EE799E4">
            <w:pPr>
              <w:jc w:val="center"/>
            </w:pPr>
            <w:r>
              <w:rPr>
                <w:rFonts w:hint="eastAsia"/>
              </w:rPr>
              <w:t>大气区</w:t>
            </w:r>
          </w:p>
        </w:tc>
        <w:tc>
          <w:tcPr>
            <w:tcW w:w="4261" w:type="dxa"/>
          </w:tcPr>
          <w:p w14:paraId="1607ABCD">
            <w:pPr>
              <w:jc w:val="center"/>
            </w:pPr>
            <w:r>
              <w:rPr>
                <w:rFonts w:hint="eastAsia"/>
              </w:rPr>
              <w:t>0.05</w:t>
            </w:r>
            <w:r>
              <w:rPr>
                <w:rFonts w:hint="eastAsia"/>
                <w:kern w:val="0"/>
              </w:rPr>
              <w:t>~0.10</w:t>
            </w:r>
          </w:p>
        </w:tc>
      </w:tr>
      <w:tr w14:paraId="2BC7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vMerge w:val="restart"/>
          </w:tcPr>
          <w:p w14:paraId="7A676C8B">
            <w:pPr>
              <w:jc w:val="center"/>
            </w:pPr>
            <w:r>
              <w:rPr>
                <w:rFonts w:hint="eastAsia"/>
              </w:rPr>
              <w:t>浪溅区</w:t>
            </w:r>
          </w:p>
        </w:tc>
        <w:tc>
          <w:tcPr>
            <w:tcW w:w="2320" w:type="dxa"/>
          </w:tcPr>
          <w:p w14:paraId="6CBC0EE6">
            <w:pPr>
              <w:jc w:val="center"/>
            </w:pPr>
            <w:r>
              <w:rPr>
                <w:rFonts w:hint="eastAsia"/>
              </w:rPr>
              <w:t>有掩护条件</w:t>
            </w:r>
          </w:p>
        </w:tc>
        <w:tc>
          <w:tcPr>
            <w:tcW w:w="4261" w:type="dxa"/>
          </w:tcPr>
          <w:p w14:paraId="059477E2">
            <w:pPr>
              <w:jc w:val="center"/>
            </w:pPr>
            <w:r>
              <w:rPr>
                <w:rFonts w:hint="eastAsia"/>
              </w:rPr>
              <w:t>0.20</w:t>
            </w:r>
            <w:r>
              <w:rPr>
                <w:rFonts w:hint="eastAsia"/>
                <w:kern w:val="0"/>
              </w:rPr>
              <w:t>~0.30</w:t>
            </w:r>
          </w:p>
        </w:tc>
      </w:tr>
      <w:tr w14:paraId="2DD6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1" w:type="dxa"/>
            <w:vMerge w:val="continue"/>
          </w:tcPr>
          <w:p w14:paraId="29902BFE">
            <w:pPr>
              <w:jc w:val="center"/>
            </w:pPr>
          </w:p>
        </w:tc>
        <w:tc>
          <w:tcPr>
            <w:tcW w:w="2320" w:type="dxa"/>
          </w:tcPr>
          <w:p w14:paraId="1AF47F13">
            <w:pPr>
              <w:jc w:val="center"/>
            </w:pPr>
            <w:r>
              <w:rPr>
                <w:rFonts w:hint="eastAsia"/>
              </w:rPr>
              <w:t>无掩护条件</w:t>
            </w:r>
          </w:p>
        </w:tc>
        <w:tc>
          <w:tcPr>
            <w:tcW w:w="4261" w:type="dxa"/>
          </w:tcPr>
          <w:p w14:paraId="30BBC08A">
            <w:pPr>
              <w:jc w:val="center"/>
            </w:pPr>
            <w:r>
              <w:rPr>
                <w:rFonts w:hint="eastAsia"/>
              </w:rPr>
              <w:t>0.40</w:t>
            </w:r>
            <w:r>
              <w:rPr>
                <w:rFonts w:hint="eastAsia"/>
                <w:kern w:val="0"/>
              </w:rPr>
              <w:t>~0.50</w:t>
            </w:r>
          </w:p>
        </w:tc>
      </w:tr>
      <w:tr w14:paraId="0F9F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tcPr>
          <w:p w14:paraId="0D079600">
            <w:pPr>
              <w:jc w:val="center"/>
            </w:pPr>
            <w:r>
              <w:rPr>
                <w:rFonts w:hint="eastAsia"/>
              </w:rPr>
              <w:t>水位变动区、水下区</w:t>
            </w:r>
          </w:p>
        </w:tc>
        <w:tc>
          <w:tcPr>
            <w:tcW w:w="4261" w:type="dxa"/>
          </w:tcPr>
          <w:p w14:paraId="77122EED">
            <w:pPr>
              <w:jc w:val="center"/>
            </w:pPr>
            <w:r>
              <w:rPr>
                <w:rFonts w:hint="eastAsia"/>
              </w:rPr>
              <w:t>0.12</w:t>
            </w:r>
          </w:p>
        </w:tc>
      </w:tr>
      <w:tr w14:paraId="22FA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tcPr>
          <w:p w14:paraId="68506761">
            <w:pPr>
              <w:jc w:val="center"/>
            </w:pPr>
            <w:r>
              <w:rPr>
                <w:rFonts w:hint="eastAsia"/>
              </w:rPr>
              <w:t>泥下区</w:t>
            </w:r>
          </w:p>
        </w:tc>
        <w:tc>
          <w:tcPr>
            <w:tcW w:w="4261" w:type="dxa"/>
          </w:tcPr>
          <w:p w14:paraId="6F9ADC16">
            <w:pPr>
              <w:jc w:val="center"/>
            </w:pPr>
            <w:r>
              <w:rPr>
                <w:rFonts w:hint="eastAsia"/>
              </w:rPr>
              <w:t>0.05</w:t>
            </w:r>
          </w:p>
        </w:tc>
      </w:tr>
    </w:tbl>
    <w:p w14:paraId="72E07834">
      <w:pPr>
        <w:jc w:val="left"/>
        <w:rPr>
          <w:kern w:val="0"/>
          <w:sz w:val="18"/>
          <w:szCs w:val="18"/>
        </w:rPr>
      </w:pPr>
      <w:r>
        <w:rPr>
          <w:rFonts w:hint="eastAsia"/>
          <w:sz w:val="18"/>
          <w:szCs w:val="18"/>
        </w:rPr>
        <w:t>注：1 表中平均腐蚀速度适用于PH=4</w:t>
      </w:r>
      <w:r>
        <w:rPr>
          <w:rFonts w:hint="eastAsia"/>
          <w:kern w:val="0"/>
          <w:sz w:val="18"/>
          <w:szCs w:val="18"/>
        </w:rPr>
        <w:t>~10的环境条件，对有严重污染的环境，应适当增大；</w:t>
      </w:r>
    </w:p>
    <w:p w14:paraId="287057C8">
      <w:pPr>
        <w:ind w:firstLine="420"/>
        <w:jc w:val="left"/>
        <w:rPr>
          <w:kern w:val="0"/>
          <w:sz w:val="18"/>
          <w:szCs w:val="18"/>
        </w:rPr>
      </w:pPr>
      <w:r>
        <w:rPr>
          <w:rFonts w:hint="eastAsia"/>
          <w:kern w:val="0"/>
          <w:sz w:val="18"/>
          <w:szCs w:val="18"/>
        </w:rPr>
        <w:t>2 对水质含盐量层次分明的河口区或年平均气温高、波浪大、流速大的环境，应适当增大；</w:t>
      </w:r>
    </w:p>
    <w:p w14:paraId="78E454EA">
      <w:pPr>
        <w:ind w:firstLine="420"/>
        <w:jc w:val="left"/>
        <w:rPr>
          <w:kern w:val="0"/>
          <w:sz w:val="18"/>
          <w:szCs w:val="18"/>
        </w:rPr>
      </w:pPr>
      <w:r>
        <w:rPr>
          <w:rFonts w:hint="eastAsia"/>
          <w:kern w:val="0"/>
          <w:sz w:val="18"/>
          <w:szCs w:val="18"/>
        </w:rPr>
        <w:t>3 钢板桩岸侧可参考泥下区取值。</w:t>
      </w:r>
    </w:p>
    <w:p w14:paraId="6A9A9D3A">
      <w:pPr>
        <w:ind w:firstLine="420"/>
        <w:jc w:val="left"/>
        <w:rPr>
          <w:kern w:val="0"/>
          <w:sz w:val="18"/>
          <w:szCs w:val="18"/>
        </w:rPr>
      </w:pPr>
    </w:p>
    <w:p w14:paraId="488E9C9A">
      <w:pPr>
        <w:ind w:firstLine="420"/>
        <w:jc w:val="center"/>
        <w:rPr>
          <w:kern w:val="0"/>
        </w:rPr>
      </w:pPr>
      <w:r>
        <w:rPr>
          <w:rFonts w:hint="eastAsia"/>
        </w:rPr>
        <w:t>表5.3.3-2  阴极保护效率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823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221A9451">
            <w:pPr>
              <w:spacing w:line="240" w:lineRule="auto"/>
              <w:jc w:val="center"/>
            </w:pPr>
            <w:r>
              <w:rPr>
                <w:rFonts w:hint="eastAsia"/>
              </w:rPr>
              <w:t>部位</w:t>
            </w:r>
          </w:p>
        </w:tc>
        <w:tc>
          <w:tcPr>
            <w:tcW w:w="4261" w:type="dxa"/>
          </w:tcPr>
          <w:p w14:paraId="70B8AF21">
            <w:pPr>
              <w:spacing w:line="240" w:lineRule="auto"/>
              <w:jc w:val="center"/>
            </w:pPr>
            <w:r>
              <w:rPr>
                <w:rFonts w:hint="eastAsia"/>
                <w:i/>
                <w:kern w:val="0"/>
              </w:rPr>
              <w:t>P</w:t>
            </w:r>
            <w:r>
              <w:rPr>
                <w:rFonts w:hint="eastAsia"/>
                <w:kern w:val="0"/>
              </w:rPr>
              <w:t>（</w:t>
            </w:r>
            <w:r>
              <w:rPr>
                <w:rFonts w:hint="eastAsia" w:ascii="宋体" w:hAnsi="宋体" w:cs="宋体"/>
                <w:kern w:val="0"/>
              </w:rPr>
              <w:t>％</w:t>
            </w:r>
            <w:r>
              <w:rPr>
                <w:rFonts w:hint="eastAsia"/>
                <w:kern w:val="0"/>
              </w:rPr>
              <w:t>）</w:t>
            </w:r>
          </w:p>
        </w:tc>
      </w:tr>
      <w:tr w14:paraId="6363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4BF65BA">
            <w:pPr>
              <w:spacing w:line="240" w:lineRule="auto"/>
              <w:jc w:val="center"/>
            </w:pPr>
            <w:r>
              <w:rPr>
                <w:rFonts w:hint="eastAsia"/>
              </w:rPr>
              <w:t>水位变动区</w:t>
            </w:r>
          </w:p>
        </w:tc>
        <w:tc>
          <w:tcPr>
            <w:tcW w:w="4261" w:type="dxa"/>
          </w:tcPr>
          <w:p w14:paraId="3DAE50EF">
            <w:pPr>
              <w:spacing w:line="240" w:lineRule="auto"/>
              <w:jc w:val="center"/>
              <w:rPr>
                <w:iCs/>
              </w:rPr>
            </w:pPr>
            <w:r>
              <w:rPr>
                <w:rFonts w:hint="eastAsia"/>
              </w:rPr>
              <w:t>20</w:t>
            </w:r>
            <w:r>
              <w:rPr>
                <w:rFonts w:ascii="Arial" w:hAnsi="Arial" w:cs="Arial"/>
              </w:rPr>
              <w:t>≤</w:t>
            </w:r>
            <w:r>
              <w:rPr>
                <w:rFonts w:hint="eastAsia"/>
                <w:i/>
                <w:kern w:val="0"/>
              </w:rPr>
              <w:t>P</w:t>
            </w:r>
            <w:r>
              <w:rPr>
                <w:i/>
                <w:kern w:val="0"/>
              </w:rPr>
              <w:t>&lt;</w:t>
            </w:r>
            <w:r>
              <w:rPr>
                <w:rFonts w:hint="eastAsia"/>
                <w:iCs/>
                <w:kern w:val="0"/>
              </w:rPr>
              <w:t>90</w:t>
            </w:r>
          </w:p>
        </w:tc>
      </w:tr>
      <w:tr w14:paraId="348B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427FB7E">
            <w:pPr>
              <w:spacing w:line="240" w:lineRule="auto"/>
              <w:jc w:val="center"/>
            </w:pPr>
            <w:r>
              <w:rPr>
                <w:rFonts w:hint="eastAsia"/>
              </w:rPr>
              <w:t>水下区</w:t>
            </w:r>
          </w:p>
        </w:tc>
        <w:tc>
          <w:tcPr>
            <w:tcW w:w="4261" w:type="dxa"/>
          </w:tcPr>
          <w:p w14:paraId="0CE7D2B7">
            <w:pPr>
              <w:spacing w:line="240" w:lineRule="auto"/>
              <w:jc w:val="center"/>
            </w:pPr>
            <w:r>
              <w:rPr>
                <w:rFonts w:hint="eastAsia"/>
                <w:i/>
                <w:kern w:val="0"/>
              </w:rPr>
              <w:t>P</w:t>
            </w:r>
            <w:r>
              <w:rPr>
                <w:rFonts w:ascii="Arial" w:hAnsi="Arial" w:cs="Arial"/>
                <w:i/>
                <w:kern w:val="0"/>
              </w:rPr>
              <w:t>≥</w:t>
            </w:r>
            <w:r>
              <w:rPr>
                <w:rFonts w:hint="eastAsia"/>
                <w:iCs/>
                <w:kern w:val="0"/>
              </w:rPr>
              <w:t>90</w:t>
            </w:r>
          </w:p>
        </w:tc>
      </w:tr>
    </w:tbl>
    <w:p w14:paraId="6286B805"/>
    <w:p w14:paraId="654E87FB">
      <w:r>
        <w:t>5</w:t>
      </w:r>
      <w:r>
        <w:rPr>
          <w:rFonts w:hint="eastAsia"/>
        </w:rPr>
        <w:t xml:space="preserve">.5.4 </w:t>
      </w:r>
      <w:r>
        <w:t xml:space="preserve"> </w:t>
      </w:r>
      <w:r>
        <w:rPr>
          <w:rFonts w:hint="eastAsia"/>
        </w:rPr>
        <w:t>涂层涂料宜选用有可靠工程实践应用经验的，经证明耐蚀性适用于腐蚀性物质成分的产品，并应采用环保型产品，当选用新产品时应进行技术和经济论证。</w:t>
      </w:r>
    </w:p>
    <w:p w14:paraId="10C3A52B">
      <w:r>
        <w:t>5</w:t>
      </w:r>
      <w:r>
        <w:rPr>
          <w:rFonts w:hint="eastAsia"/>
        </w:rPr>
        <w:t>.5.5</w:t>
      </w:r>
      <w:r>
        <w:t xml:space="preserve"> </w:t>
      </w:r>
      <w:r>
        <w:rPr>
          <w:rFonts w:hint="eastAsia"/>
        </w:rPr>
        <w:t xml:space="preserve"> 大气区、浪溅区、水位变动区和水下区的涂层系统可按附录C选用。</w:t>
      </w:r>
    </w:p>
    <w:p w14:paraId="3CA41533">
      <w:r>
        <w:t>5</w:t>
      </w:r>
      <w:r>
        <w:rPr>
          <w:rFonts w:hint="eastAsia"/>
        </w:rPr>
        <w:t>.</w:t>
      </w:r>
      <w:r>
        <w:t>5</w:t>
      </w:r>
      <w:r>
        <w:rPr>
          <w:rFonts w:hint="eastAsia"/>
        </w:rPr>
        <w:t>.</w:t>
      </w:r>
      <w:r>
        <w:t>6</w:t>
      </w:r>
      <w:r>
        <w:rPr>
          <w:rFonts w:hint="eastAsia"/>
        </w:rPr>
        <w:t xml:space="preserve">  金属热喷涂保护系统应包括金属喷涂层和封闭层，金属热喷涂和涂料的复合保护系统应在涂料封闭后，涂覆中间漆和面漆。</w:t>
      </w:r>
    </w:p>
    <w:p w14:paraId="7DCE104D">
      <w:r>
        <w:t>5</w:t>
      </w:r>
      <w:r>
        <w:rPr>
          <w:rFonts w:hint="eastAsia"/>
        </w:rPr>
        <w:t>.</w:t>
      </w:r>
      <w:r>
        <w:t>5</w:t>
      </w:r>
      <w:r>
        <w:rPr>
          <w:rFonts w:hint="eastAsia"/>
        </w:rPr>
        <w:t>.</w:t>
      </w:r>
      <w:r>
        <w:t>7</w:t>
      </w:r>
      <w:r>
        <w:rPr>
          <w:rFonts w:hint="eastAsia"/>
        </w:rPr>
        <w:t xml:space="preserve">  金属热喷涂方法可采用气喷涂法或电喷涂法。</w:t>
      </w:r>
    </w:p>
    <w:p w14:paraId="655464D0">
      <w:r>
        <w:t>5</w:t>
      </w:r>
      <w:r>
        <w:rPr>
          <w:rFonts w:hint="eastAsia"/>
        </w:rPr>
        <w:t>.</w:t>
      </w:r>
      <w:r>
        <w:t>5</w:t>
      </w:r>
      <w:r>
        <w:rPr>
          <w:rFonts w:hint="eastAsia"/>
        </w:rPr>
        <w:t>.8  封闭剂应具有较低的黏度，并应与金属涂层具有良好的相容性。涂层涂料应与封闭层有相容性，并应有良好的耐蚀性。金属热喷涂常用的封闭剂、封闭涂料和涂装涂料可参见附录D。</w:t>
      </w:r>
    </w:p>
    <w:p w14:paraId="71AC6FBA">
      <w:r>
        <w:rPr>
          <w:rFonts w:hint="eastAsia"/>
        </w:rPr>
        <w:t>5.5.9  金属热喷涂系统可按附录E选用，并应符合下列规定：</w:t>
      </w:r>
    </w:p>
    <w:p w14:paraId="7F472F8C">
      <w:pPr>
        <w:ind w:firstLine="420" w:firstLineChars="200"/>
      </w:pPr>
      <w:r>
        <w:rPr>
          <w:rFonts w:hint="eastAsia"/>
        </w:rPr>
        <w:t>1</w:t>
      </w:r>
      <w:r>
        <w:t xml:space="preserve"> </w:t>
      </w:r>
      <w:r>
        <w:rPr>
          <w:rFonts w:hint="eastAsia"/>
        </w:rPr>
        <w:t>热喷涂材料宜选用铝、铝合金或锌合金；</w:t>
      </w:r>
    </w:p>
    <w:p w14:paraId="68F80D29">
      <w:pPr>
        <w:ind w:firstLine="420" w:firstLineChars="200"/>
      </w:pPr>
      <w:r>
        <w:t xml:space="preserve">2 </w:t>
      </w:r>
      <w:r>
        <w:rPr>
          <w:rFonts w:hint="eastAsia"/>
        </w:rPr>
        <w:t>腐蚀严重和维护困难的部位应增加金属涂层的厚度。</w:t>
      </w:r>
    </w:p>
    <w:p w14:paraId="0F1DCF1D">
      <w:r>
        <w:t>5.5.</w:t>
      </w:r>
      <w:r>
        <w:rPr>
          <w:rFonts w:hint="eastAsia"/>
        </w:rPr>
        <w:t xml:space="preserve">10 </w:t>
      </w:r>
      <w:r>
        <w:t xml:space="preserve"> 阴极保护可采用牺牲阳极阴极保护、外加电流阴极保护或两种保护的联合，牺牲阳极阴极保护可适用于电阻率小于500Ω·cm的海水或淡海水中的钢板桩防腐。</w:t>
      </w:r>
    </w:p>
    <w:p w14:paraId="059F509F">
      <w:r>
        <w:rPr>
          <w:rFonts w:hint="eastAsia"/>
        </w:rPr>
        <w:t>5.5.11  阴极保护面积应包括水位变动区、水下区和泥下区钢板桩的表面积。计算保护面积应符合现行国家标准《港工设施牺牲阳极保护设计和安装》GJB156A中的相关规定。</w:t>
      </w:r>
    </w:p>
    <w:p w14:paraId="4BE4A95F">
      <w:r>
        <w:rPr>
          <w:rFonts w:hint="eastAsia"/>
        </w:rPr>
        <w:t>5.5.12  牺牲阳极的数量和使用寿命可参照现行行业标准《海港工程钢结构防腐蚀技术规范》JTS153的相关规定计算确定。</w:t>
      </w:r>
    </w:p>
    <w:p w14:paraId="1E42718A">
      <w:r>
        <w:rPr>
          <w:rFonts w:hint="eastAsia"/>
        </w:rPr>
        <w:t>5.5.13  采用阴极保护的钢板桩靠近其他金属结构或附近有杂散电流源，使该钢板桩或相邻的其他金属结构的电位偏正20mV时，应采取有效措施防止杂散电流腐蚀。</w:t>
      </w:r>
    </w:p>
    <w:p w14:paraId="760A6E4E">
      <w:r>
        <w:rPr>
          <w:rFonts w:hint="eastAsia"/>
        </w:rPr>
        <w:t>5.5.14  海水环境中的钢板桩结构宜减少在浪溅区的表面积。当钢板桩可能与液态腐蚀性物质或固态腐蚀性物质接触时，应采取防护隔离措施。</w:t>
      </w:r>
    </w:p>
    <w:p w14:paraId="0936A8DD">
      <w:r>
        <w:rPr>
          <w:rFonts w:hint="eastAsia"/>
        </w:rPr>
        <w:t>5.5.15  为增强钢板桩的耐腐蚀性可采取在钢材中添加铜、镍、磷、铝和铬合金元素等措施。</w:t>
      </w:r>
    </w:p>
    <w:p w14:paraId="10F8E9F3">
      <w:pPr>
        <w:pStyle w:val="2"/>
      </w:pPr>
      <w:r>
        <w:br w:type="page"/>
      </w:r>
      <w:bookmarkStart w:id="35" w:name="_Toc26982"/>
      <w:bookmarkStart w:id="36" w:name="_Toc23083"/>
      <w:r>
        <w:rPr>
          <w:rFonts w:hint="eastAsia"/>
        </w:rPr>
        <w:t>6</w:t>
      </w:r>
      <w:r>
        <w:t xml:space="preserve"> </w:t>
      </w:r>
      <w:r>
        <w:rPr>
          <w:rFonts w:hint="eastAsia"/>
        </w:rPr>
        <w:t xml:space="preserve"> 施工</w:t>
      </w:r>
      <w:bookmarkEnd w:id="35"/>
      <w:bookmarkEnd w:id="36"/>
    </w:p>
    <w:p w14:paraId="3833C394">
      <w:pPr>
        <w:pStyle w:val="3"/>
        <w:ind w:firstLine="281"/>
      </w:pPr>
      <w:bookmarkStart w:id="37" w:name="_Toc13201"/>
      <w:bookmarkStart w:id="38" w:name="_Toc21221"/>
      <w:r>
        <w:rPr>
          <w:rFonts w:hint="eastAsia"/>
        </w:rPr>
        <w:t>6.1  一般规定</w:t>
      </w:r>
      <w:bookmarkEnd w:id="37"/>
      <w:bookmarkEnd w:id="38"/>
    </w:p>
    <w:p w14:paraId="34E2D65D">
      <w:r>
        <w:rPr>
          <w:rFonts w:hint="eastAsia"/>
        </w:rPr>
        <w:t>6.1.1  施工前应结合现场调查和勘察的结果，从地质、设计、施工、环境保护等方面综合制定专项施工方案，经论证后进行技术和安全交底。</w:t>
      </w:r>
    </w:p>
    <w:p w14:paraId="7D468034">
      <w:r>
        <w:rPr>
          <w:rFonts w:hint="eastAsia"/>
        </w:rPr>
        <w:t>6.1.2  静压钢板桩支护施工前应完成下列准备工作：</w:t>
      </w:r>
    </w:p>
    <w:p w14:paraId="14B1439A">
      <w:pPr>
        <w:ind w:firstLine="420" w:firstLineChars="200"/>
      </w:pPr>
      <w:r>
        <w:rPr>
          <w:rFonts w:hint="eastAsia"/>
        </w:rPr>
        <w:t>1 调查施工场地及毗邻区域内的地下和地上管线、建筑物及障碍物，判断可能影响施工或受施工影响范围和程度，采取相应的安全技术措施；</w:t>
      </w:r>
    </w:p>
    <w:p w14:paraId="6F7B3665">
      <w:pPr>
        <w:ind w:firstLine="420" w:firstLineChars="200"/>
      </w:pPr>
      <w:r>
        <w:rPr>
          <w:rFonts w:hint="eastAsia"/>
        </w:rPr>
        <w:t>2 对可能受施工影响范围内的建筑物，应对其进行鉴定；</w:t>
      </w:r>
    </w:p>
    <w:p w14:paraId="64E2BD85">
      <w:pPr>
        <w:ind w:firstLine="420" w:firstLineChars="200"/>
      </w:pPr>
      <w:r>
        <w:rPr>
          <w:rFonts w:hint="eastAsia"/>
        </w:rPr>
        <w:t>3 平整及处理施工场地，达到地面平整、排水畅通、处理后场地地基承载力应满足桩机行走和压桩施工的要求；</w:t>
      </w:r>
    </w:p>
    <w:p w14:paraId="698D88D5">
      <w:pPr>
        <w:ind w:firstLine="420" w:firstLineChars="200"/>
      </w:pPr>
      <w:r>
        <w:rPr>
          <w:rFonts w:hint="eastAsia"/>
        </w:rPr>
        <w:t>4 在不受施工影响的地方设置钢板桩支护结构轴线的控制点和水平基准点；</w:t>
      </w:r>
    </w:p>
    <w:p w14:paraId="75C73455">
      <w:pPr>
        <w:ind w:firstLine="420" w:firstLineChars="200"/>
      </w:pPr>
      <w:r>
        <w:rPr>
          <w:rFonts w:hint="eastAsia"/>
        </w:rPr>
        <w:t>5 选择合适的施工设备；</w:t>
      </w:r>
    </w:p>
    <w:p w14:paraId="762FA2BA">
      <w:pPr>
        <w:ind w:firstLine="420" w:firstLineChars="200"/>
      </w:pPr>
      <w:r>
        <w:rPr>
          <w:rFonts w:hint="eastAsia"/>
        </w:rPr>
        <w:t>6 首批钢板桩进场且验收合格。</w:t>
      </w:r>
    </w:p>
    <w:p w14:paraId="1C82B188">
      <w:r>
        <w:rPr>
          <w:rFonts w:hint="eastAsia"/>
        </w:rPr>
        <w:t>6.1.3  钢板桩压桩工艺应根据地质条件、钢板桩型号、入土深度等因素，选用单独静压、高压水辅助静压、螺旋钻辅助静压等沉桩方法，当没有经验时压桩工艺可根据以下情况选用：</w:t>
      </w:r>
    </w:p>
    <w:p w14:paraId="5CE180E7">
      <w:pPr>
        <w:ind w:firstLine="420" w:firstLineChars="200"/>
      </w:pPr>
      <w:r>
        <w:rPr>
          <w:rFonts w:hint="eastAsia"/>
        </w:rPr>
        <w:t>1 标贯锤击数在0~20之间的黏土（软塑、可塑及硬塑）、粉土（松散、稍密及密实）、砂土（松散，稍密及中密），可根据情况选择单独静压或高压水辅助静压沉桩法；</w:t>
      </w:r>
    </w:p>
    <w:p w14:paraId="521AF73B">
      <w:pPr>
        <w:ind w:firstLine="420" w:firstLineChars="200"/>
      </w:pPr>
      <w:r>
        <w:rPr>
          <w:rFonts w:hint="eastAsia"/>
        </w:rPr>
        <w:t>2 标贯锤击数在20~50之间的黏土（硬塑及坚硬）、粉土（密实）、砂土（中密及密实），可根据情况采用高压水辅助静压或螺旋钻辅助静压沉桩法；</w:t>
      </w:r>
    </w:p>
    <w:p w14:paraId="6F8B800D">
      <w:pPr>
        <w:ind w:firstLine="420" w:firstLineChars="200"/>
      </w:pPr>
      <w:r>
        <w:rPr>
          <w:rFonts w:hint="eastAsia"/>
        </w:rPr>
        <w:t>3 标贯锤击数在＞50的密实砂土、粉土、碎石土（卵石、碎石、圆砾、角砾）、坚硬黏性土、硬质岩等，可选择螺旋钻辅助静压沉桩法。</w:t>
      </w:r>
    </w:p>
    <w:p w14:paraId="55BC68F5">
      <w:r>
        <w:rPr>
          <w:rFonts w:hint="eastAsia"/>
        </w:rPr>
        <w:t>6.1.4  正式开工前宜进行压桩试验。</w:t>
      </w:r>
    </w:p>
    <w:p w14:paraId="3813711F">
      <w:r>
        <w:rPr>
          <w:rFonts w:hint="eastAsia"/>
        </w:rPr>
        <w:t>6.1.5  压桩及拔桩施工可能影响邻近建筑物正常使用和安全时应采取相应的保护措施。必要时，应对邻近建筑物进行加固处理。</w:t>
      </w:r>
    </w:p>
    <w:p w14:paraId="5CE77E3D">
      <w:r>
        <w:rPr>
          <w:rFonts w:hint="eastAsia"/>
        </w:rPr>
        <w:t>6.1.6  当用钢板桩作为浇筑地下结构的外模板且需要拔除时，应涂刷脱模剂或衬以油毡等隔离材料。</w:t>
      </w:r>
    </w:p>
    <w:p w14:paraId="37E2CB0B">
      <w:r>
        <w:rPr>
          <w:rFonts w:hint="eastAsia"/>
        </w:rPr>
        <w:t>6.1.7  锚拉、支撑、围檩、锚碇等支护结构的施工，应符合现行行业标准《建筑基坑支护技术规程》</w:t>
      </w:r>
      <w:r>
        <w:t>JGJ120</w:t>
      </w:r>
      <w:r>
        <w:rPr>
          <w:rFonts w:hint="eastAsia"/>
        </w:rPr>
        <w:t>、《码头结构施工规范》</w:t>
      </w:r>
      <w:r>
        <w:t>JTS215</w:t>
      </w:r>
      <w:r>
        <w:rPr>
          <w:rFonts w:hint="eastAsia"/>
        </w:rPr>
        <w:t>等的有关规定。</w:t>
      </w:r>
    </w:p>
    <w:p w14:paraId="12943985"/>
    <w:p w14:paraId="5B6F5298">
      <w:pPr>
        <w:pStyle w:val="3"/>
        <w:ind w:firstLine="281"/>
      </w:pPr>
      <w:bookmarkStart w:id="39" w:name="_Toc28706"/>
      <w:bookmarkStart w:id="40" w:name="_Toc18863"/>
      <w:r>
        <w:rPr>
          <w:rFonts w:hint="eastAsia"/>
        </w:rPr>
        <w:t>6.2  运输吊装和堆放</w:t>
      </w:r>
      <w:bookmarkEnd w:id="39"/>
      <w:bookmarkEnd w:id="40"/>
    </w:p>
    <w:p w14:paraId="58C082A9">
      <w:r>
        <w:rPr>
          <w:rFonts w:hint="eastAsia"/>
        </w:rPr>
        <w:t>6.2.1  应根据构件截面类型和长度、运输量、道路情况、场地条件等因素制定钢板桩材料运输及吊装方案。</w:t>
      </w:r>
    </w:p>
    <w:p w14:paraId="6C616762">
      <w:r>
        <w:rPr>
          <w:rFonts w:hint="eastAsia"/>
        </w:rPr>
        <w:t>6</w:t>
      </w:r>
      <w:r>
        <w:t>.</w:t>
      </w:r>
      <w:r>
        <w:rPr>
          <w:rFonts w:hint="eastAsia"/>
        </w:rPr>
        <w:t>2</w:t>
      </w:r>
      <w:r>
        <w:t>.</w:t>
      </w:r>
      <w:r>
        <w:rPr>
          <w:rFonts w:hint="eastAsia"/>
        </w:rPr>
        <w:t xml:space="preserve">2 </w:t>
      </w:r>
      <w:r>
        <w:t xml:space="preserve"> </w:t>
      </w:r>
      <w:r>
        <w:rPr>
          <w:rFonts w:hint="eastAsia"/>
        </w:rPr>
        <w:t>钢板桩的运输应根据运输距离、运输条件采取相应的加撑或系绑固定措施。运输至施工现场的钢板桩若平直度不符合要求，应进行校正。</w:t>
      </w:r>
    </w:p>
    <w:p w14:paraId="6FC7FA35">
      <w:r>
        <w:rPr>
          <w:rFonts w:hint="eastAsia"/>
        </w:rPr>
        <w:t>6</w:t>
      </w:r>
      <w:r>
        <w:t>.</w:t>
      </w:r>
      <w:r>
        <w:rPr>
          <w:rFonts w:hint="eastAsia"/>
        </w:rPr>
        <w:t>2</w:t>
      </w:r>
      <w:r>
        <w:t>.</w:t>
      </w:r>
      <w:r>
        <w:rPr>
          <w:rFonts w:hint="eastAsia"/>
        </w:rPr>
        <w:t>3</w:t>
      </w:r>
      <w:r>
        <w:t xml:space="preserve"> </w:t>
      </w:r>
      <w:r>
        <w:rPr>
          <w:rFonts w:hint="eastAsia"/>
        </w:rPr>
        <w:t xml:space="preserve"> </w:t>
      </w:r>
      <w:r>
        <w:t>钢板桩的吊运应符合下列规定</w:t>
      </w:r>
      <w:r>
        <w:rPr>
          <w:rFonts w:hint="eastAsia"/>
        </w:rPr>
        <w:t>：</w:t>
      </w:r>
    </w:p>
    <w:p w14:paraId="65D6BAC3">
      <w:pPr>
        <w:ind w:firstLine="420" w:firstLineChars="200"/>
      </w:pPr>
      <w:r>
        <w:t>1 宜采用成捆起吊，捆扎宜采用钢索</w:t>
      </w:r>
      <w:r>
        <w:rPr>
          <w:rFonts w:hint="eastAsia"/>
        </w:rPr>
        <w:t>；</w:t>
      </w:r>
    </w:p>
    <w:p w14:paraId="79C7C040">
      <w:pPr>
        <w:ind w:firstLine="420" w:firstLineChars="200"/>
      </w:pPr>
      <w:r>
        <w:t>2</w:t>
      </w:r>
      <w:r>
        <w:rPr>
          <w:rFonts w:hint="eastAsia"/>
        </w:rPr>
        <w:t xml:space="preserve"> </w:t>
      </w:r>
      <w:r>
        <w:t>每次起吊的钢板桩数量不宜过多，应根据桩的长度、重量和吊机起吊能力确定</w:t>
      </w:r>
      <w:r>
        <w:rPr>
          <w:rFonts w:hint="eastAsia"/>
        </w:rPr>
        <w:t>；</w:t>
      </w:r>
    </w:p>
    <w:p w14:paraId="7F27494A">
      <w:pPr>
        <w:ind w:firstLine="420" w:firstLineChars="200"/>
      </w:pPr>
      <w:r>
        <w:t>3 吊运过程中应轻吊轻放，避免剧烈碰撞</w:t>
      </w:r>
      <w:r>
        <w:rPr>
          <w:rFonts w:hint="eastAsia"/>
        </w:rPr>
        <w:t>；</w:t>
      </w:r>
    </w:p>
    <w:p w14:paraId="21338768">
      <w:pPr>
        <w:ind w:firstLine="420" w:firstLineChars="200"/>
      </w:pPr>
      <w:r>
        <w:rPr>
          <w:rFonts w:hint="eastAsia"/>
        </w:rPr>
        <w:t>4 起吊点的数量及位置宜经计算确定，若桩长超过15m，应设2~3个吊点，确保不因起吊产生无法恢复的变形；</w:t>
      </w:r>
    </w:p>
    <w:p w14:paraId="50DE6D6F">
      <w:pPr>
        <w:ind w:firstLine="420" w:firstLineChars="200"/>
      </w:pPr>
      <w:r>
        <w:rPr>
          <w:rFonts w:hint="eastAsia"/>
        </w:rPr>
        <w:t>5 吊运装卸钢板桩宜使用专用钢吊钩；</w:t>
      </w:r>
    </w:p>
    <w:p w14:paraId="00190E33">
      <w:pPr>
        <w:ind w:firstLine="420" w:firstLineChars="200"/>
      </w:pPr>
      <w:r>
        <w:rPr>
          <w:rFonts w:hint="eastAsia"/>
        </w:rPr>
        <w:t>6 桩的运输宜采用平板车或驳船，装卸及运输时应保证桩不产生滑移与损伤。</w:t>
      </w:r>
    </w:p>
    <w:p w14:paraId="5C4269F5">
      <w:r>
        <w:rPr>
          <w:rFonts w:hint="eastAsia"/>
        </w:rPr>
        <w:t>6.2.4  钢板桩材料堆放场地应平整、坚实、排水通畅，室外堆放时应覆盖防护，零部件和小型构件宜室内堆放。</w:t>
      </w:r>
    </w:p>
    <w:p w14:paraId="7AE7B504">
      <w:r>
        <w:rPr>
          <w:rFonts w:hint="eastAsia"/>
        </w:rPr>
        <w:t>6</w:t>
      </w:r>
      <w:r>
        <w:t>.</w:t>
      </w:r>
      <w:r>
        <w:rPr>
          <w:rFonts w:hint="eastAsia"/>
        </w:rPr>
        <w:t>2</w:t>
      </w:r>
      <w:r>
        <w:t>.</w:t>
      </w:r>
      <w:r>
        <w:rPr>
          <w:rFonts w:hint="eastAsia"/>
        </w:rPr>
        <w:t xml:space="preserve">5 </w:t>
      </w:r>
      <w:r>
        <w:t xml:space="preserve"> 钢板桩的堆放应符合下列规定</w:t>
      </w:r>
      <w:r>
        <w:rPr>
          <w:rFonts w:hint="eastAsia"/>
        </w:rPr>
        <w:t>：</w:t>
      </w:r>
    </w:p>
    <w:p w14:paraId="26186034">
      <w:pPr>
        <w:ind w:firstLine="420" w:firstLineChars="200"/>
      </w:pPr>
      <w:r>
        <w:t>1</w:t>
      </w:r>
      <w:r>
        <w:rPr>
          <w:rFonts w:hint="eastAsia"/>
        </w:rPr>
        <w:t xml:space="preserve"> </w:t>
      </w:r>
      <w:r>
        <w:t>堆放场地平整、坚实，排水条件良好</w:t>
      </w:r>
      <w:r>
        <w:rPr>
          <w:rFonts w:hint="eastAsia"/>
        </w:rPr>
        <w:t>，垛位布置应便于桩的起吊和运输；</w:t>
      </w:r>
    </w:p>
    <w:p w14:paraId="102F6736">
      <w:pPr>
        <w:ind w:firstLine="420" w:firstLineChars="200"/>
      </w:pPr>
      <w:r>
        <w:rPr>
          <w:rFonts w:hint="eastAsia"/>
        </w:rPr>
        <w:t xml:space="preserve">2 </w:t>
      </w:r>
      <w:r>
        <w:t>根据堆放形式验算地基承载力与垫木强度</w:t>
      </w:r>
      <w:r>
        <w:rPr>
          <w:rFonts w:hint="eastAsia"/>
        </w:rPr>
        <w:t>；</w:t>
      </w:r>
    </w:p>
    <w:p w14:paraId="05973E90">
      <w:pPr>
        <w:ind w:firstLine="420" w:firstLineChars="200"/>
      </w:pPr>
      <w:r>
        <w:rPr>
          <w:rFonts w:hint="eastAsia"/>
        </w:rPr>
        <w:t>3 堆垛时每层板桩应用垫木支垫，同层垫木的高度应相同，垫木的间距宜为3m~4m，上下层的支垫应在同一垂线上；</w:t>
      </w:r>
    </w:p>
    <w:p w14:paraId="1647D9C8">
      <w:pPr>
        <w:ind w:firstLine="420" w:firstLineChars="200"/>
      </w:pPr>
      <w:r>
        <w:rPr>
          <w:rFonts w:hint="eastAsia"/>
        </w:rPr>
        <w:t>4 钢板桩堆垛的层数不宜超过3层且不宜大于2m，堆有特殊要求时应经计算校验；</w:t>
      </w:r>
    </w:p>
    <w:p w14:paraId="5D7A7B5C">
      <w:pPr>
        <w:ind w:firstLine="420" w:firstLineChars="200"/>
      </w:pPr>
      <w:r>
        <w:rPr>
          <w:rFonts w:hint="eastAsia"/>
        </w:rPr>
        <w:t>5 在岸坡顶部堆存时应对岸坡的稳定性进行验算；</w:t>
      </w:r>
    </w:p>
    <w:p w14:paraId="3EDB70FB">
      <w:pPr>
        <w:ind w:firstLine="420" w:firstLineChars="200"/>
      </w:pPr>
      <w:r>
        <w:rPr>
          <w:rFonts w:hint="eastAsia"/>
        </w:rPr>
        <w:t>6 应按不同规格、长度及施工顺序分类堆放；条件许可时，可按工程进度分批供桩，避免重复倒运。</w:t>
      </w:r>
    </w:p>
    <w:p w14:paraId="038A30FE">
      <w:pPr>
        <w:ind w:firstLine="420" w:firstLineChars="200"/>
      </w:pPr>
    </w:p>
    <w:p w14:paraId="678631A6">
      <w:pPr>
        <w:pStyle w:val="3"/>
        <w:ind w:firstLine="281"/>
      </w:pPr>
      <w:bookmarkStart w:id="41" w:name="_Toc7258"/>
      <w:bookmarkStart w:id="42" w:name="_Toc22828"/>
      <w:r>
        <w:rPr>
          <w:rFonts w:hint="eastAsia"/>
        </w:rPr>
        <w:t>6.3</w:t>
      </w:r>
      <w:r>
        <w:t xml:space="preserve"> </w:t>
      </w:r>
      <w:r>
        <w:rPr>
          <w:rFonts w:hint="eastAsia"/>
        </w:rPr>
        <w:t xml:space="preserve"> 压桩</w:t>
      </w:r>
      <w:bookmarkEnd w:id="41"/>
      <w:bookmarkEnd w:id="42"/>
    </w:p>
    <w:p w14:paraId="222BA20C">
      <w:pPr>
        <w:spacing w:line="300" w:lineRule="auto"/>
        <w:rPr>
          <w:szCs w:val="24"/>
        </w:rPr>
      </w:pPr>
      <w:r>
        <w:rPr>
          <w:rFonts w:hint="eastAsia"/>
          <w:szCs w:val="24"/>
        </w:rPr>
        <w:t>6.3.1  压桩前应完成下列准备工作：</w:t>
      </w:r>
    </w:p>
    <w:p w14:paraId="7EF459AF">
      <w:pPr>
        <w:spacing w:line="300" w:lineRule="auto"/>
        <w:ind w:firstLine="420" w:firstLineChars="200"/>
        <w:rPr>
          <w:szCs w:val="24"/>
        </w:rPr>
      </w:pPr>
      <w:r>
        <w:rPr>
          <w:rFonts w:hint="eastAsia"/>
          <w:szCs w:val="24"/>
        </w:rPr>
        <w:t>1 检查压桩设备且符合正常运转要求；</w:t>
      </w:r>
    </w:p>
    <w:p w14:paraId="7F2178AB">
      <w:pPr>
        <w:spacing w:line="300" w:lineRule="auto"/>
        <w:ind w:firstLine="420" w:firstLineChars="200"/>
        <w:rPr>
          <w:szCs w:val="24"/>
        </w:rPr>
      </w:pPr>
      <w:r>
        <w:rPr>
          <w:rFonts w:hint="eastAsia"/>
          <w:szCs w:val="24"/>
        </w:rPr>
        <w:t>2 检查所用钢板桩的桩身质量；</w:t>
      </w:r>
    </w:p>
    <w:p w14:paraId="421F401E">
      <w:pPr>
        <w:spacing w:line="300" w:lineRule="auto"/>
        <w:ind w:firstLine="420" w:firstLineChars="200"/>
        <w:rPr>
          <w:szCs w:val="24"/>
        </w:rPr>
      </w:pPr>
      <w:r>
        <w:rPr>
          <w:rFonts w:hint="eastAsia"/>
          <w:szCs w:val="24"/>
        </w:rPr>
        <w:t>3 对变形的钢板桩桩身及锁口进行调直处理；</w:t>
      </w:r>
    </w:p>
    <w:p w14:paraId="43EB8C73">
      <w:pPr>
        <w:spacing w:line="300" w:lineRule="auto"/>
        <w:ind w:firstLine="420" w:firstLineChars="200"/>
        <w:rPr>
          <w:szCs w:val="24"/>
        </w:rPr>
      </w:pPr>
      <w:r>
        <w:rPr>
          <w:rFonts w:hint="eastAsia"/>
          <w:szCs w:val="24"/>
        </w:rPr>
        <w:t>4</w:t>
      </w:r>
      <w:r>
        <w:rPr>
          <w:szCs w:val="24"/>
        </w:rPr>
        <w:t xml:space="preserve"> </w:t>
      </w:r>
      <w:r>
        <w:rPr>
          <w:rFonts w:hint="eastAsia"/>
          <w:szCs w:val="24"/>
        </w:rPr>
        <w:t>测量并标示场地上的桩位，其偏差不得大于20mm；</w:t>
      </w:r>
    </w:p>
    <w:p w14:paraId="3E77F18B">
      <w:pPr>
        <w:spacing w:line="300" w:lineRule="auto"/>
        <w:ind w:firstLine="420" w:firstLineChars="200"/>
        <w:rPr>
          <w:szCs w:val="24"/>
        </w:rPr>
      </w:pPr>
      <w:r>
        <w:rPr>
          <w:rFonts w:hint="eastAsia"/>
          <w:szCs w:val="24"/>
        </w:rPr>
        <w:t>5 宜在钢板桩锁口内嵌填油膏、木屑或其他密封止水材料。</w:t>
      </w:r>
    </w:p>
    <w:p w14:paraId="1A7A2C34">
      <w:r>
        <w:rPr>
          <w:rFonts w:hint="eastAsia"/>
        </w:rPr>
        <w:t>6.3.2  压桩试验宜符合下列规定：</w:t>
      </w:r>
    </w:p>
    <w:p w14:paraId="5BFE7E09">
      <w:pPr>
        <w:ind w:firstLine="420" w:firstLineChars="200"/>
      </w:pPr>
      <w:r>
        <w:rPr>
          <w:rFonts w:hint="eastAsia"/>
        </w:rPr>
        <w:t>1 利用支护桩位置进行压桩试验，试验后作为支护桩使用；</w:t>
      </w:r>
    </w:p>
    <w:p w14:paraId="4D36137C">
      <w:pPr>
        <w:ind w:firstLine="420" w:firstLineChars="200"/>
      </w:pPr>
      <w:r>
        <w:rPr>
          <w:rFonts w:hint="eastAsia"/>
        </w:rPr>
        <w:t>2 试验桩的位置、地质条件、设备规格、长度具有代表性；</w:t>
      </w:r>
    </w:p>
    <w:p w14:paraId="2E964B53">
      <w:pPr>
        <w:ind w:firstLine="420" w:firstLineChars="200"/>
      </w:pPr>
      <w:r>
        <w:rPr>
          <w:rFonts w:hint="eastAsia"/>
        </w:rPr>
        <w:t>3 试验桩选择在控制性勘探孔附近。</w:t>
      </w:r>
    </w:p>
    <w:p w14:paraId="56D4695F">
      <w:r>
        <w:rPr>
          <w:rFonts w:hint="eastAsia"/>
        </w:rPr>
        <w:t>6.3.3  静压沉桩应符合下列规定：</w:t>
      </w:r>
    </w:p>
    <w:p w14:paraId="2DDB4086">
      <w:pPr>
        <w:ind w:firstLine="420" w:firstLineChars="200"/>
      </w:pPr>
      <w:r>
        <w:rPr>
          <w:rFonts w:hint="eastAsia"/>
        </w:rPr>
        <w:t>1</w:t>
      </w:r>
      <w:r>
        <w:t xml:space="preserve"> </w:t>
      </w:r>
      <w:r>
        <w:rPr>
          <w:rFonts w:hint="eastAsia"/>
        </w:rPr>
        <w:t>进行多桩的压桩应采用逐根法；</w:t>
      </w:r>
    </w:p>
    <w:p w14:paraId="4F471471">
      <w:pPr>
        <w:ind w:firstLine="420" w:firstLineChars="200"/>
      </w:pPr>
      <w:r>
        <w:rPr>
          <w:rFonts w:hint="eastAsia"/>
        </w:rPr>
        <w:t>2</w:t>
      </w:r>
      <w:r>
        <w:t xml:space="preserve"> </w:t>
      </w:r>
      <w:r>
        <w:rPr>
          <w:rFonts w:hint="eastAsia"/>
        </w:rPr>
        <w:t>第一根桩为后续桩的基准桩，应进行准确定位和控制垂直度；</w:t>
      </w:r>
    </w:p>
    <w:p w14:paraId="74E822FE">
      <w:pPr>
        <w:ind w:firstLine="420" w:firstLineChars="200"/>
      </w:pPr>
      <w:r>
        <w:rPr>
          <w:rFonts w:hint="eastAsia"/>
        </w:rPr>
        <w:t>3 压桩时宜将桩一次性连续压到设计标高，合理控制压桩速率；</w:t>
      </w:r>
    </w:p>
    <w:p w14:paraId="0893525A">
      <w:pPr>
        <w:ind w:firstLine="420" w:firstLineChars="200"/>
      </w:pPr>
      <w:r>
        <w:rPr>
          <w:rFonts w:hint="eastAsia"/>
        </w:rPr>
        <w:t>4 抱压力不应大于桩身允许侧向压力的</w:t>
      </w:r>
      <w:r>
        <w:t>1.1</w:t>
      </w:r>
      <w:r>
        <w:rPr>
          <w:rFonts w:hint="eastAsia"/>
        </w:rPr>
        <w:t>倍；</w:t>
      </w:r>
    </w:p>
    <w:p w14:paraId="16CB05B6">
      <w:pPr>
        <w:ind w:firstLine="420" w:firstLineChars="200"/>
      </w:pPr>
      <w:r>
        <w:rPr>
          <w:rFonts w:hint="eastAsia"/>
        </w:rPr>
        <w:t>5</w:t>
      </w:r>
      <w:r>
        <w:t xml:space="preserve"> </w:t>
      </w:r>
      <w:r>
        <w:rPr>
          <w:rFonts w:hint="eastAsia"/>
        </w:rPr>
        <w:t>打设长桩时，宜每间隔</w:t>
      </w:r>
      <w:r>
        <w:t>50m</w:t>
      </w:r>
      <w:r>
        <w:rPr>
          <w:rFonts w:hint="eastAsia"/>
        </w:rPr>
        <w:t>采用楔形桩对钢板桩施打方向的倾斜进行矫正；</w:t>
      </w:r>
    </w:p>
    <w:p w14:paraId="05A6E7BE">
      <w:pPr>
        <w:spacing w:line="300" w:lineRule="auto"/>
        <w:ind w:firstLine="420" w:firstLineChars="200"/>
        <w:rPr>
          <w:szCs w:val="24"/>
        </w:rPr>
      </w:pPr>
      <w:r>
        <w:rPr>
          <w:rFonts w:hint="eastAsia"/>
          <w:szCs w:val="24"/>
        </w:rPr>
        <w:t>6</w:t>
      </w:r>
      <w:r>
        <w:rPr>
          <w:szCs w:val="24"/>
        </w:rPr>
        <w:t xml:space="preserve"> </w:t>
      </w:r>
      <w:r>
        <w:rPr>
          <w:rFonts w:hint="eastAsia"/>
          <w:szCs w:val="24"/>
        </w:rPr>
        <w:t>高出地面的桩头应注意保护；</w:t>
      </w:r>
    </w:p>
    <w:p w14:paraId="6F152895">
      <w:pPr>
        <w:ind w:firstLine="420" w:firstLineChars="200"/>
      </w:pPr>
      <w:r>
        <w:rPr>
          <w:rFonts w:hint="eastAsia"/>
        </w:rPr>
        <w:t>7当起重机辅助吊起静压植桩机、螺旋钻及钢板桩时，严禁静压植桩机行走和调整，同时应避免压入力及反作用力影响到起重机。</w:t>
      </w:r>
    </w:p>
    <w:p w14:paraId="19C2BDB0">
      <w:pPr>
        <w:ind w:firstLine="420" w:firstLineChars="200"/>
      </w:pPr>
      <w:r>
        <w:rPr>
          <w:rFonts w:hint="eastAsia"/>
        </w:rPr>
        <w:t>8 当钢板桩之间的锁口连接需要在高处完成时，应采取高空作业措施。</w:t>
      </w:r>
    </w:p>
    <w:p w14:paraId="5EF3CF98">
      <w:r>
        <w:rPr>
          <w:rFonts w:hint="eastAsia"/>
        </w:rPr>
        <w:t>6.3.4  静压沉桩法宜按下列步骤进行：</w:t>
      </w:r>
    </w:p>
    <w:p w14:paraId="4A6FDF12">
      <w:pPr>
        <w:ind w:firstLine="420" w:firstLineChars="200"/>
      </w:pPr>
      <w:r>
        <w:rPr>
          <w:rFonts w:hint="eastAsia"/>
        </w:rPr>
        <w:t>1 测量定位，并确定压桩顺序；</w:t>
      </w:r>
    </w:p>
    <w:p w14:paraId="40CDA21C">
      <w:pPr>
        <w:ind w:firstLine="420" w:firstLineChars="200"/>
      </w:pPr>
      <w:r>
        <w:rPr>
          <w:rFonts w:hint="eastAsia"/>
        </w:rPr>
        <w:t>2 静压植桩机就位，设置反力基座并配重；</w:t>
      </w:r>
    </w:p>
    <w:p w14:paraId="2BD0ED95">
      <w:pPr>
        <w:ind w:firstLine="420" w:firstLineChars="200"/>
      </w:pPr>
      <w:r>
        <w:rPr>
          <w:rFonts w:hint="eastAsia"/>
        </w:rPr>
        <w:t>3 起吊钢板桩；</w:t>
      </w:r>
    </w:p>
    <w:p w14:paraId="093725B4">
      <w:pPr>
        <w:ind w:firstLine="420" w:firstLineChars="200"/>
      </w:pPr>
      <w:r>
        <w:rPr>
          <w:rFonts w:hint="eastAsia"/>
        </w:rPr>
        <w:t>4</w:t>
      </w:r>
      <w:r>
        <w:t xml:space="preserve"> </w:t>
      </w:r>
      <w:r>
        <w:rPr>
          <w:rFonts w:hint="eastAsia"/>
        </w:rPr>
        <w:t>桩身校正；</w:t>
      </w:r>
    </w:p>
    <w:p w14:paraId="23AE2330">
      <w:pPr>
        <w:ind w:firstLine="420" w:firstLineChars="200"/>
      </w:pPr>
      <w:r>
        <w:rPr>
          <w:rFonts w:hint="eastAsia"/>
        </w:rPr>
        <w:t>5 利用静压植桩机自重和配重压入钢板桩；</w:t>
      </w:r>
    </w:p>
    <w:p w14:paraId="6A88B623">
      <w:pPr>
        <w:ind w:firstLine="420" w:firstLineChars="200"/>
      </w:pPr>
      <w:r>
        <w:rPr>
          <w:rFonts w:hint="eastAsia"/>
        </w:rPr>
        <w:t>6</w:t>
      </w:r>
      <w:r>
        <w:t xml:space="preserve"> </w:t>
      </w:r>
      <w:r>
        <w:rPr>
          <w:rFonts w:hint="eastAsia"/>
        </w:rPr>
        <w:t>移机；</w:t>
      </w:r>
    </w:p>
    <w:p w14:paraId="19C0446B">
      <w:pPr>
        <w:ind w:firstLine="420" w:firstLineChars="200"/>
      </w:pPr>
      <w:r>
        <w:rPr>
          <w:rFonts w:hint="eastAsia"/>
        </w:rPr>
        <w:t>7</w:t>
      </w:r>
      <w:r>
        <w:t xml:space="preserve"> </w:t>
      </w:r>
      <w:r>
        <w:rPr>
          <w:rFonts w:hint="eastAsia"/>
        </w:rPr>
        <w:t>重复步骤3~步骤6，完成数根初始桩施工；</w:t>
      </w:r>
    </w:p>
    <w:p w14:paraId="000D7F56">
      <w:pPr>
        <w:ind w:firstLine="420" w:firstLineChars="200"/>
      </w:pPr>
      <w:r>
        <w:rPr>
          <w:rFonts w:hint="eastAsia"/>
        </w:rPr>
        <w:t>8</w:t>
      </w:r>
      <w:r>
        <w:t xml:space="preserve"> </w:t>
      </w:r>
      <w:r>
        <w:rPr>
          <w:rFonts w:hint="eastAsia"/>
        </w:rPr>
        <w:t>吊离配重及反力基座，移机；</w:t>
      </w:r>
    </w:p>
    <w:p w14:paraId="20DABE24">
      <w:pPr>
        <w:ind w:firstLine="420" w:firstLineChars="200"/>
      </w:pPr>
      <w:r>
        <w:rPr>
          <w:rFonts w:hint="eastAsia"/>
        </w:rPr>
        <w:t>9</w:t>
      </w:r>
      <w:r>
        <w:t xml:space="preserve"> </w:t>
      </w:r>
      <w:r>
        <w:rPr>
          <w:rFonts w:hint="eastAsia"/>
        </w:rPr>
        <w:t>起吊钢板桩；</w:t>
      </w:r>
    </w:p>
    <w:p w14:paraId="02BD31E4">
      <w:pPr>
        <w:ind w:firstLine="420" w:firstLineChars="200"/>
      </w:pPr>
      <w:r>
        <w:rPr>
          <w:rFonts w:hint="eastAsia"/>
        </w:rPr>
        <w:t>10 桩身校正；</w:t>
      </w:r>
    </w:p>
    <w:p w14:paraId="2F2FAB88">
      <w:pPr>
        <w:ind w:left="630" w:leftChars="200" w:hanging="210" w:hangingChars="100"/>
      </w:pPr>
      <w:r>
        <w:rPr>
          <w:rFonts w:hint="eastAsia"/>
        </w:rPr>
        <w:t>11 静压植桩机夹住数根已压入土中的钢板桩，利用其拔出阻力作为反力，将下一根钢板桩压入土中；</w:t>
      </w:r>
    </w:p>
    <w:p w14:paraId="52D4409F">
      <w:pPr>
        <w:ind w:firstLine="420" w:firstLineChars="200"/>
      </w:pPr>
      <w:r>
        <w:rPr>
          <w:rFonts w:hint="eastAsia"/>
        </w:rPr>
        <w:t>12 移机；</w:t>
      </w:r>
    </w:p>
    <w:p w14:paraId="33BFF7CB">
      <w:pPr>
        <w:ind w:firstLine="420" w:firstLineChars="200"/>
      </w:pPr>
      <w:r>
        <w:rPr>
          <w:rFonts w:hint="eastAsia"/>
        </w:rPr>
        <w:t>13 重复步骤9~步骤12，完成剩余钢板桩施工。</w:t>
      </w:r>
    </w:p>
    <w:p w14:paraId="6691ED07">
      <w:r>
        <w:rPr>
          <w:rFonts w:hint="eastAsia"/>
        </w:rPr>
        <w:t>6.3.5  高压射水辅助静压沉桩法的施工步骤宜符合本规程的6.3.4规定，辅助施工宜按下列步骤进行：</w:t>
      </w:r>
    </w:p>
    <w:p w14:paraId="073F0DEC">
      <w:pPr>
        <w:ind w:firstLine="420" w:firstLineChars="200"/>
      </w:pPr>
      <w:r>
        <w:rPr>
          <w:rFonts w:hint="eastAsia"/>
        </w:rPr>
        <w:t>1 静压植桩机安装水刀卷筒，就位；</w:t>
      </w:r>
    </w:p>
    <w:p w14:paraId="1905CB30">
      <w:pPr>
        <w:ind w:firstLine="420" w:firstLineChars="200"/>
      </w:pPr>
      <w:r>
        <w:rPr>
          <w:rFonts w:hint="eastAsia"/>
        </w:rPr>
        <w:t>2 安装高压水泵并与水刀卷筒连接；</w:t>
      </w:r>
    </w:p>
    <w:p w14:paraId="0E50A99C">
      <w:pPr>
        <w:ind w:firstLine="420" w:firstLineChars="200"/>
      </w:pPr>
      <w:r>
        <w:rPr>
          <w:rFonts w:hint="eastAsia"/>
        </w:rPr>
        <w:t>3 在钢板桩底端焊接水刀固定座；</w:t>
      </w:r>
    </w:p>
    <w:p w14:paraId="47878FDA">
      <w:pPr>
        <w:ind w:firstLine="420" w:firstLineChars="200"/>
      </w:pPr>
      <w:r>
        <w:rPr>
          <w:rFonts w:hint="eastAsia"/>
        </w:rPr>
        <w:t>4 吊桩，水刀软管与水刀固定座连接；</w:t>
      </w:r>
    </w:p>
    <w:p w14:paraId="36A6714B">
      <w:pPr>
        <w:ind w:firstLine="420" w:firstLineChars="200"/>
      </w:pPr>
      <w:r>
        <w:rPr>
          <w:rFonts w:hint="eastAsia"/>
        </w:rPr>
        <w:t>5 桩身校正；</w:t>
      </w:r>
    </w:p>
    <w:p w14:paraId="2A550E95">
      <w:pPr>
        <w:ind w:firstLine="420" w:firstLineChars="200"/>
      </w:pPr>
      <w:r>
        <w:rPr>
          <w:rFonts w:hint="eastAsia"/>
        </w:rPr>
        <w:t>6 在高压射水的同时将钢板桩压入土中；</w:t>
      </w:r>
    </w:p>
    <w:p w14:paraId="1C1D36C8">
      <w:pPr>
        <w:ind w:firstLine="420" w:firstLineChars="200"/>
      </w:pPr>
      <w:r>
        <w:rPr>
          <w:rFonts w:hint="eastAsia"/>
        </w:rPr>
        <w:t>7 卷筒反转，拔出软管并回收。</w:t>
      </w:r>
    </w:p>
    <w:p w14:paraId="27CB6987">
      <w:r>
        <w:rPr>
          <w:rFonts w:hint="eastAsia"/>
        </w:rPr>
        <w:t>6.3.6  螺旋钻辅助静压沉桩法的施工步骤宜符合本规程第6.3.4条的规定，辅助施工宜按下列步骤进行：</w:t>
      </w:r>
    </w:p>
    <w:p w14:paraId="419C35D6">
      <w:pPr>
        <w:ind w:firstLine="420" w:firstLineChars="200"/>
      </w:pPr>
      <w:r>
        <w:rPr>
          <w:rFonts w:hint="eastAsia"/>
        </w:rPr>
        <w:t>1 组装静压植桩机及螺旋钻装置，就位；</w:t>
      </w:r>
    </w:p>
    <w:p w14:paraId="20CA2BC2">
      <w:pPr>
        <w:ind w:firstLine="420" w:firstLineChars="200"/>
      </w:pPr>
      <w:r>
        <w:rPr>
          <w:rFonts w:hint="eastAsia"/>
        </w:rPr>
        <w:t>2 吊桩；</w:t>
      </w:r>
    </w:p>
    <w:p w14:paraId="06FD833A">
      <w:pPr>
        <w:ind w:firstLine="420" w:firstLineChars="200"/>
      </w:pPr>
      <w:r>
        <w:rPr>
          <w:rFonts w:hint="eastAsia"/>
        </w:rPr>
        <w:t>3 桩身校正；</w:t>
      </w:r>
    </w:p>
    <w:p w14:paraId="46A00211">
      <w:pPr>
        <w:ind w:firstLine="420" w:firstLineChars="200"/>
      </w:pPr>
      <w:r>
        <w:rPr>
          <w:rFonts w:hint="eastAsia"/>
        </w:rPr>
        <w:t>4 在螺旋钻钻孔的同时将钢板桩压入土中；</w:t>
      </w:r>
    </w:p>
    <w:p w14:paraId="037C1049">
      <w:pPr>
        <w:ind w:firstLine="420" w:firstLineChars="200"/>
      </w:pPr>
      <w:r>
        <w:rPr>
          <w:rFonts w:hint="eastAsia"/>
        </w:rPr>
        <w:t>5 螺旋钻反转并拔出。</w:t>
      </w:r>
    </w:p>
    <w:p w14:paraId="49896648">
      <w:r>
        <w:rPr>
          <w:rFonts w:hint="eastAsia"/>
        </w:rPr>
        <w:t>6.3.7  设置反力基座时，应符合下列规定：</w:t>
      </w:r>
    </w:p>
    <w:p w14:paraId="3725C6FA">
      <w:pPr>
        <w:ind w:firstLine="420" w:firstLineChars="200"/>
      </w:pPr>
      <w:r>
        <w:rPr>
          <w:rFonts w:hint="eastAsia"/>
        </w:rPr>
        <w:t>1 应确保地面平整并具备足够的地基承载力后，方可设置反力基座；</w:t>
      </w:r>
    </w:p>
    <w:p w14:paraId="3F4F3119">
      <w:pPr>
        <w:ind w:firstLine="420" w:firstLineChars="200"/>
      </w:pPr>
      <w:r>
        <w:rPr>
          <w:rFonts w:hint="eastAsia"/>
        </w:rPr>
        <w:t>2 应用水准仪观测，确保静压植桩机处于水平状态。</w:t>
      </w:r>
    </w:p>
    <w:p w14:paraId="5C1B6279">
      <w:r>
        <w:rPr>
          <w:rFonts w:hint="eastAsia"/>
        </w:rPr>
        <w:t>6.3.8  在反力基座上搭载配重时，应符合下列规定：</w:t>
      </w:r>
    </w:p>
    <w:p w14:paraId="219DA65B">
      <w:pPr>
        <w:ind w:firstLine="420" w:firstLineChars="200"/>
      </w:pPr>
      <w:r>
        <w:rPr>
          <w:rFonts w:hint="eastAsia"/>
        </w:rPr>
        <w:t>1 单侧搭载的配重不应超过160kN；</w:t>
      </w:r>
    </w:p>
    <w:p w14:paraId="3803C833">
      <w:pPr>
        <w:ind w:firstLine="420" w:firstLineChars="200"/>
      </w:pPr>
      <w:r>
        <w:rPr>
          <w:rFonts w:hint="eastAsia"/>
        </w:rPr>
        <w:t>2 单列搭载的钢板桩数量不应超过10根；</w:t>
      </w:r>
    </w:p>
    <w:p w14:paraId="04242FE3">
      <w:pPr>
        <w:ind w:firstLine="420" w:firstLineChars="200"/>
      </w:pPr>
      <w:r>
        <w:rPr>
          <w:rFonts w:hint="eastAsia"/>
        </w:rPr>
        <w:t>3 搭载超过10根以上时，应分多列布置。</w:t>
      </w:r>
    </w:p>
    <w:p w14:paraId="7B4DC565">
      <w:r>
        <w:rPr>
          <w:rFonts w:hint="eastAsia"/>
        </w:rPr>
        <w:t>6.3.9  使用自走辅助棒进行自走操作时，应符合下列规定：</w:t>
      </w:r>
    </w:p>
    <w:p w14:paraId="719A9ACA">
      <w:pPr>
        <w:ind w:firstLine="420" w:firstLineChars="200"/>
      </w:pPr>
      <w:r>
        <w:rPr>
          <w:rFonts w:hint="eastAsia"/>
        </w:rPr>
        <w:t>1 在使用前应确保自走辅助棒的杆部、挂钩和把手没有缺陷；</w:t>
      </w:r>
    </w:p>
    <w:p w14:paraId="53313530">
      <w:pPr>
        <w:ind w:firstLine="420" w:firstLineChars="200"/>
      </w:pPr>
      <w:r>
        <w:rPr>
          <w:rFonts w:hint="eastAsia"/>
        </w:rPr>
        <w:t>2 安装自走辅助棒时，应握住把手，把手不应朝向夹头；</w:t>
      </w:r>
    </w:p>
    <w:p w14:paraId="21D24B61">
      <w:pPr>
        <w:ind w:firstLine="420" w:firstLineChars="200"/>
      </w:pPr>
      <w:r>
        <w:rPr>
          <w:rFonts w:hint="eastAsia"/>
        </w:rPr>
        <w:t>3 静压植桩机操作员与自走辅助棒操作员之间应互相配合协同作业。</w:t>
      </w:r>
    </w:p>
    <w:p w14:paraId="1BA29305">
      <w:pPr>
        <w:spacing w:line="300" w:lineRule="auto"/>
        <w:rPr>
          <w:szCs w:val="24"/>
        </w:rPr>
      </w:pPr>
      <w:r>
        <w:rPr>
          <w:rFonts w:hint="eastAsia"/>
          <w:szCs w:val="24"/>
        </w:rPr>
        <w:t>6.3.10</w:t>
      </w:r>
      <w:r>
        <w:rPr>
          <w:szCs w:val="24"/>
        </w:rPr>
        <w:t xml:space="preserve"> </w:t>
      </w:r>
      <w:r>
        <w:rPr>
          <w:rFonts w:hint="eastAsia"/>
          <w:szCs w:val="24"/>
        </w:rPr>
        <w:t xml:space="preserve"> 钢板桩起吊就位插入地面后，应检查桩位及桩身垂直度偏差。桩位偏差不得大于20mm，垂直度偏差不得大于0.5%。</w:t>
      </w:r>
    </w:p>
    <w:p w14:paraId="46EEE4EF">
      <w:pPr>
        <w:spacing w:line="300" w:lineRule="auto"/>
        <w:rPr>
          <w:szCs w:val="24"/>
        </w:rPr>
      </w:pPr>
      <w:r>
        <w:rPr>
          <w:rFonts w:hint="eastAsia"/>
          <w:szCs w:val="24"/>
        </w:rPr>
        <w:t>6.3.11  钢板桩压桩过程中，应随时检查桩身的垂直度。当桩身垂直度偏差超过0.8%时，应找出原因并设法纠正；在桩端进入硬土层后，严禁强行用回扳的方法纠偏。</w:t>
      </w:r>
    </w:p>
    <w:p w14:paraId="55D16E8D">
      <w:r>
        <w:rPr>
          <w:rFonts w:hint="eastAsia"/>
        </w:rPr>
        <w:t>6.3.12  钢板桩</w:t>
      </w:r>
      <w:r>
        <w:rPr>
          <w:rFonts w:hint="eastAsia"/>
          <w:szCs w:val="24"/>
        </w:rPr>
        <w:t>压桩</w:t>
      </w:r>
      <w:r>
        <w:rPr>
          <w:rFonts w:hint="eastAsia"/>
        </w:rPr>
        <w:t>施工中发生倾斜时，可采取下列处理措施：</w:t>
      </w:r>
    </w:p>
    <w:p w14:paraId="5E8B0D3C">
      <w:pPr>
        <w:ind w:firstLine="420" w:firstLineChars="200"/>
      </w:pPr>
      <w:r>
        <w:rPr>
          <w:rFonts w:hint="eastAsia"/>
        </w:rPr>
        <w:t>1 当钢板桩顶部向打桩行进方向倾斜，可采用绞车钢丝绳拉住桩身、边拉边打、逐步纠正的方法，也可采用预留反向倾斜偏差的方法或改为屏风式沉桩法；</w:t>
      </w:r>
    </w:p>
    <w:p w14:paraId="178793DC">
      <w:pPr>
        <w:ind w:firstLine="420" w:firstLineChars="200"/>
      </w:pPr>
      <w:r>
        <w:rPr>
          <w:rFonts w:hint="eastAsia"/>
        </w:rPr>
        <w:t>2 当沉入的钢板桩沿板桩墙轴线方向的倾斜度达到允许偏差的</w:t>
      </w:r>
      <w:r>
        <w:t>80%</w:t>
      </w:r>
      <w:r>
        <w:rPr>
          <w:rFonts w:hint="eastAsia"/>
        </w:rPr>
        <w:t>时，应采用沉设楔形钢板桩的方法进行调整，并应对楔形钢板桩的结构强度进行校核。不应连续使用楔形钢板桩。</w:t>
      </w:r>
    </w:p>
    <w:p w14:paraId="47402953">
      <w:r>
        <w:rPr>
          <w:rFonts w:hint="eastAsia"/>
        </w:rPr>
        <w:t>6.3.13  钢板桩施工中发生在施桩扭转时，可采取下列处理措施：</w:t>
      </w:r>
    </w:p>
    <w:p w14:paraId="037E3D28">
      <w:pPr>
        <w:ind w:firstLine="420" w:firstLineChars="200"/>
      </w:pPr>
      <w:r>
        <w:rPr>
          <w:rFonts w:hint="eastAsia"/>
        </w:rPr>
        <w:t>1 沿打桩行进方向用卡板锁住板桩的前锁口；</w:t>
      </w:r>
    </w:p>
    <w:p w14:paraId="1CFCDF81">
      <w:pPr>
        <w:ind w:firstLine="420" w:firstLineChars="200"/>
      </w:pPr>
      <w:r>
        <w:rPr>
          <w:rFonts w:hint="eastAsia"/>
        </w:rPr>
        <w:t>2 当钢板桩墙产生扭转或蛇形弯曲时，应在钢板桩和导梁之间设置足够的卡板；</w:t>
      </w:r>
    </w:p>
    <w:p w14:paraId="2C1725A4">
      <w:pPr>
        <w:ind w:firstLine="420" w:firstLineChars="200"/>
      </w:pPr>
      <w:r>
        <w:rPr>
          <w:rFonts w:hint="eastAsia"/>
        </w:rPr>
        <w:t>3 在钢板桩与围檩之间的两边空隙内，设滑轮支架，制止钢板桩下沉中的转动；</w:t>
      </w:r>
    </w:p>
    <w:p w14:paraId="0F0BCCE3">
      <w:pPr>
        <w:ind w:firstLine="420" w:firstLineChars="200"/>
      </w:pPr>
      <w:r>
        <w:rPr>
          <w:rFonts w:hint="eastAsia"/>
        </w:rPr>
        <w:t>4 在两块钢板桩锁口连接的两侧，采用垫铁或木棒塞实。</w:t>
      </w:r>
    </w:p>
    <w:p w14:paraId="52BFDECE">
      <w:pPr>
        <w:widowControl/>
        <w:jc w:val="left"/>
      </w:pPr>
      <w:r>
        <w:rPr>
          <w:rFonts w:hint="eastAsia"/>
        </w:rPr>
        <w:t xml:space="preserve">6.3.14  </w:t>
      </w:r>
      <w:r>
        <w:rPr>
          <w:rFonts w:hint="eastAsia"/>
          <w:szCs w:val="24"/>
        </w:rPr>
        <w:t>压桩过程中遇到</w:t>
      </w:r>
      <w:r>
        <w:rPr>
          <w:rFonts w:hint="eastAsia"/>
        </w:rPr>
        <w:t>下列情况</w:t>
      </w:r>
      <w:r>
        <w:rPr>
          <w:rFonts w:hint="eastAsia"/>
          <w:color w:val="000000"/>
          <w:kern w:val="0"/>
          <w:lang w:bidi="ar"/>
        </w:rPr>
        <w:t>应暂停压桩作业，并分析原因，采取相应措施</w:t>
      </w:r>
      <w:r>
        <w:rPr>
          <w:rFonts w:hint="eastAsia"/>
        </w:rPr>
        <w:t>：</w:t>
      </w:r>
    </w:p>
    <w:p w14:paraId="25D36379">
      <w:pPr>
        <w:ind w:firstLine="420" w:firstLineChars="200"/>
      </w:pPr>
      <w:r>
        <w:rPr>
          <w:rFonts w:hint="eastAsia"/>
        </w:rPr>
        <w:t>1 压入桩的承载力不足时；</w:t>
      </w:r>
    </w:p>
    <w:p w14:paraId="399BDC3E">
      <w:pPr>
        <w:ind w:firstLine="420" w:firstLineChars="200"/>
      </w:pPr>
      <w:r>
        <w:rPr>
          <w:rFonts w:hint="eastAsia"/>
        </w:rPr>
        <w:t>2 压入桩向侧面倾斜时；</w:t>
      </w:r>
    </w:p>
    <w:p w14:paraId="2B5D14B6">
      <w:pPr>
        <w:ind w:firstLine="420" w:firstLineChars="200"/>
      </w:pPr>
      <w:r>
        <w:rPr>
          <w:rFonts w:hint="eastAsia"/>
        </w:rPr>
        <w:t>3 压入桩桩身承载力不足时；</w:t>
      </w:r>
    </w:p>
    <w:p w14:paraId="2CF049F5">
      <w:pPr>
        <w:ind w:firstLine="420" w:firstLineChars="200"/>
      </w:pPr>
      <w:r>
        <w:rPr>
          <w:rFonts w:hint="eastAsia"/>
        </w:rPr>
        <w:t>4 在夹头闭合状态下，夹头安全灯不亮或点亮后立即熄灭；</w:t>
      </w:r>
    </w:p>
    <w:p w14:paraId="19520C8E">
      <w:pPr>
        <w:ind w:firstLine="420" w:firstLineChars="200"/>
      </w:pPr>
      <w:r>
        <w:rPr>
          <w:rFonts w:hint="eastAsia"/>
        </w:rPr>
        <w:t>5 在转角等地方压桩，静压植桩机无法自行走桩时；</w:t>
      </w:r>
    </w:p>
    <w:p w14:paraId="7BB8612C">
      <w:pPr>
        <w:ind w:firstLine="420" w:firstLineChars="200"/>
      </w:pPr>
      <w:r>
        <w:rPr>
          <w:rFonts w:hint="eastAsia"/>
        </w:rPr>
        <w:t>6 仅有部分固定夹抓住反作用力桩时；</w:t>
      </w:r>
    </w:p>
    <w:p w14:paraId="6B74E106">
      <w:pPr>
        <w:ind w:firstLine="420" w:firstLineChars="200"/>
      </w:pPr>
      <w:r>
        <w:rPr>
          <w:rFonts w:hint="eastAsia"/>
        </w:rPr>
        <w:t>7 压力表读数显示情况与勘察报告中的土层性质明显不匹配；</w:t>
      </w:r>
    </w:p>
    <w:p w14:paraId="7DE98FBF">
      <w:pPr>
        <w:ind w:firstLine="420" w:firstLineChars="200"/>
      </w:pPr>
      <w:r>
        <w:rPr>
          <w:rFonts w:hint="eastAsia"/>
        </w:rPr>
        <w:t>8 桩难以穿越硬夹层；</w:t>
      </w:r>
    </w:p>
    <w:p w14:paraId="043C9A3C">
      <w:pPr>
        <w:ind w:firstLine="420" w:firstLineChars="200"/>
      </w:pPr>
      <w:r>
        <w:rPr>
          <w:rFonts w:hint="eastAsia"/>
        </w:rPr>
        <w:t>9 出现异常响声或压桩机械工作状态出现异常；</w:t>
      </w:r>
    </w:p>
    <w:p w14:paraId="23F5AF6A">
      <w:pPr>
        <w:ind w:firstLine="420" w:firstLineChars="200"/>
      </w:pPr>
      <w:r>
        <w:rPr>
          <w:rFonts w:hint="eastAsia"/>
        </w:rPr>
        <w:t>10 夹持机构打滑；</w:t>
      </w:r>
    </w:p>
    <w:p w14:paraId="23573127">
      <w:pPr>
        <w:ind w:firstLine="420" w:firstLineChars="200"/>
      </w:pPr>
      <w:r>
        <w:rPr>
          <w:rFonts w:hint="eastAsia"/>
        </w:rPr>
        <w:t>11 采用已打钢板桩提供静压反力的，在压桩过程中，提供反力的钢板桩上拔位移过大。</w:t>
      </w:r>
    </w:p>
    <w:p w14:paraId="63056F1F">
      <w:r>
        <w:rPr>
          <w:rFonts w:hint="eastAsia"/>
        </w:rPr>
        <w:t>6.3.15  钢板桩施工中，当发生在施桩带动相邻已沉桩一起下沉时，可对相邻已施工的钢板桩采用角铁临时焊接、现场锁口焊接或螺栓连接等临时连接方法固定。</w:t>
      </w:r>
    </w:p>
    <w:p w14:paraId="6284DCD0">
      <w:r>
        <w:rPr>
          <w:rFonts w:hint="eastAsia"/>
        </w:rPr>
        <w:t>6.3.16  钢板桩墙在平面上应连续封闭，可采取下列措施：</w:t>
      </w:r>
    </w:p>
    <w:p w14:paraId="1E180EA0">
      <w:pPr>
        <w:ind w:firstLine="420" w:firstLineChars="200"/>
      </w:pPr>
      <w:r>
        <w:rPr>
          <w:rFonts w:hint="eastAsia"/>
        </w:rPr>
        <w:t xml:space="preserve">1 当遇地下大块孤石等障碍物不能正常沉桩时，可采用弧线绕过，避开障碍物，保持钢板桩墙的连续性； </w:t>
      </w:r>
    </w:p>
    <w:p w14:paraId="1BF5DBA8">
      <w:pPr>
        <w:ind w:firstLine="420" w:firstLineChars="200"/>
      </w:pPr>
      <w:r>
        <w:rPr>
          <w:rFonts w:hint="eastAsia"/>
        </w:rPr>
        <w:t>2 当不能采用标准宽度的钢板桩进行最终封闭合拢时，可采用异型钢板桩、连接件等方法进行调整；</w:t>
      </w:r>
    </w:p>
    <w:p w14:paraId="41F8731B">
      <w:pPr>
        <w:ind w:firstLine="420" w:firstLineChars="200"/>
      </w:pPr>
      <w:r>
        <w:rPr>
          <w:rFonts w:hint="eastAsia"/>
        </w:rPr>
        <w:t>3 转角部位可采用多向异型转角桩或连接件等，定制的多向异型桩应进行专门设计。</w:t>
      </w:r>
    </w:p>
    <w:p w14:paraId="736499B0">
      <w:pPr>
        <w:spacing w:line="300" w:lineRule="auto"/>
        <w:rPr>
          <w:szCs w:val="24"/>
        </w:rPr>
      </w:pPr>
      <w:r>
        <w:rPr>
          <w:rFonts w:hint="eastAsia"/>
          <w:szCs w:val="24"/>
        </w:rPr>
        <w:t xml:space="preserve">6.3.17 </w:t>
      </w:r>
      <w:r>
        <w:rPr>
          <w:szCs w:val="24"/>
        </w:rPr>
        <w:t xml:space="preserve"> </w:t>
      </w:r>
      <w:r>
        <w:rPr>
          <w:rFonts w:hint="eastAsia"/>
          <w:szCs w:val="24"/>
        </w:rPr>
        <w:t>异形桩的加工制作宜符合下列规定：</w:t>
      </w:r>
    </w:p>
    <w:p w14:paraId="7568EEB1">
      <w:pPr>
        <w:tabs>
          <w:tab w:val="left" w:pos="538"/>
        </w:tabs>
        <w:spacing w:line="300" w:lineRule="auto"/>
        <w:ind w:firstLine="420" w:firstLineChars="200"/>
        <w:rPr>
          <w:szCs w:val="24"/>
        </w:rPr>
      </w:pPr>
      <w:r>
        <w:rPr>
          <w:rFonts w:hint="eastAsia"/>
          <w:szCs w:val="24"/>
        </w:rPr>
        <w:t>1 根据合拢位置的上、下宽度实测值进行加工；</w:t>
      </w:r>
    </w:p>
    <w:p w14:paraId="559A02F2">
      <w:pPr>
        <w:spacing w:line="300" w:lineRule="auto"/>
        <w:ind w:firstLine="420" w:firstLineChars="200"/>
        <w:rPr>
          <w:szCs w:val="24"/>
        </w:rPr>
      </w:pPr>
      <w:r>
        <w:rPr>
          <w:rFonts w:hint="eastAsia"/>
          <w:szCs w:val="24"/>
        </w:rPr>
        <w:t>2 采用标准桩切割组焊。</w:t>
      </w:r>
    </w:p>
    <w:p w14:paraId="106FE77E">
      <w:pPr>
        <w:spacing w:line="300" w:lineRule="auto"/>
        <w:rPr>
          <w:szCs w:val="24"/>
        </w:rPr>
      </w:pPr>
      <w:r>
        <w:rPr>
          <w:rFonts w:hint="eastAsia"/>
          <w:szCs w:val="24"/>
        </w:rPr>
        <w:t>6.3.18  钢板桩施工记录应包括下列内容：</w:t>
      </w:r>
    </w:p>
    <w:p w14:paraId="30107DA1">
      <w:pPr>
        <w:spacing w:line="300" w:lineRule="auto"/>
        <w:ind w:firstLine="630" w:firstLineChars="300"/>
        <w:rPr>
          <w:szCs w:val="24"/>
        </w:rPr>
      </w:pPr>
      <w:r>
        <w:rPr>
          <w:rFonts w:hint="eastAsia"/>
          <w:szCs w:val="24"/>
        </w:rPr>
        <w:t>1 基线复核记录及控制点测量放样记录；</w:t>
      </w:r>
    </w:p>
    <w:p w14:paraId="03B04D74">
      <w:pPr>
        <w:spacing w:line="300" w:lineRule="auto"/>
        <w:ind w:firstLine="630" w:firstLineChars="300"/>
        <w:rPr>
          <w:szCs w:val="24"/>
        </w:rPr>
      </w:pPr>
      <w:r>
        <w:rPr>
          <w:rFonts w:hint="eastAsia"/>
          <w:szCs w:val="24"/>
        </w:rPr>
        <w:t>2 压桩前桩身质量检查记录；</w:t>
      </w:r>
    </w:p>
    <w:p w14:paraId="1D9804F4">
      <w:pPr>
        <w:spacing w:line="300" w:lineRule="auto"/>
        <w:ind w:firstLine="630" w:firstLineChars="300"/>
        <w:rPr>
          <w:szCs w:val="24"/>
        </w:rPr>
      </w:pPr>
      <w:r>
        <w:rPr>
          <w:rFonts w:hint="eastAsia"/>
          <w:szCs w:val="24"/>
        </w:rPr>
        <w:t>3</w:t>
      </w:r>
      <w:r>
        <w:rPr>
          <w:szCs w:val="24"/>
        </w:rPr>
        <w:t xml:space="preserve"> </w:t>
      </w:r>
      <w:r>
        <w:rPr>
          <w:rFonts w:hint="eastAsia"/>
          <w:szCs w:val="24"/>
        </w:rPr>
        <w:t>压桩记录，宜采用本规程附录F的格式。</w:t>
      </w:r>
    </w:p>
    <w:p w14:paraId="6C02C5C0">
      <w:pPr>
        <w:spacing w:line="300" w:lineRule="auto"/>
        <w:ind w:firstLine="630" w:firstLineChars="300"/>
        <w:rPr>
          <w:szCs w:val="24"/>
        </w:rPr>
      </w:pPr>
    </w:p>
    <w:p w14:paraId="41695109">
      <w:pPr>
        <w:spacing w:line="300" w:lineRule="auto"/>
        <w:ind w:firstLine="630" w:firstLineChars="300"/>
        <w:rPr>
          <w:szCs w:val="24"/>
        </w:rPr>
      </w:pPr>
    </w:p>
    <w:p w14:paraId="00568A89">
      <w:pPr>
        <w:pStyle w:val="3"/>
        <w:ind w:firstLine="281"/>
      </w:pPr>
      <w:bookmarkStart w:id="43" w:name="_Toc12664"/>
      <w:bookmarkStart w:id="44" w:name="_Toc12799"/>
      <w:r>
        <w:rPr>
          <w:rFonts w:hint="eastAsia"/>
        </w:rPr>
        <w:t>6.4  接桩</w:t>
      </w:r>
      <w:bookmarkEnd w:id="43"/>
      <w:bookmarkEnd w:id="44"/>
    </w:p>
    <w:p w14:paraId="130D4918">
      <w:r>
        <w:rPr>
          <w:rFonts w:hint="eastAsia"/>
        </w:rPr>
        <w:t>6.4.1</w:t>
      </w:r>
      <w:r>
        <w:t xml:space="preserve"> </w:t>
      </w:r>
      <w:r>
        <w:rPr>
          <w:rFonts w:hint="eastAsia"/>
        </w:rPr>
        <w:t xml:space="preserve"> 钢板桩接长应满足设计要求，并应符合下列规定：</w:t>
      </w:r>
    </w:p>
    <w:p w14:paraId="7FB9CE58">
      <w:pPr>
        <w:ind w:firstLine="420" w:firstLineChars="200"/>
      </w:pPr>
      <w:r>
        <w:rPr>
          <w:rFonts w:hint="eastAsia"/>
        </w:rPr>
        <w:t>1 钢板桩接长时，每根钢板桩只允许有一个接头，且接头距离钢板桩最大弯矩断面处的距离不得小于1m；</w:t>
      </w:r>
    </w:p>
    <w:p w14:paraId="162E101F">
      <w:pPr>
        <w:ind w:firstLine="420" w:firstLineChars="200"/>
      </w:pPr>
      <w:r>
        <w:rPr>
          <w:rFonts w:hint="eastAsia"/>
        </w:rPr>
        <w:t>2 沿钢板桩墙轴线方向相邻板桩接长焊缝的位置应交错配置，错开的距离不宜小于</w:t>
      </w:r>
      <w:r>
        <w:t>5m</w:t>
      </w:r>
      <w:r>
        <w:rPr>
          <w:rFonts w:hint="eastAsia"/>
        </w:rPr>
        <w:t>；</w:t>
      </w:r>
      <w:r>
        <w:t>桩身接头应错开布置确保在同一高程平面不超过50%</w:t>
      </w:r>
      <w:r>
        <w:rPr>
          <w:rFonts w:hint="eastAsia"/>
        </w:rPr>
        <w:t>；</w:t>
      </w:r>
    </w:p>
    <w:p w14:paraId="002D2E96">
      <w:pPr>
        <w:ind w:firstLine="420" w:firstLineChars="200"/>
      </w:pPr>
      <w:r>
        <w:rPr>
          <w:rFonts w:hint="eastAsia"/>
        </w:rPr>
        <w:t>3</w:t>
      </w:r>
      <w:r>
        <w:t xml:space="preserve"> </w:t>
      </w:r>
      <w:r>
        <w:rPr>
          <w:rFonts w:hint="eastAsia"/>
        </w:rPr>
        <w:t>钢板桩接长焊接应采用强度焊接，焊缝宜采用“K”形或“V”形开口形式，焊接质量等级不应低于二级；</w:t>
      </w:r>
    </w:p>
    <w:p w14:paraId="6060E23E">
      <w:pPr>
        <w:ind w:firstLine="420" w:firstLineChars="200"/>
      </w:pPr>
      <w:r>
        <w:rPr>
          <w:rFonts w:hint="eastAsia"/>
        </w:rPr>
        <w:t>4 钢板桩焊接接长时，在钢板桩的腹板内侧和翼缘外侧应设焊接加强板；</w:t>
      </w:r>
    </w:p>
    <w:p w14:paraId="7FD455BD">
      <w:pPr>
        <w:ind w:firstLine="420" w:firstLineChars="200"/>
      </w:pPr>
      <w:r>
        <w:rPr>
          <w:rFonts w:hint="eastAsia"/>
        </w:rPr>
        <w:t>5 楔形钢板桩的斜度不宜大于3%，当采用中间夹入梯形钢板制作楔形钢板桩时，梯形钢板的材料强度等级不应低于钢板桩母材的强度等级，且化学成分应基本接近；</w:t>
      </w:r>
    </w:p>
    <w:p w14:paraId="0FEA2D7F">
      <w:pPr>
        <w:ind w:firstLine="420" w:firstLineChars="200"/>
      </w:pPr>
      <w:r>
        <w:rPr>
          <w:rFonts w:hint="eastAsia"/>
        </w:rPr>
        <w:t>6 钢板桩接长作业应设置固定的台架，并采取合理的焊接工艺进行焊接，尽可能减小在加工过程中产生的扭曲变形，如在加工中发生超限的变形或扭曲，应进行校正；</w:t>
      </w:r>
    </w:p>
    <w:p w14:paraId="25E0221A">
      <w:pPr>
        <w:ind w:firstLine="420" w:firstLineChars="200"/>
      </w:pPr>
      <w:r>
        <w:rPr>
          <w:rFonts w:hint="eastAsia"/>
        </w:rPr>
        <w:t>7 加工后钢板桩的锁口应进行打磨处理，保持平直、通顺；使用前应用长度不小于2m的短节钢板桩或专用检查器做套锁通过检查。</w:t>
      </w:r>
    </w:p>
    <w:p w14:paraId="2289056E">
      <w:pPr>
        <w:spacing w:line="300" w:lineRule="auto"/>
        <w:rPr>
          <w:szCs w:val="24"/>
        </w:rPr>
      </w:pPr>
      <w:r>
        <w:rPr>
          <w:rFonts w:hint="eastAsia"/>
          <w:szCs w:val="24"/>
        </w:rPr>
        <w:t>6.4.2</w:t>
      </w:r>
      <w:r>
        <w:rPr>
          <w:szCs w:val="24"/>
        </w:rPr>
        <w:t xml:space="preserve"> </w:t>
      </w:r>
      <w:r>
        <w:rPr>
          <w:rFonts w:hint="eastAsia"/>
          <w:szCs w:val="24"/>
        </w:rPr>
        <w:t xml:space="preserve"> 焊接接桩和其他钢构件的焊接所用的焊机、焊条、工艺及质量等，应符合现行国家标准《钢结构焊接规范》GB50661的相关规定。</w:t>
      </w:r>
    </w:p>
    <w:p w14:paraId="7DA21976">
      <w:pPr>
        <w:spacing w:line="300" w:lineRule="auto"/>
        <w:rPr>
          <w:szCs w:val="24"/>
        </w:rPr>
      </w:pPr>
    </w:p>
    <w:p w14:paraId="4EB7AF2A">
      <w:pPr>
        <w:pStyle w:val="3"/>
        <w:ind w:firstLine="281"/>
      </w:pPr>
      <w:bookmarkStart w:id="45" w:name="_Toc10531"/>
      <w:bookmarkStart w:id="46" w:name="_Toc9772"/>
      <w:r>
        <w:rPr>
          <w:rFonts w:hint="eastAsia"/>
        </w:rPr>
        <w:t>6.5  拔桩与回收</w:t>
      </w:r>
      <w:bookmarkEnd w:id="45"/>
      <w:bookmarkEnd w:id="46"/>
    </w:p>
    <w:p w14:paraId="77C7BC4A">
      <w:pPr>
        <w:widowControl/>
        <w:jc w:val="left"/>
      </w:pPr>
      <w:r>
        <w:rPr>
          <w:rFonts w:hint="eastAsia"/>
        </w:rPr>
        <w:t xml:space="preserve">6.5.1  </w:t>
      </w:r>
      <w:r>
        <w:rPr>
          <w:rFonts w:hint="eastAsia" w:cs="宋体"/>
          <w:color w:val="000000"/>
          <w:kern w:val="0"/>
          <w:szCs w:val="20"/>
          <w:lang w:bidi="ar"/>
        </w:rPr>
        <w:t>钢板桩是否需要拔除及拔除时间</w:t>
      </w:r>
      <w:r>
        <w:rPr>
          <w:rFonts w:hint="eastAsia" w:cs="宋体"/>
          <w:color w:val="000000"/>
          <w:kern w:val="0"/>
          <w:szCs w:val="19"/>
          <w:lang w:bidi="ar"/>
        </w:rPr>
        <w:t>，</w:t>
      </w:r>
      <w:r>
        <w:rPr>
          <w:rFonts w:hint="eastAsia" w:cs="宋体"/>
          <w:color w:val="000000"/>
          <w:kern w:val="0"/>
          <w:szCs w:val="20"/>
          <w:lang w:bidi="ar"/>
        </w:rPr>
        <w:t>应按设计要求确定。</w:t>
      </w:r>
    </w:p>
    <w:p w14:paraId="448F6183">
      <w:r>
        <w:rPr>
          <w:rFonts w:hint="eastAsia"/>
        </w:rPr>
        <w:t>6.5.2</w:t>
      </w:r>
      <w:r>
        <w:t xml:space="preserve"> </w:t>
      </w:r>
      <w:r>
        <w:rPr>
          <w:rFonts w:hint="eastAsia"/>
        </w:rPr>
        <w:t xml:space="preserve"> 钢板桩正式拔桩前应进行拔桩试验。</w:t>
      </w:r>
    </w:p>
    <w:p w14:paraId="4B9CB788">
      <w:r>
        <w:rPr>
          <w:rFonts w:hint="eastAsia"/>
        </w:rPr>
        <w:t>6.5.3  钢板桩拔除前应具备下列条件：</w:t>
      </w:r>
    </w:p>
    <w:p w14:paraId="5639A72F">
      <w:pPr>
        <w:ind w:firstLine="420" w:firstLineChars="200"/>
      </w:pPr>
      <w:r>
        <w:rPr>
          <w:rFonts w:hint="eastAsia"/>
        </w:rPr>
        <w:t>1 已采取可靠换撑措施；</w:t>
      </w:r>
    </w:p>
    <w:p w14:paraId="7CCF9A8D">
      <w:pPr>
        <w:ind w:firstLine="420" w:firstLineChars="200"/>
      </w:pPr>
      <w:r>
        <w:rPr>
          <w:rFonts w:hint="eastAsia"/>
        </w:rPr>
        <w:t>2 已分层拆除支撑、锚头、围檩及与钢板桩相连的辅助构件；</w:t>
      </w:r>
    </w:p>
    <w:p w14:paraId="43690351">
      <w:pPr>
        <w:ind w:firstLine="420" w:firstLineChars="200"/>
      </w:pPr>
      <w:r>
        <w:rPr>
          <w:rFonts w:hint="eastAsia"/>
        </w:rPr>
        <w:t>3 肥槽（基槽）按设计要求回填完成。</w:t>
      </w:r>
    </w:p>
    <w:p w14:paraId="2EB10A13">
      <w:r>
        <w:rPr>
          <w:rFonts w:hint="eastAsia"/>
        </w:rPr>
        <w:t>6.5.4  当采用混凝土冠梁时，应事先用油毡或泡沫板将钢板桩进行隔离。如冠梁兼作第一道支撑围檩时，钢板桩与冠梁间的隔离材料应采用不易压缩的硬质材料。</w:t>
      </w:r>
    </w:p>
    <w:p w14:paraId="58DC57F6">
      <w:r>
        <w:rPr>
          <w:rFonts w:hint="eastAsia"/>
        </w:rPr>
        <w:t>6.5.5</w:t>
      </w:r>
      <w:r>
        <w:t xml:space="preserve"> </w:t>
      </w:r>
      <w:r>
        <w:rPr>
          <w:rFonts w:hint="eastAsia"/>
        </w:rPr>
        <w:t xml:space="preserve"> 在拆除围檩时应将残留在支护结构表面的冠梁、围檩限位构件或抗滑构件、电焊疤等清除干净。</w:t>
      </w:r>
    </w:p>
    <w:p w14:paraId="18276923">
      <w:r>
        <w:rPr>
          <w:rFonts w:hint="eastAsia"/>
        </w:rPr>
        <w:t>6.5.6  拔桩开始点宜根据压桩记录选择累计压桩时间少的钢板桩。</w:t>
      </w:r>
    </w:p>
    <w:p w14:paraId="3AF9255A">
      <w:r>
        <w:rPr>
          <w:rFonts w:hint="eastAsia"/>
        </w:rPr>
        <w:t>6.5.7  拔桩顺序宜与压桩顺序相反，对于封闭式钢板墙，拔桩的开始点宜离开转角部位不少于5根。当周边环境保护要求较高时，宜采取分次、分段、间拔桩。</w:t>
      </w:r>
    </w:p>
    <w:p w14:paraId="031ACC09">
      <w:r>
        <w:rPr>
          <w:rFonts w:hint="eastAsia"/>
        </w:rPr>
        <w:t>6.5.8  拔桩困难时，不宜强行拔除。宜先拔出相邻容易起拔的桩，再拔出较难拔出的桩。</w:t>
      </w:r>
    </w:p>
    <w:p w14:paraId="36121CAF">
      <w:r>
        <w:rPr>
          <w:rFonts w:hint="eastAsia"/>
        </w:rPr>
        <w:t>6.5.9  拔除方法应考虑工程地质、现场作业环境、噪音、振动及钢板桩的形式、重量、长度等因素确定，可采用静力拔除法。</w:t>
      </w:r>
    </w:p>
    <w:p w14:paraId="6FE32DE1">
      <w:r>
        <w:rPr>
          <w:rFonts w:hint="eastAsia"/>
        </w:rPr>
        <w:t>6.5.10  拔桩设备应根据地质条件、场地情况和工程经验进行选择。拔桩、起重设备的规格型号应通过拔桩阻力来选择，拔阻力可按附录G估算。</w:t>
      </w:r>
    </w:p>
    <w:p w14:paraId="79640C71">
      <w:r>
        <w:rPr>
          <w:rFonts w:hint="eastAsia"/>
        </w:rPr>
        <w:t>6.5.11</w:t>
      </w:r>
      <w:r>
        <w:t xml:space="preserve"> </w:t>
      </w:r>
      <w:r>
        <w:rPr>
          <w:rFonts w:hint="eastAsia"/>
        </w:rPr>
        <w:t xml:space="preserve"> 对拔桩产生的土体孔洞或空隙应及时进行填充处理。一般情况下，可按先拔5根钢板桩后再填充的顺序处理；周边环境要求较高的情况下，可按先拔3根甚至更少的钢板桩后立即填充的顺序处理。</w:t>
      </w:r>
    </w:p>
    <w:p w14:paraId="0E3E470F">
      <w:r>
        <w:rPr>
          <w:rFonts w:hint="eastAsia"/>
        </w:rPr>
        <w:t>6.5.12  拔除钢板桩后，应按设计要求对桩孔填充处理。拔桩产生的土体孔洞或空隙可根据孔洞大小采用砂土、水泥砂浆填充或双液注浆，充填应密实且无漏填。</w:t>
      </w:r>
    </w:p>
    <w:p w14:paraId="0638D59B">
      <w:pPr>
        <w:spacing w:line="240" w:lineRule="auto"/>
      </w:pPr>
      <w:r>
        <w:rPr>
          <w:rFonts w:hint="eastAsia"/>
        </w:rPr>
        <w:t>6.5.13  钢板桩回收前应根据主体施工部署、支护结构布置、基坑变形情况、回收时的场地条件等制定回收方案。</w:t>
      </w:r>
    </w:p>
    <w:p w14:paraId="4D6755E7">
      <w:pPr>
        <w:pStyle w:val="2"/>
      </w:pPr>
      <w:r>
        <w:rPr>
          <w:rFonts w:hint="eastAsia"/>
        </w:rPr>
        <w:br w:type="page"/>
      </w:r>
      <w:bookmarkStart w:id="47" w:name="_Toc18062"/>
      <w:bookmarkStart w:id="48" w:name="_Toc7420"/>
      <w:bookmarkStart w:id="49" w:name="_Toc22929"/>
      <w:r>
        <w:rPr>
          <w:rFonts w:hint="eastAsia"/>
        </w:rPr>
        <w:t>7</w:t>
      </w:r>
      <w:r>
        <w:t xml:space="preserve">  </w:t>
      </w:r>
      <w:r>
        <w:rPr>
          <w:rFonts w:hint="eastAsia"/>
        </w:rPr>
        <w:t>检测与验收</w:t>
      </w:r>
      <w:bookmarkEnd w:id="47"/>
      <w:bookmarkEnd w:id="48"/>
    </w:p>
    <w:p w14:paraId="10575A69">
      <w:pPr>
        <w:pStyle w:val="3"/>
        <w:ind w:firstLine="281"/>
      </w:pPr>
      <w:bookmarkStart w:id="50" w:name="_Toc3771"/>
      <w:r>
        <w:rPr>
          <w:rFonts w:hint="eastAsia"/>
        </w:rPr>
        <w:t>7.1  进场检验</w:t>
      </w:r>
      <w:bookmarkEnd w:id="50"/>
    </w:p>
    <w:p w14:paraId="0234194F">
      <w:r>
        <w:rPr>
          <w:rFonts w:hint="eastAsia"/>
        </w:rPr>
        <w:t>7</w:t>
      </w:r>
      <w:r>
        <w:t>.</w:t>
      </w:r>
      <w:r>
        <w:rPr>
          <w:rFonts w:hint="eastAsia"/>
        </w:rPr>
        <w:t>1</w:t>
      </w:r>
      <w:r>
        <w:t xml:space="preserve">.1 </w:t>
      </w:r>
      <w:r>
        <w:rPr>
          <w:rFonts w:hint="eastAsia"/>
        </w:rPr>
        <w:t xml:space="preserve"> 钢板桩进场前应按批次进行验收，检验批次和抽检数量应满足设计要求，并应符合现行国家标准《建筑工程施工质量验收统一标准》</w:t>
      </w:r>
      <w:r>
        <w:t>GB50300</w:t>
      </w:r>
      <w:r>
        <w:rPr>
          <w:rFonts w:hint="eastAsia"/>
        </w:rPr>
        <w:t>的有关规定。</w:t>
      </w:r>
    </w:p>
    <w:p w14:paraId="23BB90CA">
      <w:r>
        <w:rPr>
          <w:rFonts w:hint="eastAsia"/>
        </w:rPr>
        <w:t>7.1.2  钢板桩的品种、规格型号、材质应满足设计要求，并应符合现行国家行业标准《钢结构工程施工质量验收标准》</w:t>
      </w:r>
      <w:r>
        <w:t>GB50205</w:t>
      </w:r>
      <w:r>
        <w:rPr>
          <w:rFonts w:hint="eastAsia"/>
        </w:rPr>
        <w:t>、《钢板桩》</w:t>
      </w:r>
      <w:r>
        <w:t>JG/T196</w:t>
      </w:r>
      <w:r>
        <w:rPr>
          <w:rFonts w:hint="eastAsia"/>
        </w:rPr>
        <w:t>的有关规定。</w:t>
      </w:r>
    </w:p>
    <w:p w14:paraId="6DAE6BDA">
      <w:r>
        <w:rPr>
          <w:rFonts w:hint="eastAsia"/>
        </w:rPr>
        <w:t>7.1.3</w:t>
      </w:r>
      <w:r>
        <w:t xml:space="preserve"> </w:t>
      </w:r>
      <w:r>
        <w:rPr>
          <w:rFonts w:hint="eastAsia"/>
        </w:rPr>
        <w:t xml:space="preserve"> 钢板桩验收的内容及要求应符合下列规定：</w:t>
      </w:r>
    </w:p>
    <w:p w14:paraId="576C6C33">
      <w:pPr>
        <w:ind w:firstLine="420" w:firstLineChars="200"/>
      </w:pPr>
      <w:r>
        <w:rPr>
          <w:rFonts w:hint="eastAsia"/>
        </w:rPr>
        <w:t>1</w:t>
      </w:r>
      <w:r>
        <w:t xml:space="preserve"> </w:t>
      </w:r>
      <w:r>
        <w:rPr>
          <w:rFonts w:hint="eastAsia"/>
        </w:rPr>
        <w:t>钢板桩进场应具有产品出厂质量证明文件；</w:t>
      </w:r>
    </w:p>
    <w:p w14:paraId="757FD0D8">
      <w:pPr>
        <w:ind w:firstLine="420" w:firstLineChars="200"/>
      </w:pPr>
      <w:r>
        <w:rPr>
          <w:rFonts w:hint="eastAsia"/>
        </w:rPr>
        <w:t>2 进口钢板应符合原产地相关国家标准或国际标准；</w:t>
      </w:r>
    </w:p>
    <w:p w14:paraId="437BD306">
      <w:pPr>
        <w:ind w:firstLine="420" w:firstLineChars="200"/>
      </w:pPr>
      <w:r>
        <w:rPr>
          <w:rFonts w:hint="eastAsia"/>
        </w:rPr>
        <w:t>3 进口钢板桩还应检查商检报告；</w:t>
      </w:r>
    </w:p>
    <w:p w14:paraId="005B5E08">
      <w:pPr>
        <w:ind w:firstLine="420" w:firstLineChars="200"/>
      </w:pPr>
      <w:r>
        <w:rPr>
          <w:rFonts w:hint="eastAsia"/>
        </w:rPr>
        <w:t xml:space="preserve">4有特殊要求的应进行抽样复检。 </w:t>
      </w:r>
    </w:p>
    <w:p w14:paraId="4C330C02">
      <w:r>
        <w:rPr>
          <w:rFonts w:hint="eastAsia"/>
        </w:rPr>
        <w:t>7.1.4  进场的钢板桩应进行外观检验，检验内容包括表面质量、长度、宽度、高度、厚度、弯曲度、扭曲度、端面垂直度、角度偏差、锁口通畅性及重量等。钢板桩的尺寸、外形允许偏差应满足设计要求，并应符合现行行业标准《钢板桩》</w:t>
      </w:r>
      <w:r>
        <w:t>JG/T196</w:t>
      </w:r>
      <w:r>
        <w:rPr>
          <w:rFonts w:hint="eastAsia"/>
        </w:rPr>
        <w:t xml:space="preserve">的有关规定。 </w:t>
      </w:r>
    </w:p>
    <w:p w14:paraId="5D607DEC">
      <w:r>
        <w:rPr>
          <w:rFonts w:hint="eastAsia"/>
        </w:rPr>
        <w:t xml:space="preserve">7.1.5 </w:t>
      </w:r>
      <w:r>
        <w:t xml:space="preserve"> </w:t>
      </w:r>
      <w:r>
        <w:rPr>
          <w:rFonts w:hint="eastAsia"/>
        </w:rPr>
        <w:t>钢板桩外观检查中应对压入钢板桩有影响的焊接件应予以割除，割孔、断面缺损的应予以补强，并测量其实际断面厚度。</w:t>
      </w:r>
    </w:p>
    <w:p w14:paraId="59CB9CC0">
      <w:r>
        <w:rPr>
          <w:rFonts w:hint="eastAsia"/>
        </w:rPr>
        <w:t>7</w:t>
      </w:r>
      <w:r>
        <w:t>.</w:t>
      </w:r>
      <w:r>
        <w:rPr>
          <w:rFonts w:hint="eastAsia"/>
        </w:rPr>
        <w:t>1.6</w:t>
      </w:r>
      <w:r>
        <w:t xml:space="preserve">  </w:t>
      </w:r>
      <w:r>
        <w:rPr>
          <w:rFonts w:hint="eastAsia"/>
        </w:rPr>
        <w:t>材质检验宜包括对钢材的化学成分分析，构件的拉伸、弯曲试验，锁孔口强度试验和延伸率试验等。每一批次各规格的钢板桩宜至少进行一组拉伸、弯曲试验。</w:t>
      </w:r>
    </w:p>
    <w:p w14:paraId="73495FAB">
      <w:r>
        <w:rPr>
          <w:rFonts w:hint="eastAsia"/>
        </w:rPr>
        <w:t xml:space="preserve">7.1.7  当钢板桩在使用过程中发生变形、损伤，再次使用前应进行矫正与修补。矫正与修补后的钢板桩应满足设计要求。 </w:t>
      </w:r>
    </w:p>
    <w:p w14:paraId="60E80EDE">
      <w:r>
        <w:rPr>
          <w:rFonts w:hint="eastAsia"/>
        </w:rPr>
        <w:t>7.1</w:t>
      </w:r>
      <w:r>
        <w:t>.</w:t>
      </w:r>
      <w:r>
        <w:rPr>
          <w:rFonts w:hint="eastAsia"/>
        </w:rPr>
        <w:t>8</w:t>
      </w:r>
      <w:r>
        <w:t xml:space="preserve">  </w:t>
      </w:r>
      <w:r>
        <w:rPr>
          <w:rFonts w:hint="eastAsia"/>
        </w:rPr>
        <w:t>钢板接长的加工制作应满足设计要求、并符合现行国家标准《钢结构工程工质量验收规范》GB50205、现行行业标准《建筑钢结构焊接技术规程》JGJ81等的有关规定。其制作的允许偏差应符合表7.1.8的规定。</w:t>
      </w:r>
    </w:p>
    <w:p w14:paraId="418F3C48">
      <w:pPr>
        <w:jc w:val="center"/>
      </w:pPr>
      <w:r>
        <w:rPr>
          <w:rFonts w:hint="eastAsia"/>
        </w:rPr>
        <w:t xml:space="preserve">表7.1.8 </w:t>
      </w:r>
      <w:r>
        <w:t xml:space="preserve"> </w:t>
      </w:r>
      <w:r>
        <w:rPr>
          <w:rFonts w:hint="eastAsia"/>
        </w:rPr>
        <w:t>钢板桩接长制作的允许偏差</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6"/>
        <w:gridCol w:w="2026"/>
        <w:gridCol w:w="1837"/>
        <w:gridCol w:w="1100"/>
        <w:gridCol w:w="2020"/>
        <w:gridCol w:w="1835"/>
      </w:tblGrid>
      <w:tr w14:paraId="37295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6" w:type="pct"/>
            <w:tcBorders>
              <w:top w:val="single" w:color="auto" w:sz="4" w:space="0"/>
              <w:left w:val="single" w:color="auto" w:sz="4" w:space="0"/>
              <w:bottom w:val="single" w:color="auto" w:sz="4" w:space="0"/>
              <w:right w:val="single" w:color="auto" w:sz="4" w:space="0"/>
            </w:tcBorders>
            <w:vAlign w:val="center"/>
          </w:tcPr>
          <w:p w14:paraId="2F0863A2">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序号</w:t>
            </w:r>
          </w:p>
        </w:tc>
        <w:tc>
          <w:tcPr>
            <w:tcW w:w="1028" w:type="pct"/>
            <w:tcBorders>
              <w:top w:val="single" w:color="auto" w:sz="4" w:space="0"/>
              <w:left w:val="single" w:color="auto" w:sz="4" w:space="0"/>
              <w:bottom w:val="single" w:color="auto" w:sz="4" w:space="0"/>
              <w:right w:val="single" w:color="auto" w:sz="4" w:space="0"/>
            </w:tcBorders>
            <w:vAlign w:val="center"/>
          </w:tcPr>
          <w:p w14:paraId="6FE310A5">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项目</w:t>
            </w:r>
          </w:p>
        </w:tc>
        <w:tc>
          <w:tcPr>
            <w:tcW w:w="932" w:type="pct"/>
            <w:tcBorders>
              <w:top w:val="single" w:color="auto" w:sz="4" w:space="0"/>
              <w:left w:val="single" w:color="auto" w:sz="4" w:space="0"/>
              <w:bottom w:val="single" w:color="auto" w:sz="4" w:space="0"/>
              <w:right w:val="single" w:color="auto" w:sz="4" w:space="0"/>
            </w:tcBorders>
            <w:vAlign w:val="center"/>
          </w:tcPr>
          <w:p w14:paraId="75027F20">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允许偏差（mm）</w:t>
            </w:r>
          </w:p>
        </w:tc>
        <w:tc>
          <w:tcPr>
            <w:tcW w:w="558" w:type="pct"/>
            <w:tcBorders>
              <w:top w:val="single" w:color="auto" w:sz="4" w:space="0"/>
              <w:left w:val="single" w:color="auto" w:sz="4" w:space="0"/>
              <w:bottom w:val="single" w:color="auto" w:sz="4" w:space="0"/>
              <w:right w:val="single" w:color="auto" w:sz="4" w:space="0"/>
            </w:tcBorders>
            <w:vAlign w:val="center"/>
          </w:tcPr>
          <w:p w14:paraId="7BD3F21F">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序号</w:t>
            </w:r>
          </w:p>
        </w:tc>
        <w:tc>
          <w:tcPr>
            <w:tcW w:w="1025" w:type="pct"/>
            <w:tcBorders>
              <w:top w:val="single" w:color="auto" w:sz="4" w:space="0"/>
              <w:left w:val="single" w:color="auto" w:sz="4" w:space="0"/>
              <w:bottom w:val="single" w:color="auto" w:sz="4" w:space="0"/>
              <w:right w:val="single" w:color="auto" w:sz="4" w:space="0"/>
            </w:tcBorders>
            <w:vAlign w:val="center"/>
          </w:tcPr>
          <w:p w14:paraId="0CFC8713">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项目</w:t>
            </w:r>
          </w:p>
        </w:tc>
        <w:tc>
          <w:tcPr>
            <w:tcW w:w="931" w:type="pct"/>
            <w:tcBorders>
              <w:top w:val="single" w:color="auto" w:sz="4" w:space="0"/>
              <w:left w:val="single" w:color="auto" w:sz="4" w:space="0"/>
              <w:bottom w:val="single" w:color="auto" w:sz="4" w:space="0"/>
              <w:right w:val="single" w:color="auto" w:sz="4" w:space="0"/>
            </w:tcBorders>
            <w:vAlign w:val="center"/>
          </w:tcPr>
          <w:p w14:paraId="4ED6A876">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允许偏差</w:t>
            </w:r>
          </w:p>
          <w:p w14:paraId="1C09986D">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（mm）</w:t>
            </w:r>
          </w:p>
        </w:tc>
      </w:tr>
      <w:tr w14:paraId="1E53F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6" w:type="pct"/>
            <w:tcBorders>
              <w:top w:val="single" w:color="auto" w:sz="4" w:space="0"/>
              <w:left w:val="single" w:color="auto" w:sz="4" w:space="0"/>
              <w:bottom w:val="single" w:color="auto" w:sz="4" w:space="0"/>
              <w:right w:val="single" w:color="auto" w:sz="4" w:space="0"/>
            </w:tcBorders>
            <w:vAlign w:val="center"/>
          </w:tcPr>
          <w:p w14:paraId="478C66BA">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1</w:t>
            </w:r>
          </w:p>
        </w:tc>
        <w:tc>
          <w:tcPr>
            <w:tcW w:w="1028" w:type="pct"/>
            <w:tcBorders>
              <w:top w:val="single" w:color="auto" w:sz="4" w:space="0"/>
              <w:left w:val="single" w:color="auto" w:sz="4" w:space="0"/>
              <w:bottom w:val="single" w:color="auto" w:sz="4" w:space="0"/>
              <w:right w:val="single" w:color="auto" w:sz="4" w:space="0"/>
            </w:tcBorders>
            <w:vAlign w:val="center"/>
          </w:tcPr>
          <w:p w14:paraId="704DBC05">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长度</w:t>
            </w:r>
          </w:p>
        </w:tc>
        <w:tc>
          <w:tcPr>
            <w:tcW w:w="932" w:type="pct"/>
            <w:tcBorders>
              <w:top w:val="single" w:color="auto" w:sz="4" w:space="0"/>
              <w:left w:val="single" w:color="auto" w:sz="4" w:space="0"/>
              <w:bottom w:val="single" w:color="auto" w:sz="4" w:space="0"/>
              <w:right w:val="single" w:color="auto" w:sz="4" w:space="0"/>
            </w:tcBorders>
            <w:vAlign w:val="center"/>
          </w:tcPr>
          <w:p w14:paraId="7132EC79">
            <w:pPr>
              <w:pStyle w:val="15"/>
              <w:jc w:val="center"/>
              <w:rPr>
                <w:rFonts w:ascii="Times New Roman" w:hAnsi="Times New Roman" w:eastAsia="宋体" w:cs="MS Gothic"/>
                <w:kern w:val="2"/>
                <w:sz w:val="21"/>
                <w:szCs w:val="21"/>
                <w:lang w:eastAsia="zh-CN"/>
              </w:rPr>
            </w:pPr>
            <w:r>
              <w:rPr>
                <w:rFonts w:hint="eastAsia" w:ascii="SJQY" w:hAnsi="SJQY" w:eastAsia="SJQY" w:cs="MS Gothic"/>
                <w:kern w:val="2"/>
                <w:sz w:val="21"/>
                <w:szCs w:val="21"/>
                <w:lang w:eastAsia="zh-CN"/>
              </w:rPr>
              <w:t>+</w:t>
            </w:r>
            <w:r>
              <w:rPr>
                <w:rFonts w:ascii="Times New Roman" w:hAnsi="Times New Roman" w:eastAsia="宋体" w:cs="MS Gothic"/>
                <w:kern w:val="2"/>
                <w:sz w:val="21"/>
                <w:szCs w:val="21"/>
                <w:lang w:eastAsia="zh-CN"/>
              </w:rPr>
              <w:t>100</w:t>
            </w:r>
          </w:p>
        </w:tc>
        <w:tc>
          <w:tcPr>
            <w:tcW w:w="558" w:type="pct"/>
            <w:tcBorders>
              <w:top w:val="single" w:color="auto" w:sz="4" w:space="0"/>
              <w:left w:val="single" w:color="auto" w:sz="4" w:space="0"/>
              <w:bottom w:val="single" w:color="auto" w:sz="4" w:space="0"/>
              <w:right w:val="single" w:color="auto" w:sz="4" w:space="0"/>
            </w:tcBorders>
            <w:vAlign w:val="center"/>
          </w:tcPr>
          <w:p w14:paraId="49A6C416">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4</w:t>
            </w:r>
          </w:p>
        </w:tc>
        <w:tc>
          <w:tcPr>
            <w:tcW w:w="1025" w:type="pct"/>
            <w:tcBorders>
              <w:top w:val="single" w:color="auto" w:sz="4" w:space="0"/>
              <w:left w:val="single" w:color="auto" w:sz="4" w:space="0"/>
              <w:bottom w:val="single" w:color="auto" w:sz="4" w:space="0"/>
              <w:right w:val="single" w:color="auto" w:sz="4" w:space="0"/>
            </w:tcBorders>
            <w:vAlign w:val="center"/>
          </w:tcPr>
          <w:p w14:paraId="1DBD49A6">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侧向弯曲矢高</w:t>
            </w:r>
          </w:p>
        </w:tc>
        <w:tc>
          <w:tcPr>
            <w:tcW w:w="931" w:type="pct"/>
            <w:tcBorders>
              <w:top w:val="single" w:color="auto" w:sz="4" w:space="0"/>
              <w:left w:val="single" w:color="auto" w:sz="4" w:space="0"/>
              <w:bottom w:val="single" w:color="auto" w:sz="4" w:space="0"/>
              <w:right w:val="single" w:color="auto" w:sz="4" w:space="0"/>
            </w:tcBorders>
            <w:vAlign w:val="center"/>
          </w:tcPr>
          <w:p w14:paraId="01BF2DFD">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2L</w:t>
            </w:r>
            <w:r>
              <w:rPr>
                <w:rFonts w:hint="eastAsia" w:ascii="Times New Roman" w:hAnsi="Times New Roman" w:eastAsia="宋体" w:cs="MS Gothic"/>
                <w:kern w:val="2"/>
                <w:sz w:val="21"/>
                <w:szCs w:val="21"/>
                <w:vertAlign w:val="subscript"/>
                <w:lang w:eastAsia="zh-CN"/>
              </w:rPr>
              <w:t>1</w:t>
            </w:r>
            <w:r>
              <w:rPr>
                <w:rFonts w:ascii="Times New Roman" w:hAnsi="Times New Roman" w:eastAsia="宋体" w:cs="MS Gothic"/>
                <w:kern w:val="2"/>
                <w:sz w:val="21"/>
                <w:szCs w:val="21"/>
                <w:lang w:eastAsia="zh-CN"/>
              </w:rPr>
              <w:t>/1000</w:t>
            </w:r>
          </w:p>
        </w:tc>
      </w:tr>
      <w:tr w14:paraId="5AFE5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6" w:type="pct"/>
            <w:tcBorders>
              <w:top w:val="single" w:color="auto" w:sz="4" w:space="0"/>
              <w:left w:val="single" w:color="auto" w:sz="4" w:space="0"/>
              <w:bottom w:val="single" w:color="auto" w:sz="4" w:space="0"/>
              <w:right w:val="single" w:color="auto" w:sz="4" w:space="0"/>
            </w:tcBorders>
            <w:vAlign w:val="center"/>
          </w:tcPr>
          <w:p w14:paraId="1739B8F8">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2</w:t>
            </w:r>
          </w:p>
        </w:tc>
        <w:tc>
          <w:tcPr>
            <w:tcW w:w="1028" w:type="pct"/>
            <w:tcBorders>
              <w:top w:val="single" w:color="auto" w:sz="4" w:space="0"/>
              <w:left w:val="single" w:color="auto" w:sz="4" w:space="0"/>
              <w:bottom w:val="single" w:color="auto" w:sz="4" w:space="0"/>
              <w:right w:val="single" w:color="auto" w:sz="4" w:space="0"/>
            </w:tcBorders>
            <w:vAlign w:val="center"/>
          </w:tcPr>
          <w:p w14:paraId="1C79B7E5">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宽度</w:t>
            </w:r>
          </w:p>
        </w:tc>
        <w:tc>
          <w:tcPr>
            <w:tcW w:w="932" w:type="pct"/>
            <w:tcBorders>
              <w:top w:val="single" w:color="auto" w:sz="4" w:space="0"/>
              <w:left w:val="single" w:color="auto" w:sz="4" w:space="0"/>
              <w:bottom w:val="single" w:color="auto" w:sz="4" w:space="0"/>
              <w:right w:val="single" w:color="auto" w:sz="4" w:space="0"/>
            </w:tcBorders>
            <w:vAlign w:val="center"/>
          </w:tcPr>
          <w:p w14:paraId="04908FB5">
            <w:pPr>
              <w:pStyle w:val="15"/>
              <w:jc w:val="center"/>
              <w:rPr>
                <w:rFonts w:ascii="Times New Roman" w:hAnsi="Times New Roman" w:eastAsia="宋体" w:cs="MS Gothic"/>
                <w:kern w:val="2"/>
                <w:sz w:val="21"/>
                <w:szCs w:val="21"/>
                <w:lang w:eastAsia="zh-CN"/>
              </w:rPr>
            </w:pPr>
            <w:r>
              <w:rPr>
                <w:rFonts w:hint="eastAsia" w:ascii="SJQY" w:hAnsi="SJQY" w:eastAsia="SJQY" w:cs="MS Gothic"/>
                <w:kern w:val="2"/>
                <w:sz w:val="21"/>
                <w:szCs w:val="21"/>
                <w:lang w:eastAsia="zh-CN"/>
              </w:rPr>
              <w:t>+</w:t>
            </w:r>
            <w:r>
              <w:rPr>
                <w:rFonts w:ascii="Times New Roman" w:hAnsi="Times New Roman" w:eastAsia="宋体" w:cs="MS Gothic"/>
                <w:kern w:val="2"/>
                <w:sz w:val="21"/>
                <w:szCs w:val="21"/>
                <w:lang w:eastAsia="zh-CN"/>
              </w:rPr>
              <w:t>10</w:t>
            </w:r>
          </w:p>
        </w:tc>
        <w:tc>
          <w:tcPr>
            <w:tcW w:w="558" w:type="pct"/>
            <w:tcBorders>
              <w:top w:val="single" w:color="auto" w:sz="4" w:space="0"/>
              <w:left w:val="single" w:color="auto" w:sz="4" w:space="0"/>
              <w:bottom w:val="single" w:color="auto" w:sz="4" w:space="0"/>
              <w:right w:val="single" w:color="auto" w:sz="4" w:space="0"/>
            </w:tcBorders>
            <w:vAlign w:val="center"/>
          </w:tcPr>
          <w:p w14:paraId="38E5B91E">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5</w:t>
            </w:r>
          </w:p>
        </w:tc>
        <w:tc>
          <w:tcPr>
            <w:tcW w:w="1025" w:type="pct"/>
            <w:tcBorders>
              <w:top w:val="single" w:color="auto" w:sz="4" w:space="0"/>
              <w:left w:val="single" w:color="auto" w:sz="4" w:space="0"/>
              <w:bottom w:val="single" w:color="auto" w:sz="4" w:space="0"/>
              <w:right w:val="single" w:color="auto" w:sz="4" w:space="0"/>
            </w:tcBorders>
            <w:vAlign w:val="center"/>
          </w:tcPr>
          <w:p w14:paraId="5FFB8DBC">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接头错台</w:t>
            </w:r>
          </w:p>
        </w:tc>
        <w:tc>
          <w:tcPr>
            <w:tcW w:w="931" w:type="pct"/>
            <w:tcBorders>
              <w:top w:val="single" w:color="auto" w:sz="4" w:space="0"/>
              <w:left w:val="single" w:color="auto" w:sz="4" w:space="0"/>
              <w:bottom w:val="single" w:color="auto" w:sz="4" w:space="0"/>
              <w:right w:val="single" w:color="auto" w:sz="4" w:space="0"/>
            </w:tcBorders>
            <w:vAlign w:val="center"/>
          </w:tcPr>
          <w:p w14:paraId="50795D55">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δ/10</w:t>
            </w:r>
          </w:p>
        </w:tc>
      </w:tr>
      <w:tr w14:paraId="50AFE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6" w:type="pct"/>
            <w:tcBorders>
              <w:top w:val="single" w:color="auto" w:sz="4" w:space="0"/>
              <w:left w:val="single" w:color="auto" w:sz="4" w:space="0"/>
              <w:bottom w:val="single" w:color="auto" w:sz="4" w:space="0"/>
              <w:right w:val="single" w:color="auto" w:sz="4" w:space="0"/>
            </w:tcBorders>
            <w:vAlign w:val="center"/>
          </w:tcPr>
          <w:p w14:paraId="6B99A84A">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3</w:t>
            </w:r>
          </w:p>
        </w:tc>
        <w:tc>
          <w:tcPr>
            <w:tcW w:w="1028" w:type="pct"/>
            <w:tcBorders>
              <w:top w:val="single" w:color="auto" w:sz="4" w:space="0"/>
              <w:left w:val="single" w:color="auto" w:sz="4" w:space="0"/>
              <w:bottom w:val="single" w:color="auto" w:sz="4" w:space="0"/>
              <w:right w:val="single" w:color="auto" w:sz="4" w:space="0"/>
            </w:tcBorders>
            <w:vAlign w:val="center"/>
          </w:tcPr>
          <w:p w14:paraId="00DA1101">
            <w:pPr>
              <w:pStyle w:val="15"/>
              <w:jc w:val="center"/>
              <w:rPr>
                <w:rFonts w:ascii="Times New Roman" w:hAnsi="Times New Roman" w:eastAsia="宋体" w:cs="MS Gothic"/>
                <w:sz w:val="21"/>
                <w:szCs w:val="21"/>
                <w:lang w:eastAsia="zh-CN"/>
              </w:rPr>
            </w:pPr>
            <w:r>
              <w:rPr>
                <w:rFonts w:ascii="Times New Roman" w:hAnsi="Times New Roman" w:eastAsia="宋体" w:cs="MS Gothic"/>
                <w:sz w:val="21"/>
                <w:szCs w:val="21"/>
                <w:lang w:eastAsia="zh-CN"/>
              </w:rPr>
              <w:t>正向弯曲矢高</w:t>
            </w:r>
          </w:p>
        </w:tc>
        <w:tc>
          <w:tcPr>
            <w:tcW w:w="932" w:type="pct"/>
            <w:tcBorders>
              <w:top w:val="single" w:color="auto" w:sz="4" w:space="0"/>
              <w:left w:val="single" w:color="auto" w:sz="4" w:space="0"/>
              <w:bottom w:val="single" w:color="auto" w:sz="4" w:space="0"/>
              <w:right w:val="single" w:color="auto" w:sz="4" w:space="0"/>
            </w:tcBorders>
            <w:vAlign w:val="center"/>
          </w:tcPr>
          <w:p w14:paraId="48CAF90D">
            <w:pPr>
              <w:pStyle w:val="15"/>
              <w:jc w:val="center"/>
              <w:rPr>
                <w:rFonts w:ascii="Times New Roman" w:hAnsi="Times New Roman" w:eastAsia="宋体" w:cs="MS Gothic"/>
                <w:kern w:val="2"/>
                <w:sz w:val="21"/>
                <w:szCs w:val="21"/>
                <w:lang w:eastAsia="zh-CN"/>
              </w:rPr>
            </w:pPr>
            <w:r>
              <w:rPr>
                <w:rFonts w:ascii="Times New Roman" w:hAnsi="Times New Roman" w:eastAsia="宋体" w:cs="MS Gothic"/>
                <w:kern w:val="2"/>
                <w:sz w:val="21"/>
                <w:szCs w:val="21"/>
                <w:lang w:eastAsia="zh-CN"/>
              </w:rPr>
              <w:t>3L</w:t>
            </w:r>
            <w:r>
              <w:rPr>
                <w:rFonts w:hint="eastAsia" w:ascii="Times New Roman" w:hAnsi="Times New Roman" w:eastAsia="宋体" w:cs="MS Gothic"/>
                <w:kern w:val="2"/>
                <w:sz w:val="21"/>
                <w:szCs w:val="21"/>
                <w:vertAlign w:val="subscript"/>
                <w:lang w:eastAsia="zh-CN"/>
              </w:rPr>
              <w:t>1</w:t>
            </w:r>
            <w:r>
              <w:rPr>
                <w:rFonts w:ascii="Times New Roman" w:hAnsi="Times New Roman" w:eastAsia="宋体" w:cs="MS Gothic"/>
                <w:kern w:val="2"/>
                <w:sz w:val="21"/>
                <w:szCs w:val="21"/>
                <w:lang w:eastAsia="zh-CN"/>
              </w:rPr>
              <w:t>/1000</w:t>
            </w:r>
          </w:p>
        </w:tc>
        <w:tc>
          <w:tcPr>
            <w:tcW w:w="558" w:type="pct"/>
            <w:tcBorders>
              <w:top w:val="single" w:color="auto" w:sz="4" w:space="0"/>
              <w:left w:val="single" w:color="auto" w:sz="4" w:space="0"/>
              <w:bottom w:val="single" w:color="auto" w:sz="4" w:space="0"/>
              <w:right w:val="single" w:color="auto" w:sz="4" w:space="0"/>
            </w:tcBorders>
            <w:vAlign w:val="center"/>
          </w:tcPr>
          <w:p w14:paraId="2DC14F93">
            <w:pPr>
              <w:pStyle w:val="15"/>
              <w:jc w:val="center"/>
              <w:rPr>
                <w:rFonts w:ascii="Times New Roman" w:hAnsi="Times New Roman" w:eastAsia="宋体" w:cs="MS Gothic"/>
                <w:sz w:val="21"/>
                <w:szCs w:val="21"/>
                <w:lang w:eastAsia="zh-CN"/>
              </w:rPr>
            </w:pPr>
          </w:p>
        </w:tc>
        <w:tc>
          <w:tcPr>
            <w:tcW w:w="1025" w:type="pct"/>
            <w:tcBorders>
              <w:top w:val="single" w:color="auto" w:sz="4" w:space="0"/>
              <w:left w:val="single" w:color="auto" w:sz="4" w:space="0"/>
              <w:bottom w:val="single" w:color="auto" w:sz="4" w:space="0"/>
              <w:right w:val="single" w:color="auto" w:sz="4" w:space="0"/>
            </w:tcBorders>
            <w:vAlign w:val="center"/>
          </w:tcPr>
          <w:p w14:paraId="6C169643">
            <w:pPr>
              <w:pStyle w:val="15"/>
              <w:jc w:val="center"/>
              <w:rPr>
                <w:rFonts w:ascii="Times New Roman" w:hAnsi="Times New Roman" w:eastAsia="宋体" w:cs="MS Gothic"/>
                <w:sz w:val="21"/>
                <w:szCs w:val="21"/>
                <w:lang w:eastAsia="zh-CN"/>
              </w:rPr>
            </w:pPr>
          </w:p>
        </w:tc>
        <w:tc>
          <w:tcPr>
            <w:tcW w:w="931" w:type="pct"/>
            <w:tcBorders>
              <w:top w:val="single" w:color="auto" w:sz="4" w:space="0"/>
              <w:left w:val="single" w:color="auto" w:sz="4" w:space="0"/>
              <w:bottom w:val="single" w:color="auto" w:sz="4" w:space="0"/>
              <w:right w:val="single" w:color="auto" w:sz="4" w:space="0"/>
            </w:tcBorders>
            <w:vAlign w:val="center"/>
          </w:tcPr>
          <w:p w14:paraId="398F7CB4">
            <w:pPr>
              <w:pStyle w:val="15"/>
              <w:jc w:val="center"/>
              <w:rPr>
                <w:rFonts w:ascii="Times New Roman" w:hAnsi="Times New Roman" w:eastAsia="宋体" w:cs="MS Gothic"/>
                <w:sz w:val="21"/>
                <w:szCs w:val="21"/>
                <w:lang w:eastAsia="zh-CN"/>
              </w:rPr>
            </w:pPr>
          </w:p>
        </w:tc>
      </w:tr>
    </w:tbl>
    <w:p w14:paraId="0697E629">
      <w:pPr>
        <w:rPr>
          <w:sz w:val="18"/>
          <w:szCs w:val="18"/>
        </w:rPr>
      </w:pPr>
      <w:r>
        <w:rPr>
          <w:sz w:val="18"/>
          <w:szCs w:val="18"/>
        </w:rPr>
        <w:t>注：L</w:t>
      </w:r>
      <w:r>
        <w:rPr>
          <w:rFonts w:hint="eastAsia"/>
          <w:sz w:val="18"/>
          <w:szCs w:val="18"/>
          <w:vertAlign w:val="subscript"/>
        </w:rPr>
        <w:t>1</w:t>
      </w:r>
      <w:r>
        <w:rPr>
          <w:sz w:val="18"/>
          <w:szCs w:val="18"/>
        </w:rPr>
        <w:t>为钢板桩</w:t>
      </w:r>
      <w:r>
        <w:rPr>
          <w:rFonts w:hint="eastAsia"/>
          <w:sz w:val="18"/>
          <w:szCs w:val="18"/>
        </w:rPr>
        <w:t>的</w:t>
      </w:r>
      <w:r>
        <w:rPr>
          <w:sz w:val="18"/>
          <w:szCs w:val="18"/>
        </w:rPr>
        <w:t>长度，单位为mm；δ为钢板桩厚度，单位为mm。</w:t>
      </w:r>
    </w:p>
    <w:p w14:paraId="0C65682C">
      <w:r>
        <w:rPr>
          <w:rFonts w:hint="eastAsia"/>
        </w:rPr>
        <w:t>7.1.9  钢板桩焊接质量检验应符合下列的规定：</w:t>
      </w:r>
    </w:p>
    <w:p w14:paraId="295A1915">
      <w:pPr>
        <w:ind w:firstLine="420" w:firstLineChars="200"/>
      </w:pPr>
      <w:r>
        <w:rPr>
          <w:rFonts w:hint="eastAsia"/>
        </w:rPr>
        <w:t>1 焊条、焊丝、焊剂、电渣焊熔嘴等焊接材料与母材的匹配应符合设计要求及现行行业标准《建筑钢结构焊接技术规程》JGJ81的规定；</w:t>
      </w:r>
    </w:p>
    <w:p w14:paraId="0080FDD8">
      <w:pPr>
        <w:ind w:firstLine="420" w:firstLineChars="200"/>
      </w:pPr>
      <w:r>
        <w:rPr>
          <w:rFonts w:hint="eastAsia"/>
        </w:rPr>
        <w:t>2 设计要求全焊透的一、二级焊缝应采用超声波探伤进行内部缺陷的检验，超声波探伤不能对缺陷做出判断时，应采用射线探伤；</w:t>
      </w:r>
    </w:p>
    <w:p w14:paraId="6F96F852">
      <w:pPr>
        <w:ind w:firstLine="420" w:firstLineChars="200"/>
      </w:pPr>
      <w:r>
        <w:rPr>
          <w:rFonts w:hint="eastAsia"/>
        </w:rPr>
        <w:t>3 焊缝表面不能有焊瘤、裂纹等缺陷。一级焊缝不能有夹渣、气孔、电弧擦伤、弧坑裂纹、咬边、未焊满、根部收缩等缺陷；二级焊缝不能有夹渣、气孔、电弧擦伤、弧坑裂纹等缺陷；</w:t>
      </w:r>
    </w:p>
    <w:p w14:paraId="0DC14C1E">
      <w:pPr>
        <w:ind w:firstLine="420" w:firstLineChars="200"/>
      </w:pPr>
      <w:r>
        <w:rPr>
          <w:rFonts w:hint="eastAsia"/>
        </w:rPr>
        <w:t>4</w:t>
      </w:r>
      <w:r>
        <w:t xml:space="preserve"> </w:t>
      </w:r>
      <w:r>
        <w:rPr>
          <w:rFonts w:hint="eastAsia"/>
        </w:rPr>
        <w:t>焊缝每批同类构件抽查10%，且不应少于3件；被抽查构件中，每一类型焊缝按条数抽查5%，且不应少于1条；每条检查1处，总抽查数不应少于10处。</w:t>
      </w:r>
    </w:p>
    <w:p w14:paraId="4B91D052">
      <w:r>
        <w:rPr>
          <w:rFonts w:hint="eastAsia"/>
        </w:rPr>
        <w:t>7.1</w:t>
      </w:r>
      <w:r>
        <w:t>.</w:t>
      </w:r>
      <w:r>
        <w:rPr>
          <w:rFonts w:hint="eastAsia"/>
        </w:rPr>
        <w:t>10</w:t>
      </w:r>
      <w:r>
        <w:t xml:space="preserve">  </w:t>
      </w:r>
      <w:r>
        <w:rPr>
          <w:rFonts w:hint="eastAsia"/>
        </w:rPr>
        <w:t>加工后钢板桩的锁口应保持平直、通顺。使用前应用短接钢板桩或专用检查器做套锁通过检查。</w:t>
      </w:r>
    </w:p>
    <w:p w14:paraId="33F1C72F">
      <w:r>
        <w:rPr>
          <w:rFonts w:hint="eastAsia"/>
        </w:rPr>
        <w:t>7.1.11  其他原材料的进场质量检验，应符合现行国家标准《建筑工程施工质量验收统一标准》</w:t>
      </w:r>
      <w:r>
        <w:t>GB50300</w:t>
      </w:r>
      <w:r>
        <w:rPr>
          <w:rFonts w:hint="eastAsia"/>
        </w:rPr>
        <w:t>、《建筑地基基础工程施工质量验收标准》</w:t>
      </w:r>
      <w:r>
        <w:t>GB50202</w:t>
      </w:r>
      <w:r>
        <w:rPr>
          <w:rFonts w:hint="eastAsia"/>
        </w:rPr>
        <w:t>的有关规定。</w:t>
      </w:r>
    </w:p>
    <w:p w14:paraId="5D733768">
      <w:pPr>
        <w:ind w:firstLine="420" w:firstLineChars="200"/>
      </w:pPr>
    </w:p>
    <w:p w14:paraId="282168C0">
      <w:pPr>
        <w:pStyle w:val="3"/>
        <w:ind w:firstLine="281"/>
      </w:pPr>
      <w:bookmarkStart w:id="51" w:name="_Toc6676"/>
      <w:r>
        <w:rPr>
          <w:rFonts w:hint="eastAsia"/>
        </w:rPr>
        <w:t>7.2  施工检测</w:t>
      </w:r>
      <w:bookmarkEnd w:id="51"/>
    </w:p>
    <w:p w14:paraId="24BC4AAB">
      <w:r>
        <w:rPr>
          <w:rFonts w:hint="eastAsia"/>
        </w:rPr>
        <w:t>7.2.1  钢板桩施工过程中，应对钢板桩的桩长、桩顶标高、桩位偏差、沉桩垂直度等项目进行检测。</w:t>
      </w:r>
    </w:p>
    <w:p w14:paraId="66894F72">
      <w:r>
        <w:rPr>
          <w:rFonts w:hint="eastAsia"/>
        </w:rPr>
        <w:t>7.2.2  土方开挖过程中，应根据分区、分层开挖情况，及时对土方开挖面的钢板桩桩身弯曲度、桩身垂直度、锁口咬合程度、渗漏水情况等项目进行检测。</w:t>
      </w:r>
    </w:p>
    <w:p w14:paraId="3CB9B3A3">
      <w:r>
        <w:rPr>
          <w:rFonts w:hint="eastAsia"/>
        </w:rPr>
        <w:t>7.2.3  钢板桩支护结构施工完毕、土方开挖至设计标高后，应对钢板桩围护墙桩身弯曲度、桩身垂直度、锁口咬合程度、板桩墙平直度、支护结构变形、板桩墙渗漏等项目进行检测。</w:t>
      </w:r>
    </w:p>
    <w:p w14:paraId="3B2D4B48">
      <w:r>
        <w:rPr>
          <w:rFonts w:hint="eastAsia"/>
        </w:rPr>
        <w:t>7.2.4  钢板桩支护结构施工质量检测宜符合下表的要求：</w:t>
      </w:r>
    </w:p>
    <w:p w14:paraId="53ADE58B">
      <w:pPr>
        <w:jc w:val="center"/>
      </w:pPr>
      <w:r>
        <w:rPr>
          <w:rFonts w:hint="eastAsia"/>
        </w:rPr>
        <w:t>表7.2.4</w:t>
      </w:r>
      <w:r>
        <w:t xml:space="preserve"> </w:t>
      </w:r>
      <w:r>
        <w:rPr>
          <w:rFonts w:hint="eastAsia"/>
        </w:rPr>
        <w:t xml:space="preserve"> 钢板桩支护结构质量标准</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2302"/>
        <w:gridCol w:w="4182"/>
        <w:gridCol w:w="2462"/>
      </w:tblGrid>
      <w:tr w14:paraId="2DF1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tcPr>
          <w:p w14:paraId="514BDDE9">
            <w:pPr>
              <w:jc w:val="center"/>
            </w:pPr>
            <w:r>
              <w:rPr>
                <w:rFonts w:hint="eastAsia"/>
              </w:rPr>
              <w:t>序号</w:t>
            </w:r>
          </w:p>
        </w:tc>
        <w:tc>
          <w:tcPr>
            <w:tcW w:w="1168" w:type="pct"/>
          </w:tcPr>
          <w:p w14:paraId="668D1A5F">
            <w:pPr>
              <w:jc w:val="center"/>
            </w:pPr>
            <w:r>
              <w:rPr>
                <w:rFonts w:hint="eastAsia"/>
              </w:rPr>
              <w:t>检验项目</w:t>
            </w:r>
          </w:p>
        </w:tc>
        <w:tc>
          <w:tcPr>
            <w:tcW w:w="2122" w:type="pct"/>
          </w:tcPr>
          <w:p w14:paraId="4E398979">
            <w:pPr>
              <w:jc w:val="center"/>
            </w:pPr>
            <w:r>
              <w:rPr>
                <w:rFonts w:hint="eastAsia"/>
              </w:rPr>
              <w:t>允许偏差</w:t>
            </w:r>
          </w:p>
        </w:tc>
        <w:tc>
          <w:tcPr>
            <w:tcW w:w="1250" w:type="pct"/>
          </w:tcPr>
          <w:p w14:paraId="105BD46E">
            <w:pPr>
              <w:jc w:val="center"/>
            </w:pPr>
            <w:r>
              <w:rPr>
                <w:rFonts w:hint="eastAsia"/>
              </w:rPr>
              <w:t>检查方法</w:t>
            </w:r>
          </w:p>
        </w:tc>
      </w:tr>
      <w:tr w14:paraId="02A7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tcPr>
          <w:p w14:paraId="1B79E867">
            <w:pPr>
              <w:jc w:val="center"/>
            </w:pPr>
            <w:r>
              <w:rPr>
                <w:rFonts w:hint="eastAsia"/>
              </w:rPr>
              <w:t>1</w:t>
            </w:r>
          </w:p>
        </w:tc>
        <w:tc>
          <w:tcPr>
            <w:tcW w:w="1168" w:type="pct"/>
          </w:tcPr>
          <w:p w14:paraId="2ED574B6">
            <w:pPr>
              <w:jc w:val="center"/>
            </w:pPr>
            <w:r>
              <w:rPr>
                <w:rFonts w:hint="eastAsia"/>
              </w:rPr>
              <w:t>桩轴线偏差</w:t>
            </w:r>
          </w:p>
        </w:tc>
        <w:tc>
          <w:tcPr>
            <w:tcW w:w="2122" w:type="pct"/>
          </w:tcPr>
          <w:p w14:paraId="4DEB33EC">
            <w:pPr>
              <w:jc w:val="center"/>
            </w:pPr>
            <w:r>
              <w:rPr>
                <w:rFonts w:hint="eastAsia" w:ascii="宋体" w:hAnsi="宋体" w:cs="宋体"/>
              </w:rPr>
              <w:t>±</w:t>
            </w:r>
            <w:r>
              <w:rPr>
                <w:rFonts w:hint="eastAsia"/>
              </w:rPr>
              <w:t>100mm</w:t>
            </w:r>
          </w:p>
        </w:tc>
        <w:tc>
          <w:tcPr>
            <w:tcW w:w="1250" w:type="pct"/>
          </w:tcPr>
          <w:p w14:paraId="5333BB5A">
            <w:pPr>
              <w:jc w:val="center"/>
            </w:pPr>
            <w:r>
              <w:rPr>
                <w:rFonts w:hint="eastAsia"/>
              </w:rPr>
              <w:t>全站仪</w:t>
            </w:r>
          </w:p>
        </w:tc>
      </w:tr>
      <w:tr w14:paraId="0F0B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14:paraId="6600EBFE">
            <w:pPr>
              <w:jc w:val="center"/>
            </w:pPr>
            <w:r>
              <w:rPr>
                <w:rFonts w:hint="eastAsia"/>
              </w:rPr>
              <w:t>2</w:t>
            </w:r>
          </w:p>
        </w:tc>
        <w:tc>
          <w:tcPr>
            <w:tcW w:w="1168" w:type="pct"/>
          </w:tcPr>
          <w:p w14:paraId="4C6A53C1">
            <w:pPr>
              <w:jc w:val="center"/>
            </w:pPr>
            <w:r>
              <w:rPr>
                <w:rFonts w:hint="eastAsia"/>
              </w:rPr>
              <w:t>桩身垂直度</w:t>
            </w:r>
          </w:p>
        </w:tc>
        <w:tc>
          <w:tcPr>
            <w:tcW w:w="2122" w:type="pct"/>
          </w:tcPr>
          <w:p w14:paraId="261BF3D9">
            <w:pPr>
              <w:jc w:val="center"/>
            </w:pPr>
            <w:r>
              <w:rPr>
                <w:rFonts w:ascii="Arial" w:hAnsi="Arial" w:cs="Arial"/>
              </w:rPr>
              <w:t>≤</w:t>
            </w:r>
            <w:r>
              <w:rPr>
                <w:rFonts w:hint="eastAsia"/>
              </w:rPr>
              <w:t>1/100桩长且最大不超过200mm</w:t>
            </w:r>
          </w:p>
        </w:tc>
        <w:tc>
          <w:tcPr>
            <w:tcW w:w="1250" w:type="pct"/>
          </w:tcPr>
          <w:p w14:paraId="1966926B">
            <w:pPr>
              <w:jc w:val="center"/>
            </w:pPr>
            <w:r>
              <w:rPr>
                <w:rFonts w:hint="eastAsia"/>
              </w:rPr>
              <w:t>经纬仪、水平靠尺</w:t>
            </w:r>
          </w:p>
        </w:tc>
      </w:tr>
      <w:tr w14:paraId="1FFC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61" w:type="pct"/>
          </w:tcPr>
          <w:p w14:paraId="52604F05">
            <w:pPr>
              <w:jc w:val="center"/>
            </w:pPr>
            <w:r>
              <w:rPr>
                <w:rFonts w:hint="eastAsia"/>
              </w:rPr>
              <w:t>3</w:t>
            </w:r>
          </w:p>
        </w:tc>
        <w:tc>
          <w:tcPr>
            <w:tcW w:w="1168" w:type="pct"/>
          </w:tcPr>
          <w:p w14:paraId="53C453D9">
            <w:pPr>
              <w:jc w:val="center"/>
            </w:pPr>
            <w:r>
              <w:rPr>
                <w:rFonts w:hint="eastAsia"/>
              </w:rPr>
              <w:t>整排桩侧面平直度</w:t>
            </w:r>
          </w:p>
        </w:tc>
        <w:tc>
          <w:tcPr>
            <w:tcW w:w="2122" w:type="pct"/>
          </w:tcPr>
          <w:p w14:paraId="2DD18E4A">
            <w:pPr>
              <w:jc w:val="center"/>
            </w:pPr>
            <w:r>
              <w:rPr>
                <w:rFonts w:hint="eastAsia"/>
              </w:rPr>
              <w:t>每延米不超过100mm且累计不超过200mm</w:t>
            </w:r>
          </w:p>
        </w:tc>
        <w:tc>
          <w:tcPr>
            <w:tcW w:w="1250" w:type="pct"/>
          </w:tcPr>
          <w:p w14:paraId="5B4C7A48">
            <w:pPr>
              <w:jc w:val="center"/>
            </w:pPr>
            <w:r>
              <w:rPr>
                <w:rFonts w:hint="eastAsia"/>
              </w:rPr>
              <w:t>测量仪器</w:t>
            </w:r>
          </w:p>
        </w:tc>
      </w:tr>
      <w:tr w14:paraId="5E6D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14:paraId="23BF3F48">
            <w:pPr>
              <w:jc w:val="center"/>
            </w:pPr>
            <w:r>
              <w:rPr>
                <w:rFonts w:hint="eastAsia"/>
              </w:rPr>
              <w:t>4</w:t>
            </w:r>
          </w:p>
        </w:tc>
        <w:tc>
          <w:tcPr>
            <w:tcW w:w="1168" w:type="pct"/>
          </w:tcPr>
          <w:p w14:paraId="7AEB638D">
            <w:pPr>
              <w:jc w:val="center"/>
            </w:pPr>
            <w:r>
              <w:rPr>
                <w:rFonts w:hint="eastAsia"/>
              </w:rPr>
              <w:t>桩长</w:t>
            </w:r>
          </w:p>
        </w:tc>
        <w:tc>
          <w:tcPr>
            <w:tcW w:w="2122" w:type="pct"/>
          </w:tcPr>
          <w:p w14:paraId="3357137B">
            <w:pPr>
              <w:jc w:val="center"/>
            </w:pPr>
            <w:r>
              <w:rPr>
                <w:rFonts w:hint="eastAsia"/>
              </w:rPr>
              <w:t>长度允许偏差为0~+100mm</w:t>
            </w:r>
          </w:p>
        </w:tc>
        <w:tc>
          <w:tcPr>
            <w:tcW w:w="1250" w:type="pct"/>
          </w:tcPr>
          <w:p w14:paraId="2E9327E2">
            <w:pPr>
              <w:jc w:val="center"/>
            </w:pPr>
            <w:r>
              <w:rPr>
                <w:rFonts w:hint="eastAsia"/>
              </w:rPr>
              <w:t>钢尺量</w:t>
            </w:r>
          </w:p>
        </w:tc>
      </w:tr>
      <w:tr w14:paraId="3D28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14:paraId="34669A3D">
            <w:pPr>
              <w:jc w:val="center"/>
            </w:pPr>
            <w:r>
              <w:rPr>
                <w:rFonts w:hint="eastAsia"/>
              </w:rPr>
              <w:t>5</w:t>
            </w:r>
          </w:p>
        </w:tc>
        <w:tc>
          <w:tcPr>
            <w:tcW w:w="1168" w:type="pct"/>
          </w:tcPr>
          <w:p w14:paraId="5F37E489">
            <w:pPr>
              <w:jc w:val="center"/>
            </w:pPr>
            <w:r>
              <w:rPr>
                <w:rFonts w:hint="eastAsia"/>
              </w:rPr>
              <w:t>桩顶标高</w:t>
            </w:r>
          </w:p>
        </w:tc>
        <w:tc>
          <w:tcPr>
            <w:tcW w:w="2122" w:type="pct"/>
          </w:tcPr>
          <w:p w14:paraId="7E473575">
            <w:pPr>
              <w:jc w:val="center"/>
            </w:pPr>
            <w:r>
              <w:rPr>
                <w:rFonts w:hint="eastAsia" w:ascii="宋体" w:hAnsi="宋体" w:cs="宋体"/>
              </w:rPr>
              <w:t>±</w:t>
            </w:r>
            <w:r>
              <w:rPr>
                <w:rFonts w:hint="eastAsia"/>
              </w:rPr>
              <w:t>100mm</w:t>
            </w:r>
          </w:p>
        </w:tc>
        <w:tc>
          <w:tcPr>
            <w:tcW w:w="1250" w:type="pct"/>
          </w:tcPr>
          <w:p w14:paraId="0CDAB39B">
            <w:pPr>
              <w:jc w:val="center"/>
            </w:pPr>
            <w:r>
              <w:rPr>
                <w:rFonts w:hint="eastAsia"/>
              </w:rPr>
              <w:t>全站仪、水准仪</w:t>
            </w:r>
          </w:p>
        </w:tc>
      </w:tr>
      <w:tr w14:paraId="6333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tcPr>
          <w:p w14:paraId="686E873D">
            <w:pPr>
              <w:jc w:val="center"/>
            </w:pPr>
            <w:r>
              <w:rPr>
                <w:rFonts w:hint="eastAsia"/>
              </w:rPr>
              <w:t>6</w:t>
            </w:r>
          </w:p>
        </w:tc>
        <w:tc>
          <w:tcPr>
            <w:tcW w:w="1168" w:type="pct"/>
          </w:tcPr>
          <w:p w14:paraId="73472851">
            <w:pPr>
              <w:jc w:val="center"/>
            </w:pPr>
            <w:r>
              <w:rPr>
                <w:rFonts w:hint="eastAsia"/>
              </w:rPr>
              <w:t>侧壁渗漏</w:t>
            </w:r>
          </w:p>
        </w:tc>
        <w:tc>
          <w:tcPr>
            <w:tcW w:w="2122" w:type="pct"/>
          </w:tcPr>
          <w:p w14:paraId="0BE2A09E">
            <w:pPr>
              <w:jc w:val="center"/>
            </w:pPr>
            <w:r>
              <w:rPr>
                <w:rFonts w:hint="eastAsia"/>
              </w:rPr>
              <w:t>仅有局部渗漏</w:t>
            </w:r>
          </w:p>
        </w:tc>
        <w:tc>
          <w:tcPr>
            <w:tcW w:w="1250" w:type="pct"/>
          </w:tcPr>
          <w:p w14:paraId="1038842D">
            <w:pPr>
              <w:jc w:val="center"/>
            </w:pPr>
            <w:r>
              <w:rPr>
                <w:rFonts w:hint="eastAsia"/>
              </w:rPr>
              <w:t>观察</w:t>
            </w:r>
          </w:p>
        </w:tc>
      </w:tr>
      <w:tr w14:paraId="45FE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14:paraId="44914FF0">
            <w:pPr>
              <w:jc w:val="center"/>
            </w:pPr>
            <w:r>
              <w:rPr>
                <w:rFonts w:hint="eastAsia"/>
              </w:rPr>
              <w:t>7</w:t>
            </w:r>
          </w:p>
        </w:tc>
        <w:tc>
          <w:tcPr>
            <w:tcW w:w="1168" w:type="pct"/>
          </w:tcPr>
          <w:p w14:paraId="15B488E6">
            <w:pPr>
              <w:jc w:val="center"/>
            </w:pPr>
            <w:r>
              <w:rPr>
                <w:rFonts w:hint="eastAsia"/>
              </w:rPr>
              <w:t>齿槽咬合程度</w:t>
            </w:r>
          </w:p>
        </w:tc>
        <w:tc>
          <w:tcPr>
            <w:tcW w:w="2122" w:type="pct"/>
          </w:tcPr>
          <w:p w14:paraId="49F4A9CF">
            <w:pPr>
              <w:jc w:val="center"/>
            </w:pPr>
            <w:r>
              <w:rPr>
                <w:rFonts w:hint="eastAsia"/>
              </w:rPr>
              <w:t>紧密</w:t>
            </w:r>
          </w:p>
        </w:tc>
        <w:tc>
          <w:tcPr>
            <w:tcW w:w="1250" w:type="pct"/>
          </w:tcPr>
          <w:p w14:paraId="4A234443">
            <w:pPr>
              <w:jc w:val="center"/>
            </w:pPr>
            <w:r>
              <w:rPr>
                <w:rFonts w:hint="eastAsia"/>
              </w:rPr>
              <w:t>观察</w:t>
            </w:r>
          </w:p>
        </w:tc>
      </w:tr>
      <w:tr w14:paraId="5302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14:paraId="55099865">
            <w:pPr>
              <w:jc w:val="center"/>
            </w:pPr>
            <w:r>
              <w:rPr>
                <w:rFonts w:hint="eastAsia"/>
              </w:rPr>
              <w:t>8</w:t>
            </w:r>
          </w:p>
        </w:tc>
        <w:tc>
          <w:tcPr>
            <w:tcW w:w="1168" w:type="pct"/>
          </w:tcPr>
          <w:p w14:paraId="6C285067">
            <w:pPr>
              <w:jc w:val="center"/>
              <w:rPr>
                <w:rFonts w:ascii="宋体" w:hAnsi="宋体" w:cs="宋体"/>
              </w:rPr>
            </w:pPr>
            <w:r>
              <w:rPr>
                <w:rFonts w:hint="eastAsia"/>
              </w:rPr>
              <w:t>桩身弯曲矢高</w:t>
            </w:r>
          </w:p>
        </w:tc>
        <w:tc>
          <w:tcPr>
            <w:tcW w:w="2122" w:type="pct"/>
          </w:tcPr>
          <w:p w14:paraId="61A166F8">
            <w:pPr>
              <w:jc w:val="center"/>
            </w:pPr>
            <w:r>
              <w:rPr>
                <w:rFonts w:ascii="Arial" w:hAnsi="Arial" w:cs="Arial"/>
              </w:rPr>
              <w:t>≤</w:t>
            </w:r>
            <w:r>
              <w:rPr>
                <w:rFonts w:hint="eastAsia" w:ascii="Arial" w:hAnsi="Arial" w:cs="Arial"/>
              </w:rPr>
              <w:t>2</w:t>
            </w:r>
            <w:r>
              <w:rPr>
                <w:rFonts w:ascii="Arial" w:hAnsi="Arial" w:cs="Arial"/>
              </w:rPr>
              <w:t>‰</w:t>
            </w:r>
            <w:r>
              <w:rPr>
                <w:rFonts w:hint="eastAsia" w:ascii="Arial" w:hAnsi="Arial" w:cs="Arial"/>
              </w:rPr>
              <w:t>桩长</w:t>
            </w:r>
          </w:p>
        </w:tc>
        <w:tc>
          <w:tcPr>
            <w:tcW w:w="1250" w:type="pct"/>
          </w:tcPr>
          <w:p w14:paraId="07F81323">
            <w:pPr>
              <w:jc w:val="center"/>
            </w:pPr>
            <w:r>
              <w:rPr>
                <w:rFonts w:hint="eastAsia"/>
              </w:rPr>
              <w:t>拉线法、全站仪测量</w:t>
            </w:r>
          </w:p>
        </w:tc>
      </w:tr>
    </w:tbl>
    <w:p w14:paraId="2D8FB2C7">
      <w:bookmarkStart w:id="52" w:name="_Toc15573"/>
    </w:p>
    <w:p w14:paraId="7CCA5082">
      <w:pPr>
        <w:pStyle w:val="3"/>
        <w:ind w:firstLine="281"/>
      </w:pPr>
      <w:r>
        <w:rPr>
          <w:rFonts w:hint="eastAsia"/>
        </w:rPr>
        <w:t>7.3  验收</w:t>
      </w:r>
      <w:bookmarkEnd w:id="52"/>
    </w:p>
    <w:p w14:paraId="787F91B8">
      <w:pPr>
        <w:spacing w:line="300" w:lineRule="auto"/>
      </w:pPr>
      <w:r>
        <w:rPr>
          <w:rFonts w:hint="eastAsia"/>
        </w:rPr>
        <w:t>7.3.1  钢板桩围护墙的质量验收应在土方开挖前进行，应成批验收，每批重量</w:t>
      </w:r>
      <w:r>
        <w:t>60t</w:t>
      </w:r>
      <w:r>
        <w:rPr>
          <w:rFonts w:hint="eastAsia"/>
        </w:rPr>
        <w:t>为一个检验批。</w:t>
      </w:r>
    </w:p>
    <w:p w14:paraId="510641D8">
      <w:r>
        <w:rPr>
          <w:rFonts w:hint="eastAsia"/>
        </w:rPr>
        <w:t>7.3.2  钢板桩支护结构施工完毕、土方开挖至设计标高后，可进行钢板桩支护工程验收。</w:t>
      </w:r>
    </w:p>
    <w:p w14:paraId="7818DB00">
      <w:r>
        <w:rPr>
          <w:rFonts w:hint="eastAsia"/>
        </w:rPr>
        <w:t>7.3.3  锚拉、支撑结构的质量验收应在对应的分层土方开挖前进行，应成批验收，检验批的划分应符合现行国家标准《建筑工程施工质量验收统一标准》</w:t>
      </w:r>
      <w:r>
        <w:t>GB50300</w:t>
      </w:r>
      <w:r>
        <w:rPr>
          <w:rFonts w:hint="eastAsia"/>
        </w:rPr>
        <w:t>、《建筑地基基础工程施工质量验收标准》</w:t>
      </w:r>
      <w:r>
        <w:t>GB50202</w:t>
      </w:r>
      <w:r>
        <w:rPr>
          <w:rFonts w:hint="eastAsia"/>
        </w:rPr>
        <w:t>的有关规定。</w:t>
      </w:r>
    </w:p>
    <w:p w14:paraId="6C967F8A">
      <w:r>
        <w:rPr>
          <w:rFonts w:hint="eastAsia"/>
        </w:rPr>
        <w:t>7.3.4  钢板桩支护工程验收时宜具备下列资料：</w:t>
      </w:r>
    </w:p>
    <w:p w14:paraId="64A7CABD">
      <w:pPr>
        <w:ind w:firstLine="420" w:firstLineChars="200"/>
      </w:pPr>
      <w:r>
        <w:rPr>
          <w:rFonts w:hint="eastAsia"/>
        </w:rPr>
        <w:t>1</w:t>
      </w:r>
      <w:r>
        <w:t xml:space="preserve"> </w:t>
      </w:r>
      <w:r>
        <w:rPr>
          <w:rFonts w:hint="eastAsia"/>
        </w:rPr>
        <w:t>岩土工程勘察报告；</w:t>
      </w:r>
    </w:p>
    <w:p w14:paraId="1419AD5F">
      <w:pPr>
        <w:ind w:firstLine="420" w:firstLineChars="200"/>
      </w:pPr>
      <w:r>
        <w:rPr>
          <w:rFonts w:hint="eastAsia"/>
        </w:rPr>
        <w:t>2 设计文件，包括图纸会审记录、变更通知书等；</w:t>
      </w:r>
    </w:p>
    <w:p w14:paraId="381CE0E4">
      <w:pPr>
        <w:ind w:firstLine="420" w:firstLineChars="200"/>
      </w:pPr>
      <w:r>
        <w:rPr>
          <w:rFonts w:hint="eastAsia"/>
        </w:rPr>
        <w:t>3 桩位测量放线图；</w:t>
      </w:r>
    </w:p>
    <w:p w14:paraId="46EC5A54">
      <w:pPr>
        <w:ind w:firstLine="420" w:firstLineChars="200"/>
      </w:pPr>
      <w:r>
        <w:rPr>
          <w:rFonts w:hint="eastAsia"/>
        </w:rPr>
        <w:t>4 施工组织设计或施工方案；</w:t>
      </w:r>
    </w:p>
    <w:p w14:paraId="745217A3">
      <w:pPr>
        <w:ind w:firstLine="420" w:firstLineChars="200"/>
      </w:pPr>
      <w:r>
        <w:rPr>
          <w:rFonts w:hint="eastAsia"/>
        </w:rPr>
        <w:t>5 钢板桩等材料的质量证明文件；</w:t>
      </w:r>
    </w:p>
    <w:p w14:paraId="0C61C13A">
      <w:pPr>
        <w:ind w:firstLine="420" w:firstLineChars="200"/>
      </w:pPr>
      <w:r>
        <w:rPr>
          <w:rFonts w:hint="eastAsia"/>
        </w:rPr>
        <w:t>6 压桩前钢板桩检查资料；</w:t>
      </w:r>
    </w:p>
    <w:p w14:paraId="1D3E8F09">
      <w:pPr>
        <w:ind w:firstLine="420" w:firstLineChars="200"/>
      </w:pPr>
      <w:r>
        <w:rPr>
          <w:rFonts w:hint="eastAsia"/>
        </w:rPr>
        <w:t>7 压桩记录；</w:t>
      </w:r>
    </w:p>
    <w:p w14:paraId="04021242">
      <w:pPr>
        <w:ind w:firstLine="420" w:firstLineChars="200"/>
      </w:pPr>
      <w:r>
        <w:rPr>
          <w:rFonts w:hint="eastAsia"/>
        </w:rPr>
        <w:t>8 钢板桩墙质量检验报告；</w:t>
      </w:r>
    </w:p>
    <w:p w14:paraId="5E83141D">
      <w:pPr>
        <w:ind w:firstLine="420" w:firstLineChars="200"/>
      </w:pPr>
      <w:r>
        <w:rPr>
          <w:rFonts w:hint="eastAsia"/>
        </w:rPr>
        <w:t>9 锚拉式钢板桩支护结构的锚杆检测报告；</w:t>
      </w:r>
    </w:p>
    <w:p w14:paraId="65A787D5">
      <w:pPr>
        <w:ind w:firstLine="420" w:firstLineChars="200"/>
      </w:pPr>
      <w:r>
        <w:rPr>
          <w:rFonts w:hint="eastAsia"/>
        </w:rPr>
        <w:t>10 支撑式钢板桩支护结构的内支撑质量检查报告；</w:t>
      </w:r>
    </w:p>
    <w:p w14:paraId="6712D469">
      <w:pPr>
        <w:ind w:firstLine="420" w:firstLineChars="200"/>
      </w:pPr>
      <w:r>
        <w:rPr>
          <w:rFonts w:hint="eastAsia"/>
        </w:rPr>
        <w:t>11 监测报告；</w:t>
      </w:r>
    </w:p>
    <w:p w14:paraId="586BBEC6">
      <w:pPr>
        <w:ind w:firstLine="420" w:firstLineChars="200"/>
      </w:pPr>
      <w:r>
        <w:rPr>
          <w:rFonts w:hint="eastAsia"/>
        </w:rPr>
        <w:t>12 其他应提供的文件和记录。</w:t>
      </w:r>
    </w:p>
    <w:p w14:paraId="38828AB8">
      <w:pPr>
        <w:ind w:firstLine="420" w:firstLineChars="200"/>
      </w:pPr>
    </w:p>
    <w:p w14:paraId="0310980E"/>
    <w:p w14:paraId="2EA5F115">
      <w:pPr>
        <w:pStyle w:val="2"/>
      </w:pPr>
      <w:r>
        <w:rPr>
          <w:rFonts w:hint="eastAsia"/>
        </w:rPr>
        <w:br w:type="page"/>
      </w:r>
      <w:bookmarkStart w:id="53" w:name="_Toc29919"/>
      <w:r>
        <w:rPr>
          <w:rFonts w:hint="eastAsia"/>
        </w:rPr>
        <w:t xml:space="preserve">8  </w:t>
      </w:r>
      <w:bookmarkEnd w:id="49"/>
      <w:r>
        <w:rPr>
          <w:rFonts w:hint="eastAsia"/>
        </w:rPr>
        <w:t>开挖与监测</w:t>
      </w:r>
      <w:bookmarkEnd w:id="53"/>
    </w:p>
    <w:p w14:paraId="2F1E7B9D">
      <w:pPr>
        <w:pStyle w:val="3"/>
        <w:ind w:firstLine="281"/>
      </w:pPr>
      <w:bookmarkStart w:id="54" w:name="_Toc24525"/>
      <w:bookmarkStart w:id="55" w:name="_Toc16848"/>
      <w:r>
        <w:rPr>
          <w:rFonts w:hint="eastAsia"/>
        </w:rPr>
        <w:t xml:space="preserve">8.1  </w:t>
      </w:r>
      <w:r>
        <w:t>一般规定</w:t>
      </w:r>
      <w:bookmarkEnd w:id="54"/>
      <w:r>
        <w:t xml:space="preserve"> </w:t>
      </w:r>
    </w:p>
    <w:p w14:paraId="3F78FD5E">
      <w:r>
        <w:rPr>
          <w:rFonts w:hint="eastAsia"/>
        </w:rPr>
        <w:t>8.1.1  钢板桩支护结构的土方开挖，应按照分层、分段、对称、均衡、及时的原则进行。严禁超挖、乱挖、开挖后长时间暴露等。</w:t>
      </w:r>
    </w:p>
    <w:p w14:paraId="1F9CD5FE">
      <w:r>
        <w:rPr>
          <w:rFonts w:hint="eastAsia"/>
        </w:rPr>
        <w:t>8.1.2  静压钢板桩支护工程应实施工程监测。</w:t>
      </w:r>
    </w:p>
    <w:p w14:paraId="5ECA38C1">
      <w:r>
        <w:rPr>
          <w:rFonts w:hint="eastAsia"/>
        </w:rPr>
        <w:t>8.1.3  钢板桩支护工程的现场监测应采用仪器监测与巡视检查相结合的方法。</w:t>
      </w:r>
    </w:p>
    <w:p w14:paraId="0EF028E5">
      <w:r>
        <w:rPr>
          <w:rFonts w:hint="eastAsia"/>
        </w:rPr>
        <w:t>8.1.4  应严格按监测方案实施监测。当支护工程设计或施工有重大变更时，应及时调整监测方案。</w:t>
      </w:r>
    </w:p>
    <w:p w14:paraId="2E5D986F">
      <w:r>
        <w:rPr>
          <w:rFonts w:hint="eastAsia"/>
        </w:rPr>
        <w:t>8.1.5  工程监测期间应保护监测设施不受损坏。</w:t>
      </w:r>
    </w:p>
    <w:p w14:paraId="57AD997D"/>
    <w:p w14:paraId="39E62EF8">
      <w:pPr>
        <w:pStyle w:val="3"/>
        <w:ind w:firstLine="281"/>
      </w:pPr>
      <w:bookmarkStart w:id="56" w:name="_Toc18962"/>
      <w:r>
        <w:rPr>
          <w:rFonts w:hint="eastAsia"/>
        </w:rPr>
        <w:t>8.2  土方开挖</w:t>
      </w:r>
      <w:bookmarkEnd w:id="56"/>
    </w:p>
    <w:p w14:paraId="4EA4C2C6">
      <w:r>
        <w:rPr>
          <w:rFonts w:hint="eastAsia"/>
        </w:rPr>
        <w:t>8.2.1  土方开挖应符合下列规定：</w:t>
      </w:r>
    </w:p>
    <w:p w14:paraId="21D1083D">
      <w:pPr>
        <w:ind w:firstLine="420" w:firstLineChars="200"/>
      </w:pPr>
      <w:r>
        <w:rPr>
          <w:rFonts w:hint="eastAsia"/>
        </w:rPr>
        <w:t>1 应按支护结构设计规定的施工顺序和开挖深度分层开挖；</w:t>
      </w:r>
    </w:p>
    <w:p w14:paraId="6B35CB9F">
      <w:pPr>
        <w:ind w:firstLine="420" w:firstLineChars="200"/>
      </w:pPr>
      <w:r>
        <w:rPr>
          <w:rFonts w:hint="eastAsia"/>
        </w:rPr>
        <w:t>2 开挖时，挖土机械不得碰撞或损害锚杆、腰梁、内支撑及其连接件等构件，不得损害已施工的基础桩；</w:t>
      </w:r>
    </w:p>
    <w:p w14:paraId="09D18D33">
      <w:pPr>
        <w:ind w:firstLine="420" w:firstLineChars="200"/>
      </w:pPr>
      <w:r>
        <w:rPr>
          <w:rFonts w:hint="eastAsia"/>
        </w:rPr>
        <w:t>3 开挖区域应将地下水降低至开挖面以下</w:t>
      </w:r>
      <w:r>
        <w:t>0.5m</w:t>
      </w:r>
      <w:r>
        <w:rPr>
          <w:rFonts w:hint="eastAsia"/>
        </w:rPr>
        <w:t>~1.0</w:t>
      </w:r>
      <w:r>
        <w:t>m</w:t>
      </w:r>
      <w:r>
        <w:rPr>
          <w:rFonts w:hint="eastAsia"/>
        </w:rPr>
        <w:t>；</w:t>
      </w:r>
    </w:p>
    <w:p w14:paraId="47228983">
      <w:pPr>
        <w:ind w:firstLine="420" w:firstLineChars="200"/>
      </w:pPr>
      <w:r>
        <w:rPr>
          <w:rFonts w:hint="eastAsia"/>
        </w:rPr>
        <w:t>4 当开挖揭露的实际土层性状或地下水情况与设计依据的勘察资料明显不符，或出现异常现象、不明物体时，应停止开挖，采取相应处理措施后方可开挖；</w:t>
      </w:r>
    </w:p>
    <w:p w14:paraId="130231F9">
      <w:pPr>
        <w:ind w:firstLine="420" w:firstLineChars="200"/>
      </w:pPr>
      <w:r>
        <w:rPr>
          <w:rFonts w:hint="eastAsia"/>
        </w:rPr>
        <w:t>5 挖至坑底时，应避免扰动坑底持力土层的原状结构。</w:t>
      </w:r>
    </w:p>
    <w:p w14:paraId="5643C697">
      <w:r>
        <w:rPr>
          <w:rFonts w:hint="eastAsia"/>
        </w:rPr>
        <w:t>8.2.2  软土开挖除应符合本规程第8.</w:t>
      </w:r>
      <w:r>
        <w:t>2.1</w:t>
      </w:r>
      <w:r>
        <w:rPr>
          <w:rFonts w:hint="eastAsia"/>
        </w:rPr>
        <w:t>条的规定外，尚应符合下列规定：</w:t>
      </w:r>
    </w:p>
    <w:p w14:paraId="01268459">
      <w:pPr>
        <w:ind w:firstLine="420" w:firstLineChars="200"/>
      </w:pPr>
      <w:r>
        <w:rPr>
          <w:rFonts w:hint="eastAsia"/>
        </w:rPr>
        <w:t>1 当主体结构采用桩基础且基础桩已施工完成时，应根据开挖面下软土的性状，限制每层开挖厚度，不得造成基础桩偏位；</w:t>
      </w:r>
    </w:p>
    <w:p w14:paraId="3DAFF69D">
      <w:pPr>
        <w:ind w:firstLine="420" w:firstLineChars="200"/>
      </w:pPr>
      <w:r>
        <w:rPr>
          <w:rFonts w:hint="eastAsia"/>
        </w:rPr>
        <w:t>2 对采用内支撑的支护结构，宜采用局部开槽方法浇筑混凝土支撑或安装钢支撑；开挖至作业面后，应及时进行支撑结构的施工；</w:t>
      </w:r>
    </w:p>
    <w:p w14:paraId="2294CC4A">
      <w:pPr>
        <w:ind w:firstLine="420" w:firstLineChars="200"/>
      </w:pPr>
      <w:r>
        <w:rPr>
          <w:rFonts w:hint="eastAsia"/>
        </w:rPr>
        <w:t>3 严禁挖土机械在钢支撑上作业。</w:t>
      </w:r>
    </w:p>
    <w:p w14:paraId="416DFD5D">
      <w:r>
        <w:rPr>
          <w:rFonts w:hint="eastAsia"/>
        </w:rPr>
        <w:t>8.2.3  当开挖面上方的锚拉、支撑结构未达到设计要求时，严禁向下超挖土方。</w:t>
      </w:r>
    </w:p>
    <w:p w14:paraId="339DA164">
      <w:r>
        <w:rPr>
          <w:rFonts w:hint="eastAsia"/>
        </w:rPr>
        <w:t>8.2.4  采用锚拉或支撑的支护结构，在未达到设计规定的拆除条件时，严禁拆除锚拉或支撑结构。</w:t>
      </w:r>
    </w:p>
    <w:p w14:paraId="4145538B">
      <w:r>
        <w:rPr>
          <w:rFonts w:hint="eastAsia"/>
        </w:rPr>
        <w:t>8.2.5  支护结构周边施工材料、设施或车辆荷载严禁超过设计要求的地面荷载限值。</w:t>
      </w:r>
    </w:p>
    <w:p w14:paraId="1BA2C9A6">
      <w:r>
        <w:rPr>
          <w:rFonts w:hint="eastAsia"/>
        </w:rPr>
        <w:t>8.2.6  土方开挖和支护结构使用期内，应按下列要求对支护结构进行维护：</w:t>
      </w:r>
    </w:p>
    <w:p w14:paraId="4F1EAA17">
      <w:pPr>
        <w:ind w:firstLine="420" w:firstLineChars="200"/>
      </w:pPr>
      <w:r>
        <w:rPr>
          <w:rFonts w:hint="eastAsia"/>
        </w:rPr>
        <w:t>1 雨期施工时，应在坑顶、坑底采取有效的截排水措施；对地势低洼的基坑，应考虑周边汇水区域地面径流向基坑汇水的影响；排水沟、集水井应采取防渗措施；</w:t>
      </w:r>
    </w:p>
    <w:p w14:paraId="66700474">
      <w:pPr>
        <w:ind w:firstLine="420" w:firstLineChars="200"/>
      </w:pPr>
      <w:r>
        <w:rPr>
          <w:rFonts w:hint="eastAsia"/>
        </w:rPr>
        <w:t>2 支护结构周边地面宜做硬化或防渗处理；</w:t>
      </w:r>
    </w:p>
    <w:p w14:paraId="7267B6A5">
      <w:pPr>
        <w:ind w:firstLine="420" w:firstLineChars="200"/>
      </w:pPr>
      <w:r>
        <w:rPr>
          <w:rFonts w:hint="eastAsia"/>
        </w:rPr>
        <w:t>3 支护结构周边的施工用水应有排放措施，不得渗入土体内；</w:t>
      </w:r>
    </w:p>
    <w:p w14:paraId="0FD6D659">
      <w:pPr>
        <w:ind w:firstLine="420" w:firstLineChars="200"/>
      </w:pPr>
      <w:r>
        <w:rPr>
          <w:rFonts w:hint="eastAsia"/>
        </w:rPr>
        <w:t>4 当坑体渗水、积水或有渗流时，应及时进行疏导、排泄，截断水源；</w:t>
      </w:r>
    </w:p>
    <w:p w14:paraId="3FE9D84B">
      <w:pPr>
        <w:ind w:firstLine="420" w:firstLineChars="200"/>
      </w:pPr>
      <w:r>
        <w:rPr>
          <w:rFonts w:hint="eastAsia"/>
        </w:rPr>
        <w:t>5 开挖至坑底后，应及时进行混凝土垫层和主体地下结构施工；</w:t>
      </w:r>
    </w:p>
    <w:p w14:paraId="091B856C">
      <w:pPr>
        <w:ind w:firstLine="420" w:firstLineChars="200"/>
      </w:pPr>
      <w:r>
        <w:rPr>
          <w:rFonts w:hint="eastAsia"/>
        </w:rPr>
        <w:t>6 主体地下结构施工时，结构外墙与支护结构侧壁之间应及时回填。</w:t>
      </w:r>
    </w:p>
    <w:p w14:paraId="7FDA4158">
      <w:r>
        <w:rPr>
          <w:rFonts w:hint="eastAsia"/>
        </w:rPr>
        <w:t>8.2.7  支护结构或周边环境出现变形报警情况或其他险情时应立即停止开挖，并应根据危险产生的原因和可能进一步发展的破坏形式，采取控制或加固措施。危险消除后，方可继续开挖。必要时，应对危险部位采取回填、地面卸土、临时支撑等应急措施。当危险由地下水管道渗漏、坑体渗水造成时，应及时采取截断渗漏水源、疏排渗水等措施。</w:t>
      </w:r>
    </w:p>
    <w:p w14:paraId="7309C740"/>
    <w:p w14:paraId="592DCCDF">
      <w:pPr>
        <w:pStyle w:val="3"/>
        <w:ind w:firstLine="0" w:firstLineChars="0"/>
      </w:pPr>
      <w:bookmarkStart w:id="57" w:name="_Toc7561"/>
      <w:r>
        <w:rPr>
          <w:rFonts w:hint="eastAsia"/>
        </w:rPr>
        <w:t>8.3</w:t>
      </w:r>
      <w:r>
        <w:t xml:space="preserve">  </w:t>
      </w:r>
      <w:r>
        <w:rPr>
          <w:rFonts w:hint="eastAsia"/>
        </w:rPr>
        <w:t>监测</w:t>
      </w:r>
      <w:bookmarkEnd w:id="55"/>
      <w:bookmarkEnd w:id="57"/>
    </w:p>
    <w:p w14:paraId="4D197322">
      <w:r>
        <w:rPr>
          <w:rFonts w:hint="eastAsia"/>
        </w:rPr>
        <w:t>8.3.1  钢板桩监测应综合考虑工程设计方案、施工方案、场地、周边环境等因素，有资质单位制定合理的监测方案，精心组织和实施监测。</w:t>
      </w:r>
    </w:p>
    <w:p w14:paraId="6462BD4F">
      <w:r>
        <w:rPr>
          <w:rFonts w:hint="eastAsia"/>
        </w:rPr>
        <w:t>8.3.2</w:t>
      </w:r>
      <w:r>
        <w:t xml:space="preserve"> </w:t>
      </w:r>
      <w:r>
        <w:rPr>
          <w:rFonts w:hint="eastAsia"/>
        </w:rPr>
        <w:t xml:space="preserve"> 钢板桩监测应贯穿整个钢板桩压桩、其他支护结构施工、钢板拔出等全过程。</w:t>
      </w:r>
    </w:p>
    <w:p w14:paraId="3B05775C">
      <w:r>
        <w:rPr>
          <w:rFonts w:hint="eastAsia"/>
        </w:rPr>
        <w:t>8.3.3  对于采用钢板桩作为永久性支护结构的，竣工后的监测时间不宜少于</w:t>
      </w:r>
      <w:r>
        <w:t>2</w:t>
      </w:r>
      <w:r>
        <w:rPr>
          <w:rFonts w:hint="eastAsia"/>
        </w:rPr>
        <w:t>年，后续监测工作可根据设计要求、支护结构稳定性、周边环境和施工进程等因素进行动态调整。</w:t>
      </w:r>
    </w:p>
    <w:p w14:paraId="5BC0E155">
      <w:r>
        <w:rPr>
          <w:rFonts w:hint="eastAsia"/>
        </w:rPr>
        <w:t>8.3.4  静压桩施工监测应包括钢板桩监测和周边环境监测。</w:t>
      </w:r>
    </w:p>
    <w:p w14:paraId="11915CB6">
      <w:r>
        <w:rPr>
          <w:rFonts w:hint="eastAsia"/>
        </w:rPr>
        <w:t>8.3.5  钢板桩监测应由设计方确定报警值，报警值应符合钢板桩以及周边环境中被保护对象的控制要求。</w:t>
      </w:r>
    </w:p>
    <w:p w14:paraId="109E7C00">
      <w:r>
        <w:rPr>
          <w:rFonts w:hint="eastAsia"/>
        </w:rPr>
        <w:t>8.3.6</w:t>
      </w:r>
      <w:r>
        <w:t xml:space="preserve"> </w:t>
      </w:r>
      <w:r>
        <w:rPr>
          <w:rFonts w:hint="eastAsia"/>
        </w:rPr>
        <w:t xml:space="preserve"> 报警值除考虑开挖等造成的变形外，尚应考虑钢板桩压桩、回收阶段产生的变形。</w:t>
      </w:r>
    </w:p>
    <w:p w14:paraId="2B07C339">
      <w:r>
        <w:rPr>
          <w:rFonts w:hint="eastAsia"/>
        </w:rPr>
        <w:t>8</w:t>
      </w:r>
      <w:r>
        <w:t>.</w:t>
      </w:r>
      <w:r>
        <w:rPr>
          <w:rFonts w:hint="eastAsia"/>
        </w:rPr>
        <w:t>3</w:t>
      </w:r>
      <w:r>
        <w:t>.</w:t>
      </w:r>
      <w:r>
        <w:rPr>
          <w:rFonts w:hint="eastAsia"/>
        </w:rPr>
        <w:t>7</w:t>
      </w:r>
      <w:r>
        <w:t xml:space="preserve"> </w:t>
      </w:r>
      <w:r>
        <w:rPr>
          <w:rFonts w:hint="eastAsia"/>
        </w:rPr>
        <w:t xml:space="preserve"> </w:t>
      </w:r>
      <w:r>
        <w:t>监测报警值</w:t>
      </w:r>
      <w:r>
        <w:rPr>
          <w:rFonts w:hint="eastAsia"/>
        </w:rPr>
        <w:t>宜</w:t>
      </w:r>
      <w:r>
        <w:t>符合下列规定</w:t>
      </w:r>
      <w:r>
        <w:rPr>
          <w:rFonts w:hint="eastAsia"/>
        </w:rPr>
        <w:t>：</w:t>
      </w:r>
    </w:p>
    <w:p w14:paraId="63D93686">
      <w:pPr>
        <w:ind w:firstLine="420" w:firstLineChars="200"/>
      </w:pPr>
      <w:r>
        <w:rPr>
          <w:rFonts w:hint="eastAsia"/>
        </w:rPr>
        <w:t xml:space="preserve">1 </w:t>
      </w:r>
      <w:r>
        <w:t>报警值可由累计变化量和变化速率确定</w:t>
      </w:r>
      <w:r>
        <w:rPr>
          <w:rFonts w:hint="eastAsia"/>
        </w:rPr>
        <w:t>；</w:t>
      </w:r>
    </w:p>
    <w:p w14:paraId="1F0DA433">
      <w:pPr>
        <w:ind w:firstLine="420" w:firstLineChars="200"/>
      </w:pPr>
      <w:r>
        <w:t>2 管线报警值可由总变形量、变形速率和单位长度内差异变形量等指标控制，其限值可根据管线要求确定</w:t>
      </w:r>
      <w:r>
        <w:rPr>
          <w:rFonts w:hint="eastAsia"/>
        </w:rPr>
        <w:t>；</w:t>
      </w:r>
    </w:p>
    <w:p w14:paraId="6960F31E">
      <w:pPr>
        <w:ind w:firstLine="420" w:firstLineChars="200"/>
      </w:pPr>
      <w:r>
        <w:t>3 周边建筑物报警值宜按有关规定，应以累计沉降量、沉降速率、差异沉降量并结合裂缝观测进行确定</w:t>
      </w:r>
      <w:r>
        <w:rPr>
          <w:rFonts w:hint="eastAsia"/>
        </w:rPr>
        <w:t>；</w:t>
      </w:r>
    </w:p>
    <w:p w14:paraId="475BC7C0">
      <w:pPr>
        <w:ind w:firstLine="420" w:firstLineChars="200"/>
      </w:pPr>
      <w:r>
        <w:t>4 地铁、原水管等重要市政设施、地下管线监测项目报警值应符合相关规定。</w:t>
      </w:r>
    </w:p>
    <w:p w14:paraId="270AE246">
      <w:r>
        <w:rPr>
          <w:rFonts w:hint="eastAsia"/>
        </w:rPr>
        <w:t>8.3.8  监测成果反映有安全隐患时，应及时对结构的施工或使用状况进行调整。</w:t>
      </w:r>
    </w:p>
    <w:p w14:paraId="679762E1">
      <w:r>
        <w:rPr>
          <w:rFonts w:hint="eastAsia"/>
        </w:rPr>
        <w:t>8.3.9  钢板桩的监测对象宜包含：</w:t>
      </w:r>
    </w:p>
    <w:p w14:paraId="35B94E92">
      <w:pPr>
        <w:ind w:firstLine="420" w:firstLineChars="200"/>
      </w:pPr>
      <w:r>
        <w:t>1</w:t>
      </w:r>
      <w:r>
        <w:rPr>
          <w:rFonts w:hint="eastAsia"/>
        </w:rPr>
        <w:t xml:space="preserve"> </w:t>
      </w:r>
      <w:r>
        <w:t>钢板桩</w:t>
      </w:r>
      <w:r>
        <w:rPr>
          <w:rFonts w:hint="eastAsia"/>
        </w:rPr>
        <w:t>；</w:t>
      </w:r>
    </w:p>
    <w:p w14:paraId="2108020B">
      <w:pPr>
        <w:ind w:firstLine="420" w:firstLineChars="200"/>
      </w:pPr>
      <w:r>
        <w:t>2</w:t>
      </w:r>
      <w:r>
        <w:rPr>
          <w:rFonts w:hint="eastAsia"/>
        </w:rPr>
        <w:t xml:space="preserve"> 锚杆或支撑</w:t>
      </w:r>
      <w:r>
        <w:t>结构</w:t>
      </w:r>
      <w:r>
        <w:rPr>
          <w:rFonts w:hint="eastAsia"/>
        </w:rPr>
        <w:t>；</w:t>
      </w:r>
    </w:p>
    <w:p w14:paraId="4B433304">
      <w:pPr>
        <w:ind w:firstLine="420" w:firstLineChars="200"/>
      </w:pPr>
      <w:r>
        <w:t>3</w:t>
      </w:r>
      <w:r>
        <w:rPr>
          <w:rFonts w:hint="eastAsia"/>
        </w:rPr>
        <w:t xml:space="preserve"> </w:t>
      </w:r>
      <w:r>
        <w:t>钢板桩前后土体</w:t>
      </w:r>
      <w:r>
        <w:rPr>
          <w:rFonts w:hint="eastAsia"/>
        </w:rPr>
        <w:t>；</w:t>
      </w:r>
    </w:p>
    <w:p w14:paraId="6C09042E">
      <w:pPr>
        <w:ind w:firstLine="420" w:firstLineChars="200"/>
      </w:pPr>
      <w:r>
        <w:t>4 地下水</w:t>
      </w:r>
      <w:r>
        <w:rPr>
          <w:rFonts w:hint="eastAsia"/>
        </w:rPr>
        <w:t>；</w:t>
      </w:r>
    </w:p>
    <w:p w14:paraId="30F24FD9">
      <w:pPr>
        <w:ind w:firstLine="420" w:firstLineChars="200"/>
      </w:pPr>
      <w:r>
        <w:t>5 周边建构筑物及管线</w:t>
      </w:r>
      <w:r>
        <w:rPr>
          <w:rFonts w:hint="eastAsia"/>
        </w:rPr>
        <w:t>。</w:t>
      </w:r>
    </w:p>
    <w:p w14:paraId="5AEE0A7A">
      <w:r>
        <w:rPr>
          <w:rFonts w:hint="eastAsia"/>
        </w:rPr>
        <w:t>8.3.10</w:t>
      </w:r>
      <w:r>
        <w:t xml:space="preserve"> </w:t>
      </w:r>
      <w:r>
        <w:rPr>
          <w:rFonts w:hint="eastAsia"/>
        </w:rPr>
        <w:t xml:space="preserve"> 钢板桩监测中巡视检查的项目宜包含：</w:t>
      </w:r>
    </w:p>
    <w:p w14:paraId="7914D191">
      <w:pPr>
        <w:ind w:firstLine="420" w:firstLineChars="200"/>
      </w:pPr>
      <w:r>
        <w:rPr>
          <w:rFonts w:hint="eastAsia"/>
        </w:rPr>
        <w:t>1 钢板桩施打成排质量；</w:t>
      </w:r>
    </w:p>
    <w:p w14:paraId="2EB8B36B">
      <w:pPr>
        <w:ind w:firstLine="420" w:firstLineChars="200"/>
      </w:pPr>
      <w:r>
        <w:rPr>
          <w:rFonts w:hint="eastAsia"/>
        </w:rPr>
        <w:t>2 钢板桩止水有无开裂、渗漏；</w:t>
      </w:r>
    </w:p>
    <w:p w14:paraId="7EC7E091">
      <w:pPr>
        <w:ind w:firstLine="420" w:firstLineChars="200"/>
      </w:pPr>
      <w:r>
        <w:rPr>
          <w:rFonts w:hint="eastAsia"/>
        </w:rPr>
        <w:t>3</w:t>
      </w:r>
      <w:r>
        <w:t xml:space="preserve"> </w:t>
      </w:r>
      <w:r>
        <w:rPr>
          <w:rFonts w:hint="eastAsia"/>
        </w:rPr>
        <w:t>板桩后土体有无裂缝、沉降及滑移；</w:t>
      </w:r>
    </w:p>
    <w:p w14:paraId="54FF0C91">
      <w:pPr>
        <w:ind w:firstLine="420" w:firstLineChars="200"/>
      </w:pPr>
      <w:r>
        <w:rPr>
          <w:rFonts w:hint="eastAsia"/>
        </w:rPr>
        <w:t>4</w:t>
      </w:r>
      <w:r>
        <w:t xml:space="preserve"> </w:t>
      </w:r>
      <w:r>
        <w:rPr>
          <w:rFonts w:hint="eastAsia"/>
        </w:rPr>
        <w:t>板桩前土体开挖有无管涌、流沙；</w:t>
      </w:r>
    </w:p>
    <w:p w14:paraId="5791F41C">
      <w:pPr>
        <w:ind w:firstLine="420" w:firstLineChars="200"/>
      </w:pPr>
      <w:r>
        <w:rPr>
          <w:rFonts w:hint="eastAsia"/>
        </w:rPr>
        <w:t>5</w:t>
      </w:r>
      <w:r>
        <w:t xml:space="preserve"> </w:t>
      </w:r>
      <w:r>
        <w:rPr>
          <w:rFonts w:hint="eastAsia"/>
        </w:rPr>
        <w:t>地表水、地下水排放情况正常与否；</w:t>
      </w:r>
    </w:p>
    <w:p w14:paraId="154EC36C">
      <w:pPr>
        <w:ind w:firstLine="420" w:firstLineChars="200"/>
      </w:pPr>
      <w:r>
        <w:rPr>
          <w:rFonts w:hint="eastAsia"/>
        </w:rPr>
        <w:t>6</w:t>
      </w:r>
      <w:r>
        <w:t xml:space="preserve"> </w:t>
      </w:r>
      <w:r>
        <w:rPr>
          <w:rFonts w:hint="eastAsia"/>
        </w:rPr>
        <w:t>周边建（构）筑物有无裂缝；</w:t>
      </w:r>
    </w:p>
    <w:p w14:paraId="09ABB345">
      <w:pPr>
        <w:ind w:firstLine="420" w:firstLineChars="200"/>
      </w:pPr>
      <w:r>
        <w:rPr>
          <w:rFonts w:hint="eastAsia"/>
        </w:rPr>
        <w:t>7</w:t>
      </w:r>
      <w:r>
        <w:t xml:space="preserve"> </w:t>
      </w:r>
      <w:r>
        <w:rPr>
          <w:rFonts w:hint="eastAsia"/>
        </w:rPr>
        <w:t>周边道路有无裂缝、沉陷；</w:t>
      </w:r>
    </w:p>
    <w:p w14:paraId="1B0917EA">
      <w:pPr>
        <w:ind w:firstLine="420" w:firstLineChars="200"/>
      </w:pPr>
      <w:r>
        <w:rPr>
          <w:rFonts w:hint="eastAsia"/>
        </w:rPr>
        <w:t>8</w:t>
      </w:r>
      <w:r>
        <w:t xml:space="preserve"> </w:t>
      </w:r>
      <w:r>
        <w:rPr>
          <w:rFonts w:hint="eastAsia"/>
        </w:rPr>
        <w:t>周边管道有无破损、泄漏；</w:t>
      </w:r>
    </w:p>
    <w:p w14:paraId="46E7282D">
      <w:pPr>
        <w:ind w:firstLine="420" w:firstLineChars="200"/>
      </w:pPr>
      <w:r>
        <w:rPr>
          <w:rFonts w:hint="eastAsia"/>
        </w:rPr>
        <w:t>9 基准点、监测点完好；</w:t>
      </w:r>
    </w:p>
    <w:p w14:paraId="2CFD1AB8">
      <w:pPr>
        <w:ind w:firstLine="420" w:firstLineChars="200"/>
      </w:pPr>
      <w:r>
        <w:rPr>
          <w:rFonts w:hint="eastAsia"/>
        </w:rPr>
        <w:t>10 监测元件完好及保护情况；</w:t>
      </w:r>
    </w:p>
    <w:p w14:paraId="04F6CC8E">
      <w:pPr>
        <w:ind w:firstLine="420" w:firstLineChars="200"/>
      </w:pPr>
      <w:r>
        <w:rPr>
          <w:rFonts w:hint="eastAsia"/>
        </w:rPr>
        <w:t>11 设计要求或者当地经验确定的其他巡视检查内容。</w:t>
      </w:r>
    </w:p>
    <w:p w14:paraId="0B12108C">
      <w:r>
        <w:rPr>
          <w:rFonts w:hint="eastAsia"/>
        </w:rPr>
        <w:t>8.3.11  钢板桩监测中仪器监测的项目宜包含：</w:t>
      </w:r>
    </w:p>
    <w:p w14:paraId="4F117DBC">
      <w:pPr>
        <w:ind w:firstLine="420" w:firstLineChars="200"/>
      </w:pPr>
      <w:r>
        <w:rPr>
          <w:rFonts w:hint="eastAsia"/>
        </w:rPr>
        <w:t>1 钢板桩顶部水平位移；</w:t>
      </w:r>
    </w:p>
    <w:p w14:paraId="6D117BF2">
      <w:pPr>
        <w:ind w:firstLine="420" w:firstLineChars="200"/>
      </w:pPr>
      <w:r>
        <w:rPr>
          <w:rFonts w:hint="eastAsia"/>
        </w:rPr>
        <w:t>2 钢板桩顶部竖向位移；</w:t>
      </w:r>
    </w:p>
    <w:p w14:paraId="52CCED45">
      <w:pPr>
        <w:ind w:firstLine="420" w:firstLineChars="200"/>
      </w:pPr>
      <w:r>
        <w:rPr>
          <w:rFonts w:hint="eastAsia"/>
        </w:rPr>
        <w:t>3 钢板桩深层水平位移；</w:t>
      </w:r>
    </w:p>
    <w:p w14:paraId="1AB761BC">
      <w:pPr>
        <w:ind w:firstLine="420" w:firstLineChars="200"/>
      </w:pPr>
      <w:r>
        <w:rPr>
          <w:rFonts w:hint="eastAsia"/>
        </w:rPr>
        <w:t>4 钢板桩应力；</w:t>
      </w:r>
    </w:p>
    <w:p w14:paraId="082D31D5">
      <w:pPr>
        <w:ind w:firstLine="420" w:firstLineChars="200"/>
      </w:pPr>
      <w:r>
        <w:rPr>
          <w:rFonts w:hint="eastAsia"/>
        </w:rPr>
        <w:t>5 钢板桩前后土压力；</w:t>
      </w:r>
    </w:p>
    <w:p w14:paraId="48DD6543">
      <w:pPr>
        <w:ind w:firstLine="420" w:firstLineChars="200"/>
      </w:pPr>
      <w:r>
        <w:rPr>
          <w:rFonts w:hint="eastAsia"/>
        </w:rPr>
        <w:t>6 钢板桩后土体深层沉降；</w:t>
      </w:r>
    </w:p>
    <w:p w14:paraId="70828D9C">
      <w:pPr>
        <w:ind w:firstLine="420" w:firstLineChars="200"/>
      </w:pPr>
      <w:r>
        <w:rPr>
          <w:rFonts w:hint="eastAsia"/>
        </w:rPr>
        <w:t>7 钢板桩前后地下水水位；</w:t>
      </w:r>
    </w:p>
    <w:p w14:paraId="5B7F8471">
      <w:pPr>
        <w:ind w:firstLine="420" w:firstLineChars="200"/>
      </w:pPr>
      <w:r>
        <w:rPr>
          <w:rFonts w:hint="eastAsia"/>
        </w:rPr>
        <w:t>8 锚碇结构顶部水平、竖向位移及深层水平位移；</w:t>
      </w:r>
    </w:p>
    <w:p w14:paraId="4608DD1C">
      <w:pPr>
        <w:ind w:firstLine="420" w:firstLineChars="200"/>
      </w:pPr>
      <w:r>
        <w:rPr>
          <w:rFonts w:hint="eastAsia"/>
        </w:rPr>
        <w:t>9 锚杆应力或支撑轴力；</w:t>
      </w:r>
    </w:p>
    <w:p w14:paraId="5D1750E3">
      <w:pPr>
        <w:ind w:firstLine="420" w:firstLineChars="200"/>
      </w:pPr>
      <w:r>
        <w:rPr>
          <w:rFonts w:hint="eastAsia"/>
        </w:rPr>
        <w:t>10 水下边坡稳定；</w:t>
      </w:r>
    </w:p>
    <w:p w14:paraId="62870CDF">
      <w:pPr>
        <w:ind w:firstLine="420" w:firstLineChars="200"/>
      </w:pPr>
      <w:r>
        <w:rPr>
          <w:rFonts w:hint="eastAsia"/>
        </w:rPr>
        <w:t>11 其他应监测的内容，如：孔隙水压力、坑底隆起（回弹）等。</w:t>
      </w:r>
    </w:p>
    <w:p w14:paraId="7205C33D">
      <w:r>
        <w:rPr>
          <w:rFonts w:hint="eastAsia"/>
        </w:rPr>
        <w:t>8.3.12</w:t>
      </w:r>
      <w:r>
        <w:t xml:space="preserve"> </w:t>
      </w:r>
      <w:r>
        <w:rPr>
          <w:rFonts w:hint="eastAsia"/>
        </w:rPr>
        <w:t xml:space="preserve"> 监测点的布置应能反映监测对象的实际状态及其变化趋势，监测点应布置在内力、变形的关键特征点上，并能满足监控要求。</w:t>
      </w:r>
    </w:p>
    <w:p w14:paraId="62200181">
      <w:r>
        <w:rPr>
          <w:rFonts w:hint="eastAsia"/>
        </w:rPr>
        <w:t>8.3.13  钢板桩支护结构顶部的水平和竖向位移监测点应沿支护结构周边布置，周边中部、阳角处应布置监测点。监测点水平间距不宜大于</w:t>
      </w:r>
      <w:r>
        <w:t>15m</w:t>
      </w:r>
      <w:r>
        <w:rPr>
          <w:rFonts w:hint="eastAsia"/>
        </w:rPr>
        <w:t>，每边监测点数目不宜少于</w:t>
      </w:r>
      <w:r>
        <w:t>3</w:t>
      </w:r>
      <w:r>
        <w:rPr>
          <w:rFonts w:hint="eastAsia"/>
        </w:rPr>
        <w:t>个。水平和竖向位移监测点宜为共用点，监测点宜设置在钢板桩顶。</w:t>
      </w:r>
    </w:p>
    <w:p w14:paraId="00E6A5EE">
      <w:r>
        <w:rPr>
          <w:rFonts w:hint="eastAsia"/>
        </w:rPr>
        <w:t>8.3.14  钢板桩支护结构深层水平位移监测点宜布置在支护结构周边的中部、阳角处及有代表性的部位。监测点水平间距宜为</w:t>
      </w:r>
      <w:r>
        <w:t>15m</w:t>
      </w:r>
      <w:r>
        <w:rPr>
          <w:rFonts w:hint="eastAsia"/>
        </w:rPr>
        <w:t>~</w:t>
      </w:r>
      <w:r>
        <w:t>20m</w:t>
      </w:r>
      <w:r>
        <w:rPr>
          <w:rFonts w:hint="eastAsia"/>
        </w:rPr>
        <w:t>，每边监测点数目不应少于</w:t>
      </w:r>
      <w:r>
        <w:t>2</w:t>
      </w:r>
      <w:r>
        <w:rPr>
          <w:rFonts w:hint="eastAsia"/>
        </w:rPr>
        <w:t>个。用测斜仪观测深层水平位移时，测斜管埋设位置距离钢板桩不应大于1.0</w:t>
      </w:r>
      <w:r>
        <w:t>m</w:t>
      </w:r>
      <w:r>
        <w:rPr>
          <w:rFonts w:hint="eastAsia"/>
        </w:rPr>
        <w:t>，斜管长度不宜小于支护结构开挖深度的1.5倍，并不应小于钢板桩的深度。以测斜管底为固定起算点时，管底应嵌入到稳定的土体中。</w:t>
      </w:r>
    </w:p>
    <w:p w14:paraId="2B785CCD">
      <w:r>
        <w:rPr>
          <w:rFonts w:hint="eastAsia"/>
        </w:rPr>
        <w:t>8.3.15  钢板桩内力监测断面的平面位置应布置在受力、变形较大且有代表性的部位。监测点数量和水平间距应视具体情况而定。</w:t>
      </w:r>
    </w:p>
    <w:p w14:paraId="438CE6EF">
      <w:r>
        <w:rPr>
          <w:rFonts w:hint="eastAsia"/>
        </w:rPr>
        <w:t>8.3.16  监测方法及精度要求应符合设计要求，并应符合现行国家标准</w:t>
      </w:r>
      <w:r>
        <w:t>《建筑基坑工程监测技术规范》GB50497和</w:t>
      </w:r>
      <w:r>
        <w:rPr>
          <w:rFonts w:hint="eastAsia"/>
        </w:rPr>
        <w:t>广西壮族自治区地方标准</w:t>
      </w:r>
      <w:r>
        <w:t>《</w:t>
      </w:r>
      <w:r>
        <w:rPr>
          <w:rFonts w:hint="eastAsia"/>
        </w:rPr>
        <w:t>建筑基坑工程监测技术规程</w:t>
      </w:r>
      <w:r>
        <w:t>》D</w:t>
      </w:r>
      <w:r>
        <w:rPr>
          <w:rFonts w:hint="eastAsia"/>
        </w:rPr>
        <w:t>BJ/T45-011</w:t>
      </w:r>
      <w:r>
        <w:t>的</w:t>
      </w:r>
      <w:r>
        <w:rPr>
          <w:rFonts w:hint="eastAsia"/>
        </w:rPr>
        <w:t>相关规定。</w:t>
      </w:r>
    </w:p>
    <w:p w14:paraId="0F844897">
      <w:r>
        <w:rPr>
          <w:rFonts w:hint="eastAsia"/>
        </w:rPr>
        <w:t>8.3.17</w:t>
      </w:r>
      <w:r>
        <w:t xml:space="preserve"> </w:t>
      </w:r>
      <w:r>
        <w:rPr>
          <w:rFonts w:hint="eastAsia"/>
        </w:rPr>
        <w:t xml:space="preserve"> 压桩期间宜每天监测一次，达到报警值或监测对象位移速率超过2mm/d时，监测频率应加至每6~12h一次。</w:t>
      </w:r>
    </w:p>
    <w:p w14:paraId="60E177E9">
      <w:r>
        <w:rPr>
          <w:rFonts w:hint="eastAsia"/>
        </w:rPr>
        <w:t>8</w:t>
      </w:r>
      <w:r>
        <w:t>.3.</w:t>
      </w:r>
      <w:r>
        <w:rPr>
          <w:rFonts w:hint="eastAsia"/>
        </w:rPr>
        <w:t>18</w:t>
      </w:r>
      <w:r>
        <w:t xml:space="preserve"> </w:t>
      </w:r>
      <w:r>
        <w:rPr>
          <w:rFonts w:hint="eastAsia"/>
        </w:rPr>
        <w:t xml:space="preserve"> </w:t>
      </w:r>
      <w:r>
        <w:t>当监测数据表明周边环境或</w:t>
      </w:r>
      <w:r>
        <w:rPr>
          <w:rFonts w:hint="eastAsia"/>
        </w:rPr>
        <w:t>钢板桩</w:t>
      </w:r>
      <w:r>
        <w:t>位移达到报警值时应立即停止压桩，会同各方分析原因，调整压桩顺序和压桩速率，并采取环境保护措施</w:t>
      </w:r>
      <w:r>
        <w:rPr>
          <w:rFonts w:hint="eastAsia"/>
        </w:rPr>
        <w:t>。</w:t>
      </w:r>
    </w:p>
    <w:p w14:paraId="44C2022E">
      <w:r>
        <w:rPr>
          <w:rFonts w:hint="eastAsia"/>
        </w:rPr>
        <w:t>8.3.19</w:t>
      </w:r>
      <w:r>
        <w:t xml:space="preserve">  </w:t>
      </w:r>
      <w:r>
        <w:rPr>
          <w:rFonts w:hint="eastAsia"/>
        </w:rPr>
        <w:t>支撑轴力、锚杆轴力、地下水等监测的监测要求，并应符合现行国家标准</w:t>
      </w:r>
      <w:r>
        <w:t>《建筑基坑工程监测技术规范》GB50497和</w:t>
      </w:r>
      <w:r>
        <w:rPr>
          <w:rFonts w:hint="eastAsia"/>
        </w:rPr>
        <w:t>广西壮族自治区地方标准</w:t>
      </w:r>
      <w:r>
        <w:t>《</w:t>
      </w:r>
      <w:r>
        <w:rPr>
          <w:rFonts w:hint="eastAsia"/>
        </w:rPr>
        <w:t>建筑基坑工程监测技术规程</w:t>
      </w:r>
      <w:r>
        <w:t>》D</w:t>
      </w:r>
      <w:r>
        <w:rPr>
          <w:rFonts w:hint="eastAsia"/>
        </w:rPr>
        <w:t>BJ/T45-011</w:t>
      </w:r>
      <w:r>
        <w:t>的</w:t>
      </w:r>
      <w:r>
        <w:rPr>
          <w:rFonts w:hint="eastAsia"/>
        </w:rPr>
        <w:t>相关规定。</w:t>
      </w:r>
    </w:p>
    <w:p w14:paraId="61DA8510">
      <w:r>
        <w:rPr>
          <w:rFonts w:hint="eastAsia"/>
        </w:rPr>
        <w:t>8.3.20  监测技术成果应包括当日报表、阶段性报告和总结性报告。技术成果提供的内容应真实、准确、完整，并宜用文字表述与绘制变化曲线或图形相结合的形式表达。技术成果应及时报送。</w:t>
      </w:r>
    </w:p>
    <w:p w14:paraId="172F954D">
      <w:pPr>
        <w:ind w:firstLine="420" w:firstLineChars="200"/>
      </w:pPr>
    </w:p>
    <w:p w14:paraId="177F6053">
      <w:r>
        <w:rPr>
          <w:rFonts w:hint="eastAsia"/>
        </w:rPr>
        <w:br w:type="page"/>
      </w:r>
    </w:p>
    <w:p w14:paraId="0C9F1038">
      <w:pPr>
        <w:pStyle w:val="2"/>
      </w:pPr>
      <w:r>
        <w:rPr>
          <w:rFonts w:hint="eastAsia"/>
        </w:rPr>
        <w:t>附录A  水平地基反力系数</w:t>
      </w:r>
    </w:p>
    <w:p w14:paraId="4D3DF36F">
      <w:pPr>
        <w:spacing w:line="360" w:lineRule="auto"/>
      </w:pPr>
      <w:r>
        <w:rPr>
          <w:rFonts w:hint="eastAsia" w:ascii="黑体" w:hAnsi="黑体" w:eastAsia="黑体"/>
        </w:rPr>
        <w:t>A</w:t>
      </w:r>
      <w:r>
        <w:rPr>
          <w:rFonts w:ascii="黑体" w:hAnsi="黑体" w:eastAsia="黑体"/>
        </w:rPr>
        <w:t>.0.</w:t>
      </w:r>
      <w:r>
        <w:rPr>
          <w:rFonts w:hint="eastAsia" w:ascii="黑体" w:hAnsi="黑体" w:eastAsia="黑体"/>
        </w:rPr>
        <w:t>1</w:t>
      </w:r>
      <w:r>
        <w:rPr>
          <w:rFonts w:hint="eastAsia"/>
          <w:kern w:val="0"/>
        </w:rPr>
        <w:t xml:space="preserve"> </w:t>
      </w:r>
      <w:r>
        <w:rPr>
          <w:rFonts w:hint="eastAsia"/>
        </w:rPr>
        <w:t xml:space="preserve"> m法的水平地基反力系数应按下式确定：</w:t>
      </w:r>
    </w:p>
    <w:p w14:paraId="5CB0C0EA">
      <w:pPr>
        <w:spacing w:line="360" w:lineRule="auto"/>
      </w:pPr>
      <w:r>
        <w:rPr>
          <w:rFonts w:hint="eastAsia"/>
        </w:rPr>
        <w:t xml:space="preserve">                          </w:t>
      </w:r>
      <w:r>
        <w:t xml:space="preserve"> </w:t>
      </w:r>
      <w:r>
        <w:rPr>
          <w:rFonts w:hint="eastAsia"/>
        </w:rPr>
        <w:t xml:space="preserve">  </w:t>
      </w:r>
      <w:r>
        <w:t xml:space="preserve">    </w:t>
      </w:r>
      <w:r>
        <w:rPr>
          <w:rFonts w:hint="eastAsia"/>
        </w:rPr>
        <w:t xml:space="preserve">  K</w:t>
      </w:r>
      <w:r>
        <w:rPr>
          <w:rFonts w:hint="eastAsia"/>
          <w:vertAlign w:val="subscript"/>
        </w:rPr>
        <w:t>1</w:t>
      </w:r>
      <w:r>
        <w:rPr>
          <w:rFonts w:hint="eastAsia"/>
        </w:rPr>
        <w:t>=mZ                         （A.</w:t>
      </w:r>
      <w:r>
        <w:rPr>
          <w:kern w:val="0"/>
        </w:rPr>
        <w:t>0.</w:t>
      </w:r>
      <w:r>
        <w:rPr>
          <w:rFonts w:hint="eastAsia"/>
          <w:kern w:val="0"/>
        </w:rPr>
        <w:t>1</w:t>
      </w:r>
      <w:r>
        <w:rPr>
          <w:rFonts w:hint="eastAsia"/>
        </w:rPr>
        <w:t>）</w:t>
      </w:r>
    </w:p>
    <w:p w14:paraId="03E5B7D0">
      <w:pPr>
        <w:spacing w:line="360" w:lineRule="auto"/>
      </w:pPr>
      <w:r>
        <w:rPr>
          <w:rFonts w:hint="eastAsia"/>
        </w:rPr>
        <w:t xml:space="preserve">式中  </w:t>
      </w:r>
      <w:r>
        <w:rPr>
          <w:rFonts w:hint="eastAsia"/>
          <w:color w:val="C0504D" w:themeColor="accent2"/>
          <w14:textFill>
            <w14:solidFill>
              <w14:schemeClr w14:val="accent2"/>
            </w14:solidFill>
          </w14:textFill>
        </w:rPr>
        <w:t xml:space="preserve"> </w:t>
      </w:r>
      <w:r>
        <w:rPr>
          <w:rFonts w:hint="eastAsia"/>
        </w:rPr>
        <w:t>K</w:t>
      </w:r>
      <w:r>
        <w:rPr>
          <w:rFonts w:hint="eastAsia"/>
          <w:vertAlign w:val="subscript"/>
        </w:rPr>
        <w:t>1</w:t>
      </w:r>
      <w:r>
        <w:rPr>
          <w:rFonts w:hint="eastAsia"/>
        </w:rPr>
        <w:t>——水平地基反力系数（</w:t>
      </w:r>
      <w:r>
        <w:rPr>
          <w:position w:val="-6"/>
        </w:rPr>
        <w:drawing>
          <wp:inline distT="0" distB="0" distL="114300" distR="114300">
            <wp:extent cx="444500" cy="203200"/>
            <wp:effectExtent l="0" t="0" r="0" b="10795"/>
            <wp:docPr id="9"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3"/>
                    <pic:cNvPicPr>
                      <a:picLocks noChangeAspect="1"/>
                    </pic:cNvPicPr>
                  </pic:nvPicPr>
                  <pic:blipFill>
                    <a:blip r:embed="rId90"/>
                    <a:stretch>
                      <a:fillRect/>
                    </a:stretch>
                  </pic:blipFill>
                  <pic:spPr>
                    <a:xfrm>
                      <a:off x="0" y="0"/>
                      <a:ext cx="444500" cy="203200"/>
                    </a:xfrm>
                    <a:prstGeom prst="rect">
                      <a:avLst/>
                    </a:prstGeom>
                    <a:noFill/>
                    <a:ln>
                      <a:noFill/>
                    </a:ln>
                  </pic:spPr>
                </pic:pic>
              </a:graphicData>
            </a:graphic>
          </wp:inline>
        </w:drawing>
      </w:r>
      <w:r>
        <w:rPr>
          <w:rFonts w:hint="eastAsia"/>
        </w:rPr>
        <w:t>）；</w:t>
      </w:r>
    </w:p>
    <w:p w14:paraId="1EC96222">
      <w:pPr>
        <w:spacing w:line="360" w:lineRule="auto"/>
      </w:pPr>
      <w:r>
        <w:rPr>
          <w:rFonts w:hint="eastAsia"/>
        </w:rPr>
        <w:t xml:space="preserve">       m——水平地基反力系数随深度增大的比例系数（</w:t>
      </w:r>
      <w:r>
        <w:rPr>
          <w:position w:val="-6"/>
        </w:rPr>
        <w:drawing>
          <wp:inline distT="0" distB="0" distL="114300" distR="114300">
            <wp:extent cx="444500" cy="203200"/>
            <wp:effectExtent l="0" t="0" r="12700" b="11430"/>
            <wp:docPr id="10"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4"/>
                    <pic:cNvPicPr>
                      <a:picLocks noChangeAspect="1"/>
                    </pic:cNvPicPr>
                  </pic:nvPicPr>
                  <pic:blipFill>
                    <a:blip r:embed="rId91"/>
                    <a:stretch>
                      <a:fillRect/>
                    </a:stretch>
                  </pic:blipFill>
                  <pic:spPr>
                    <a:xfrm>
                      <a:off x="0" y="0"/>
                      <a:ext cx="444500" cy="203200"/>
                    </a:xfrm>
                    <a:prstGeom prst="rect">
                      <a:avLst/>
                    </a:prstGeom>
                    <a:noFill/>
                    <a:ln>
                      <a:noFill/>
                    </a:ln>
                  </pic:spPr>
                </pic:pic>
              </a:graphicData>
            </a:graphic>
          </wp:inline>
        </w:drawing>
      </w:r>
      <w:r>
        <w:rPr>
          <w:rFonts w:hint="eastAsia"/>
        </w:rPr>
        <w:t>）；</w:t>
      </w:r>
    </w:p>
    <w:p w14:paraId="2EC67557">
      <w:pPr>
        <w:spacing w:line="360" w:lineRule="auto"/>
      </w:pPr>
      <w:r>
        <w:rPr>
          <w:rFonts w:hint="eastAsia"/>
        </w:rPr>
        <w:t xml:space="preserve">       Z——计算点距计算水底的深度（m）。</w:t>
      </w:r>
    </w:p>
    <w:p w14:paraId="0E904CEC">
      <w:pPr>
        <w:spacing w:line="360" w:lineRule="auto"/>
      </w:pPr>
      <w:r>
        <w:rPr>
          <w:rFonts w:hint="eastAsia" w:ascii="黑体" w:hAnsi="黑体" w:eastAsia="黑体"/>
          <w:kern w:val="0"/>
        </w:rPr>
        <w:t>A</w:t>
      </w:r>
      <w:r>
        <w:rPr>
          <w:rFonts w:ascii="黑体" w:hAnsi="黑体" w:eastAsia="黑体"/>
          <w:kern w:val="0"/>
        </w:rPr>
        <w:t>.0.</w:t>
      </w:r>
      <w:r>
        <w:rPr>
          <w:rFonts w:hint="eastAsia" w:ascii="黑体" w:hAnsi="黑体" w:eastAsia="黑体"/>
          <w:kern w:val="0"/>
        </w:rPr>
        <w:t>2</w:t>
      </w:r>
      <w:r>
        <w:rPr>
          <w:rFonts w:hint="eastAsia"/>
        </w:rPr>
        <w:t xml:space="preserve">  m值可通过水平荷载试验确定，当无试验资料时，可按表A.0.2选用。</w:t>
      </w:r>
    </w:p>
    <w:p w14:paraId="50E3A3B2">
      <w:pPr>
        <w:spacing w:line="360" w:lineRule="auto"/>
        <w:jc w:val="center"/>
        <w:rPr>
          <w:rFonts w:ascii="黑体" w:hAnsi="黑体" w:eastAsia="黑体"/>
        </w:rPr>
      </w:pPr>
      <w:r>
        <w:rPr>
          <w:rFonts w:hint="eastAsia" w:ascii="黑体" w:hAnsi="黑体" w:eastAsia="黑体"/>
        </w:rPr>
        <w:t>表</w:t>
      </w:r>
      <w:r>
        <w:rPr>
          <w:rFonts w:hint="eastAsia" w:ascii="黑体" w:hAnsi="黑体" w:eastAsia="黑体"/>
          <w:kern w:val="0"/>
        </w:rPr>
        <w:t>A</w:t>
      </w:r>
      <w:r>
        <w:rPr>
          <w:rFonts w:ascii="黑体" w:hAnsi="黑体" w:eastAsia="黑体"/>
          <w:kern w:val="0"/>
        </w:rPr>
        <w:t>.0.2</w:t>
      </w:r>
      <w:r>
        <w:rPr>
          <w:rFonts w:hint="eastAsia" w:ascii="黑体" w:hAnsi="黑体" w:eastAsia="黑体"/>
          <w:kern w:val="0"/>
        </w:rPr>
        <w:t xml:space="preserve"> </w:t>
      </w:r>
      <w:r>
        <w:rPr>
          <w:rFonts w:hint="eastAsia" w:ascii="黑体" w:hAnsi="黑体" w:eastAsia="黑体"/>
        </w:rPr>
        <w:t xml:space="preserve"> </w:t>
      </w:r>
      <w:r>
        <w:rPr>
          <w:rFonts w:ascii="黑体" w:hAnsi="黑体" w:eastAsia="黑体"/>
        </w:rPr>
        <w:t>m</w:t>
      </w:r>
      <w:r>
        <w:rPr>
          <w:rFonts w:hint="eastAsia" w:ascii="黑体" w:hAnsi="黑体" w:eastAsia="黑体"/>
        </w:rPr>
        <w:t>值</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3"/>
        <w:gridCol w:w="4956"/>
      </w:tblGrid>
      <w:tr w14:paraId="7298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3" w:type="dxa"/>
            <w:vAlign w:val="center"/>
          </w:tcPr>
          <w:p w14:paraId="480BB2B7">
            <w:pPr>
              <w:jc w:val="center"/>
            </w:pPr>
            <w:r>
              <w:rPr>
                <w:rFonts w:hint="eastAsia"/>
              </w:rPr>
              <w:t>地基土质情况</w:t>
            </w:r>
          </w:p>
        </w:tc>
        <w:tc>
          <w:tcPr>
            <w:tcW w:w="4956" w:type="dxa"/>
            <w:vAlign w:val="center"/>
          </w:tcPr>
          <w:p w14:paraId="03D3E229">
            <w:pPr>
              <w:jc w:val="center"/>
            </w:pPr>
            <w:r>
              <w:rPr>
                <w:rFonts w:hint="eastAsia"/>
              </w:rPr>
              <w:t>m值（</w:t>
            </w:r>
            <w:r>
              <w:rPr>
                <w:position w:val="-6"/>
              </w:rPr>
              <w:drawing>
                <wp:inline distT="0" distB="0" distL="114300" distR="114300">
                  <wp:extent cx="444500" cy="203200"/>
                  <wp:effectExtent l="0" t="0" r="12700" b="11430"/>
                  <wp:docPr id="1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5"/>
                          <pic:cNvPicPr>
                            <a:picLocks noChangeAspect="1"/>
                          </pic:cNvPicPr>
                        </pic:nvPicPr>
                        <pic:blipFill>
                          <a:blip r:embed="rId91"/>
                          <a:stretch>
                            <a:fillRect/>
                          </a:stretch>
                        </pic:blipFill>
                        <pic:spPr>
                          <a:xfrm>
                            <a:off x="0" y="0"/>
                            <a:ext cx="444500" cy="203200"/>
                          </a:xfrm>
                          <a:prstGeom prst="rect">
                            <a:avLst/>
                          </a:prstGeom>
                          <a:noFill/>
                          <a:ln>
                            <a:noFill/>
                          </a:ln>
                        </pic:spPr>
                      </pic:pic>
                    </a:graphicData>
                  </a:graphic>
                </wp:inline>
              </w:drawing>
            </w:r>
            <w:r>
              <w:rPr>
                <w:rFonts w:hint="eastAsia"/>
              </w:rPr>
              <w:t>）</w:t>
            </w:r>
          </w:p>
        </w:tc>
      </w:tr>
      <w:tr w14:paraId="048D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3" w:type="dxa"/>
            <w:vAlign w:val="center"/>
          </w:tcPr>
          <w:p w14:paraId="4CDA99EC">
            <w:pPr>
              <w:jc w:val="center"/>
            </w:pPr>
            <w:r>
              <w:rPr>
                <w:position w:val="-12"/>
              </w:rPr>
              <w:object>
                <v:shape id="_x0000_i1056" o:spt="75" type="#_x0000_t75" style="height:18pt;width:13.3pt;" o:ole="t" filled="f" o:preferrelative="t" stroked="f" coordsize="21600,21600">
                  <v:path/>
                  <v:fill on="f" focussize="0,0"/>
                  <v:stroke on="f" joinstyle="miter"/>
                  <v:imagedata r:id="rId93" o:title=""/>
                  <o:lock v:ext="edit" aspectratio="t"/>
                  <w10:wrap type="none"/>
                  <w10:anchorlock/>
                </v:shape>
                <o:OLEObject Type="Embed" ProgID="Equation.DSMT4" ShapeID="_x0000_i1056" DrawAspect="Content" ObjectID="_1468075756" r:id="rId92">
                  <o:LockedField>false</o:LockedField>
                </o:OLEObject>
              </w:object>
            </w:r>
            <w:r>
              <w:rPr>
                <w:rFonts w:hint="eastAsia"/>
              </w:rPr>
              <w:t>≥1的黏性土，淤泥</w:t>
            </w:r>
          </w:p>
        </w:tc>
        <w:tc>
          <w:tcPr>
            <w:tcW w:w="4956" w:type="dxa"/>
            <w:vAlign w:val="center"/>
          </w:tcPr>
          <w:p w14:paraId="794FC6E0">
            <w:pPr>
              <w:jc w:val="center"/>
            </w:pPr>
            <w:r>
              <w:rPr>
                <w:rFonts w:hint="eastAsia"/>
              </w:rPr>
              <w:t>1000~2000</w:t>
            </w:r>
          </w:p>
        </w:tc>
      </w:tr>
      <w:tr w14:paraId="4E7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3" w:type="dxa"/>
            <w:vAlign w:val="center"/>
          </w:tcPr>
          <w:p w14:paraId="434A43C0">
            <w:pPr>
              <w:jc w:val="center"/>
            </w:pPr>
            <w:r>
              <w:rPr>
                <w:rFonts w:hint="eastAsia"/>
              </w:rPr>
              <w:t>1＞</w:t>
            </w:r>
            <w:r>
              <w:rPr>
                <w:position w:val="-12"/>
              </w:rPr>
              <w:object>
                <v:shape id="_x0000_i1057" o:spt="75" type="#_x0000_t75" style="height:18pt;width:13.3pt;" o:ole="t" filled="f" o:preferrelative="t" stroked="f" coordsize="21600,21600">
                  <v:path/>
                  <v:fill on="f" focussize="0,0"/>
                  <v:stroke on="f" joinstyle="miter"/>
                  <v:imagedata r:id="rId95" o:title=""/>
                  <o:lock v:ext="edit" aspectratio="t"/>
                  <w10:wrap type="none"/>
                  <w10:anchorlock/>
                </v:shape>
                <o:OLEObject Type="Embed" ProgID="Equation.DSMT4" ShapeID="_x0000_i1057" DrawAspect="Content" ObjectID="_1468075757" r:id="rId94">
                  <o:LockedField>false</o:LockedField>
                </o:OLEObject>
              </w:object>
            </w:r>
            <w:r>
              <w:rPr>
                <w:rFonts w:hint="eastAsia"/>
              </w:rPr>
              <w:t>≥0.5的黏性土，粉砂</w:t>
            </w:r>
          </w:p>
        </w:tc>
        <w:tc>
          <w:tcPr>
            <w:tcW w:w="4956" w:type="dxa"/>
            <w:vAlign w:val="center"/>
          </w:tcPr>
          <w:p w14:paraId="131602CE">
            <w:pPr>
              <w:jc w:val="center"/>
            </w:pPr>
            <w:r>
              <w:rPr>
                <w:rFonts w:hint="eastAsia"/>
              </w:rPr>
              <w:t>2001~4000</w:t>
            </w:r>
          </w:p>
        </w:tc>
      </w:tr>
      <w:tr w14:paraId="0A42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3" w:type="dxa"/>
            <w:vAlign w:val="center"/>
          </w:tcPr>
          <w:p w14:paraId="2D9F109D">
            <w:pPr>
              <w:jc w:val="center"/>
            </w:pPr>
            <w:r>
              <w:rPr>
                <w:rFonts w:hint="eastAsia"/>
              </w:rPr>
              <w:t>0.5＞</w:t>
            </w:r>
            <w:r>
              <w:rPr>
                <w:position w:val="-12"/>
              </w:rPr>
              <w:object>
                <v:shape id="_x0000_i1058" o:spt="75" type="#_x0000_t75" style="height:18pt;width:13.3pt;" o:ole="t" filled="f" o:preferrelative="t" stroked="f" coordsize="21600,21600">
                  <v:path/>
                  <v:fill on="f" focussize="0,0"/>
                  <v:stroke on="f" joinstyle="miter"/>
                  <v:imagedata r:id="rId97" o:title=""/>
                  <o:lock v:ext="edit" aspectratio="t"/>
                  <w10:wrap type="none"/>
                  <w10:anchorlock/>
                </v:shape>
                <o:OLEObject Type="Embed" ProgID="Equation.DSMT4" ShapeID="_x0000_i1058" DrawAspect="Content" ObjectID="_1468075758" r:id="rId96">
                  <o:LockedField>false</o:LockedField>
                </o:OLEObject>
              </w:object>
            </w:r>
            <w:r>
              <w:rPr>
                <w:rFonts w:hint="eastAsia"/>
              </w:rPr>
              <w:t>≥0的黏性土，中、细砂</w:t>
            </w:r>
          </w:p>
        </w:tc>
        <w:tc>
          <w:tcPr>
            <w:tcW w:w="4956" w:type="dxa"/>
            <w:vAlign w:val="center"/>
          </w:tcPr>
          <w:p w14:paraId="4A4D159A">
            <w:pPr>
              <w:jc w:val="center"/>
            </w:pPr>
            <w:r>
              <w:rPr>
                <w:rFonts w:hint="eastAsia"/>
              </w:rPr>
              <w:t>4001~6000</w:t>
            </w:r>
          </w:p>
        </w:tc>
      </w:tr>
      <w:tr w14:paraId="7751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3" w:type="dxa"/>
            <w:vAlign w:val="center"/>
          </w:tcPr>
          <w:p w14:paraId="3486BC8C">
            <w:pPr>
              <w:jc w:val="center"/>
            </w:pPr>
            <w:r>
              <w:rPr>
                <w:position w:val="-12"/>
              </w:rPr>
              <w:object>
                <v:shape id="_x0000_i1059" o:spt="75" type="#_x0000_t75" style="height:18pt;width:13.3pt;" o:ole="t" filled="f" o:preferrelative="t" stroked="f" coordsize="21600,21600">
                  <v:path/>
                  <v:fill on="f" focussize="0,0"/>
                  <v:stroke on="f" joinstyle="miter"/>
                  <v:imagedata r:id="rId99" o:title=""/>
                  <o:lock v:ext="edit" aspectratio="t"/>
                  <w10:wrap type="none"/>
                  <w10:anchorlock/>
                </v:shape>
                <o:OLEObject Type="Embed" ProgID="Equation.DSMT4" ShapeID="_x0000_i1059" DrawAspect="Content" ObjectID="_1468075759" r:id="rId98">
                  <o:LockedField>false</o:LockedField>
                </o:OLEObject>
              </w:object>
            </w:r>
            <w:r>
              <w:rPr>
                <w:rFonts w:hint="eastAsia"/>
              </w:rPr>
              <w:t>＜0的黏性土，粗砂</w:t>
            </w:r>
          </w:p>
        </w:tc>
        <w:tc>
          <w:tcPr>
            <w:tcW w:w="4956" w:type="dxa"/>
            <w:vAlign w:val="center"/>
          </w:tcPr>
          <w:p w14:paraId="2FFC262B">
            <w:pPr>
              <w:jc w:val="center"/>
            </w:pPr>
            <w:r>
              <w:rPr>
                <w:rFonts w:hint="eastAsia"/>
              </w:rPr>
              <w:t>6001~10000</w:t>
            </w:r>
          </w:p>
        </w:tc>
      </w:tr>
      <w:tr w14:paraId="5A1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3" w:type="dxa"/>
            <w:vAlign w:val="center"/>
          </w:tcPr>
          <w:p w14:paraId="7D8F926F">
            <w:pPr>
              <w:jc w:val="center"/>
            </w:pPr>
            <w:r>
              <w:rPr>
                <w:rFonts w:hint="eastAsia"/>
              </w:rPr>
              <w:t>砾石、砾砂、碎石、卵石</w:t>
            </w:r>
          </w:p>
        </w:tc>
        <w:tc>
          <w:tcPr>
            <w:tcW w:w="4956" w:type="dxa"/>
            <w:vAlign w:val="center"/>
          </w:tcPr>
          <w:p w14:paraId="07F1960D">
            <w:pPr>
              <w:jc w:val="center"/>
            </w:pPr>
            <w:r>
              <w:rPr>
                <w:rFonts w:hint="eastAsia"/>
              </w:rPr>
              <w:t>10001~20000</w:t>
            </w:r>
          </w:p>
        </w:tc>
      </w:tr>
    </w:tbl>
    <w:p w14:paraId="202C768B">
      <w:pPr>
        <w:autoSpaceDE w:val="0"/>
        <w:autoSpaceDN w:val="0"/>
        <w:ind w:left="1050" w:leftChars="200" w:hanging="630" w:hangingChars="350"/>
        <w:jc w:val="left"/>
        <w:rPr>
          <w:sz w:val="18"/>
          <w:szCs w:val="18"/>
        </w:rPr>
      </w:pPr>
      <w:r>
        <w:rPr>
          <w:sz w:val="18"/>
          <w:szCs w:val="18"/>
        </w:rPr>
        <w:t>注：1  板桩墙在计算水底处的水平变位大于10mm时，m值可采取分层选取的方法，泥面下一定深度范围内土层的m值取表中下限值；</w:t>
      </w:r>
    </w:p>
    <w:p w14:paraId="64CC7F4C">
      <w:pPr>
        <w:autoSpaceDE w:val="0"/>
        <w:autoSpaceDN w:val="0"/>
        <w:ind w:firstLine="810" w:firstLineChars="450"/>
        <w:jc w:val="left"/>
        <w:rPr>
          <w:sz w:val="18"/>
          <w:szCs w:val="18"/>
        </w:rPr>
      </w:pPr>
      <w:r>
        <w:rPr>
          <w:sz w:val="18"/>
          <w:szCs w:val="18"/>
        </w:rPr>
        <w:t>2  表中的砂土，当密实度为松散时取表中的下限值，密实度为密实时取上限值；</w:t>
      </w:r>
    </w:p>
    <w:p w14:paraId="143C676B">
      <w:pPr>
        <w:autoSpaceDE w:val="0"/>
        <w:autoSpaceDN w:val="0"/>
        <w:ind w:firstLine="810" w:firstLineChars="450"/>
        <w:jc w:val="left"/>
        <w:rPr>
          <w:sz w:val="18"/>
          <w:szCs w:val="18"/>
        </w:rPr>
      </w:pPr>
      <w:r>
        <w:rPr>
          <w:sz w:val="18"/>
          <w:szCs w:val="18"/>
        </w:rPr>
        <w:t xml:space="preserve">3  </w:t>
      </w:r>
      <w:r>
        <w:rPr>
          <w:position w:val="-12"/>
          <w:sz w:val="18"/>
        </w:rPr>
        <w:object>
          <v:shape id="_x0000_i1060" o:spt="75" type="#_x0000_t75" style="height:15.85pt;width:11.15pt;" o:ole="t" filled="f" o:preferrelative="t" stroked="f" coordsize="21600,21600">
            <v:path/>
            <v:fill on="f" focussize="0,0"/>
            <v:stroke on="f" joinstyle="miter"/>
            <v:imagedata r:id="rId101" o:title=""/>
            <o:lock v:ext="edit" aspectratio="t"/>
            <w10:wrap type="none"/>
            <w10:anchorlock/>
          </v:shape>
          <o:OLEObject Type="Embed" ProgID="Equation.DSMT4" ShapeID="_x0000_i1060" DrawAspect="Content" ObjectID="_1468075760" r:id="rId100">
            <o:LockedField>false</o:LockedField>
          </o:OLEObject>
        </w:object>
      </w:r>
      <w:r>
        <w:rPr>
          <w:sz w:val="18"/>
          <w:szCs w:val="18"/>
        </w:rPr>
        <w:t>为土的液性指数</w:t>
      </w:r>
      <w:r>
        <w:rPr>
          <w:rFonts w:hint="eastAsia"/>
          <w:sz w:val="18"/>
          <w:szCs w:val="18"/>
        </w:rPr>
        <w:t>。</w:t>
      </w:r>
    </w:p>
    <w:p w14:paraId="6C58416B"/>
    <w:p w14:paraId="10D2A600">
      <w:r>
        <w:br w:type="page"/>
      </w:r>
    </w:p>
    <w:p w14:paraId="7C3718DA">
      <w:pPr>
        <w:pStyle w:val="2"/>
      </w:pPr>
      <w:bookmarkStart w:id="58" w:name="_Toc29185"/>
      <w:r>
        <w:rPr>
          <w:rFonts w:hint="eastAsia"/>
        </w:rPr>
        <w:t>附录B</w:t>
      </w:r>
      <w:r>
        <w:t xml:space="preserve">  </w:t>
      </w:r>
      <w:bookmarkStart w:id="59" w:name="_Hlk203299755"/>
      <w:r>
        <w:t>U</w:t>
      </w:r>
      <w:r>
        <w:rPr>
          <w:rFonts w:hint="eastAsia"/>
        </w:rPr>
        <w:t>型钢板桩规格参数</w:t>
      </w:r>
      <w:bookmarkEnd w:id="58"/>
      <w:bookmarkEnd w:id="59"/>
    </w:p>
    <w:p w14:paraId="68C14EA4">
      <w:pPr>
        <w:spacing w:line="360" w:lineRule="auto"/>
        <w:rPr>
          <w:rFonts w:ascii="黑体" w:hAnsi="黑体" w:eastAsia="黑体"/>
        </w:rPr>
      </w:pPr>
      <w:r>
        <w:rPr>
          <w:rFonts w:hint="eastAsia" w:ascii="黑体" w:hAnsi="黑体" w:eastAsia="黑体"/>
        </w:rPr>
        <w:t xml:space="preserve">B.0.1  </w:t>
      </w:r>
      <w:r>
        <w:rPr>
          <w:rFonts w:hint="eastAsia"/>
        </w:rPr>
        <w:t>U型钢板桩规格参数可按表B.0.1确定：</w:t>
      </w:r>
    </w:p>
    <w:p w14:paraId="5AF2D5B3">
      <w:pPr>
        <w:jc w:val="center"/>
      </w:pPr>
      <w:r>
        <w:rPr>
          <w:rFonts w:hint="eastAsia" w:ascii="黑体" w:hAnsi="黑体" w:eastAsia="黑体"/>
        </w:rPr>
        <w:t>表</w:t>
      </w:r>
      <w:r>
        <w:rPr>
          <w:rFonts w:hint="eastAsia" w:ascii="黑体" w:hAnsi="黑体" w:eastAsia="黑体"/>
          <w:kern w:val="0"/>
        </w:rPr>
        <w:t>B</w:t>
      </w:r>
      <w:r>
        <w:rPr>
          <w:rFonts w:ascii="黑体" w:hAnsi="黑体" w:eastAsia="黑体"/>
          <w:kern w:val="0"/>
        </w:rPr>
        <w:t>.0.1</w:t>
      </w:r>
      <w:r>
        <w:rPr>
          <w:rFonts w:hint="eastAsia" w:ascii="黑体" w:hAnsi="黑体" w:eastAsia="黑体"/>
          <w:kern w:val="0"/>
        </w:rPr>
        <w:t xml:space="preserve"> </w:t>
      </w:r>
      <w:r>
        <w:rPr>
          <w:rFonts w:hint="eastAsia" w:ascii="黑体" w:hAnsi="黑体" w:eastAsia="黑体"/>
        </w:rPr>
        <w:t xml:space="preserve"> U型钢板桩规格参数</w:t>
      </w:r>
    </w:p>
    <w:tbl>
      <w:tblPr>
        <w:tblStyle w:val="17"/>
        <w:tblW w:w="0" w:type="auto"/>
        <w:tblInd w:w="0" w:type="dxa"/>
        <w:tblLayout w:type="fixed"/>
        <w:tblCellMar>
          <w:top w:w="0" w:type="dxa"/>
          <w:left w:w="108" w:type="dxa"/>
          <w:bottom w:w="0" w:type="dxa"/>
          <w:right w:w="108" w:type="dxa"/>
        </w:tblCellMar>
      </w:tblPr>
      <w:tblGrid>
        <w:gridCol w:w="858"/>
        <w:gridCol w:w="636"/>
        <w:gridCol w:w="636"/>
        <w:gridCol w:w="677"/>
        <w:gridCol w:w="900"/>
        <w:gridCol w:w="720"/>
        <w:gridCol w:w="900"/>
        <w:gridCol w:w="660"/>
        <w:gridCol w:w="846"/>
        <w:gridCol w:w="716"/>
        <w:gridCol w:w="846"/>
        <w:gridCol w:w="763"/>
      </w:tblGrid>
      <w:tr w14:paraId="56CF384F">
        <w:tblPrEx>
          <w:tblCellMar>
            <w:top w:w="0" w:type="dxa"/>
            <w:left w:w="108" w:type="dxa"/>
            <w:bottom w:w="0" w:type="dxa"/>
            <w:right w:w="108" w:type="dxa"/>
          </w:tblCellMar>
        </w:tblPrEx>
        <w:trPr>
          <w:trHeight w:val="806" w:hRule="atLeast"/>
        </w:trPr>
        <w:tc>
          <w:tcPr>
            <w:tcW w:w="858" w:type="dxa"/>
            <w:tcBorders>
              <w:top w:val="single" w:color="auto" w:sz="4" w:space="0"/>
              <w:left w:val="single" w:color="auto" w:sz="4" w:space="0"/>
              <w:bottom w:val="single" w:color="auto" w:sz="4" w:space="0"/>
              <w:right w:val="single" w:color="auto" w:sz="4" w:space="0"/>
            </w:tcBorders>
            <w:noWrap/>
            <w:vAlign w:val="center"/>
          </w:tcPr>
          <w:p w14:paraId="30FD11FD">
            <w:pPr>
              <w:widowControl/>
              <w:jc w:val="center"/>
              <w:rPr>
                <w:color w:val="000000"/>
                <w:kern w:val="0"/>
              </w:rPr>
            </w:pPr>
            <w:r>
              <w:rPr>
                <w:rFonts w:hAnsi="宋体"/>
                <w:color w:val="000000"/>
                <w:kern w:val="0"/>
              </w:rPr>
              <w:t>型号</w:t>
            </w:r>
          </w:p>
        </w:tc>
        <w:tc>
          <w:tcPr>
            <w:tcW w:w="1949" w:type="dxa"/>
            <w:gridSpan w:val="3"/>
            <w:tcBorders>
              <w:top w:val="single" w:color="auto" w:sz="4" w:space="0"/>
              <w:left w:val="nil"/>
              <w:right w:val="single" w:color="auto" w:sz="4" w:space="0"/>
            </w:tcBorders>
            <w:noWrap/>
            <w:vAlign w:val="center"/>
          </w:tcPr>
          <w:p w14:paraId="77A7E834">
            <w:pPr>
              <w:widowControl/>
              <w:jc w:val="center"/>
              <w:rPr>
                <w:color w:val="000000"/>
                <w:kern w:val="0"/>
              </w:rPr>
            </w:pPr>
            <w:r>
              <w:rPr>
                <w:rFonts w:hAnsi="宋体"/>
                <w:color w:val="000000"/>
                <w:kern w:val="0"/>
              </w:rPr>
              <w:t>尺寸规格</w:t>
            </w:r>
          </w:p>
        </w:tc>
        <w:tc>
          <w:tcPr>
            <w:tcW w:w="3180" w:type="dxa"/>
            <w:gridSpan w:val="4"/>
            <w:tcBorders>
              <w:top w:val="single" w:color="auto" w:sz="4" w:space="0"/>
              <w:left w:val="nil"/>
              <w:right w:val="single" w:color="auto" w:sz="4" w:space="0"/>
            </w:tcBorders>
            <w:noWrap/>
            <w:vAlign w:val="center"/>
          </w:tcPr>
          <w:p w14:paraId="7F841629">
            <w:pPr>
              <w:widowControl/>
              <w:jc w:val="center"/>
              <w:rPr>
                <w:color w:val="000000"/>
                <w:kern w:val="0"/>
              </w:rPr>
            </w:pPr>
            <w:r>
              <w:rPr>
                <w:rFonts w:hAnsi="宋体"/>
                <w:color w:val="000000"/>
                <w:kern w:val="0"/>
              </w:rPr>
              <w:t>单根钢板桩</w:t>
            </w:r>
          </w:p>
        </w:tc>
        <w:tc>
          <w:tcPr>
            <w:tcW w:w="3171" w:type="dxa"/>
            <w:gridSpan w:val="4"/>
            <w:tcBorders>
              <w:top w:val="single" w:color="auto" w:sz="4" w:space="0"/>
              <w:left w:val="nil"/>
              <w:right w:val="single" w:color="auto" w:sz="4" w:space="0"/>
            </w:tcBorders>
            <w:noWrap/>
            <w:vAlign w:val="center"/>
          </w:tcPr>
          <w:p w14:paraId="09532C18">
            <w:pPr>
              <w:widowControl/>
              <w:jc w:val="center"/>
              <w:rPr>
                <w:color w:val="000000"/>
                <w:kern w:val="0"/>
              </w:rPr>
            </w:pPr>
            <w:r>
              <w:rPr>
                <w:rFonts w:hAnsi="宋体"/>
                <w:color w:val="000000"/>
                <w:kern w:val="0"/>
              </w:rPr>
              <w:t>单根每米壁宽</w:t>
            </w:r>
          </w:p>
        </w:tc>
      </w:tr>
      <w:tr w14:paraId="4760A999">
        <w:tblPrEx>
          <w:tblCellMar>
            <w:top w:w="0" w:type="dxa"/>
            <w:left w:w="108" w:type="dxa"/>
            <w:bottom w:w="0" w:type="dxa"/>
            <w:right w:w="108" w:type="dxa"/>
          </w:tblCellMar>
        </w:tblPrEx>
        <w:trPr>
          <w:trHeight w:val="600" w:hRule="atLeast"/>
        </w:trPr>
        <w:tc>
          <w:tcPr>
            <w:tcW w:w="858" w:type="dxa"/>
            <w:vMerge w:val="restart"/>
            <w:tcBorders>
              <w:top w:val="nil"/>
              <w:left w:val="single" w:color="auto" w:sz="4" w:space="0"/>
              <w:bottom w:val="single" w:color="auto" w:sz="4" w:space="0"/>
              <w:right w:val="single" w:color="auto" w:sz="4" w:space="0"/>
            </w:tcBorders>
            <w:noWrap/>
            <w:vAlign w:val="center"/>
          </w:tcPr>
          <w:p w14:paraId="66B01340">
            <w:pPr>
              <w:widowControl/>
              <w:jc w:val="center"/>
              <w:rPr>
                <w:color w:val="000000"/>
                <w:kern w:val="0"/>
              </w:rPr>
            </w:pPr>
            <w:r>
              <w:rPr>
                <w:color w:val="000000"/>
                <w:kern w:val="0"/>
              </w:rPr>
              <w:t>Type</w:t>
            </w:r>
          </w:p>
        </w:tc>
        <w:tc>
          <w:tcPr>
            <w:tcW w:w="636" w:type="dxa"/>
            <w:tcBorders>
              <w:top w:val="single" w:color="auto" w:sz="4" w:space="0"/>
              <w:left w:val="nil"/>
              <w:bottom w:val="single" w:color="auto" w:sz="4" w:space="0"/>
              <w:right w:val="single" w:color="auto" w:sz="4" w:space="0"/>
            </w:tcBorders>
            <w:vAlign w:val="center"/>
          </w:tcPr>
          <w:p w14:paraId="0BDF7551">
            <w:pPr>
              <w:widowControl/>
              <w:jc w:val="center"/>
              <w:rPr>
                <w:rFonts w:hAnsi="宋体"/>
                <w:color w:val="000000"/>
                <w:kern w:val="0"/>
              </w:rPr>
            </w:pPr>
            <w:r>
              <w:rPr>
                <w:rFonts w:hAnsi="宋体"/>
                <w:color w:val="000000"/>
                <w:kern w:val="0"/>
              </w:rPr>
              <w:t>宽度</w:t>
            </w:r>
          </w:p>
          <w:p w14:paraId="16A44998">
            <w:pPr>
              <w:widowControl/>
              <w:jc w:val="center"/>
              <w:rPr>
                <w:color w:val="000000"/>
                <w:kern w:val="0"/>
              </w:rPr>
            </w:pPr>
            <w:r>
              <w:rPr>
                <w:color w:val="000000"/>
                <w:kern w:val="0"/>
              </w:rPr>
              <w:t>/w</w:t>
            </w:r>
          </w:p>
        </w:tc>
        <w:tc>
          <w:tcPr>
            <w:tcW w:w="636" w:type="dxa"/>
            <w:tcBorders>
              <w:top w:val="single" w:color="auto" w:sz="4" w:space="0"/>
              <w:left w:val="nil"/>
              <w:bottom w:val="single" w:color="auto" w:sz="4" w:space="0"/>
              <w:right w:val="single" w:color="auto" w:sz="4" w:space="0"/>
            </w:tcBorders>
            <w:vAlign w:val="center"/>
          </w:tcPr>
          <w:p w14:paraId="37A8034B">
            <w:pPr>
              <w:widowControl/>
              <w:jc w:val="center"/>
              <w:rPr>
                <w:rFonts w:hAnsi="宋体"/>
                <w:kern w:val="0"/>
              </w:rPr>
            </w:pPr>
            <w:r>
              <w:rPr>
                <w:rFonts w:hAnsi="宋体"/>
                <w:kern w:val="0"/>
              </w:rPr>
              <w:t>高度</w:t>
            </w:r>
          </w:p>
          <w:p w14:paraId="43931B21">
            <w:pPr>
              <w:widowControl/>
              <w:jc w:val="center"/>
              <w:rPr>
                <w:color w:val="000000"/>
                <w:kern w:val="0"/>
              </w:rPr>
            </w:pPr>
            <w:r>
              <w:rPr>
                <w:kern w:val="0"/>
              </w:rPr>
              <w:t>/h</w:t>
            </w:r>
            <w:r>
              <w:rPr>
                <w:rFonts w:hint="eastAsia"/>
                <w:kern w:val="0"/>
                <w:vertAlign w:val="subscript"/>
              </w:rPr>
              <w:t>2</w:t>
            </w:r>
          </w:p>
        </w:tc>
        <w:tc>
          <w:tcPr>
            <w:tcW w:w="677" w:type="dxa"/>
            <w:tcBorders>
              <w:top w:val="single" w:color="auto" w:sz="4" w:space="0"/>
              <w:left w:val="nil"/>
              <w:bottom w:val="single" w:color="auto" w:sz="4" w:space="0"/>
              <w:right w:val="single" w:color="auto" w:sz="4" w:space="0"/>
            </w:tcBorders>
            <w:vAlign w:val="center"/>
          </w:tcPr>
          <w:p w14:paraId="7D849461">
            <w:pPr>
              <w:widowControl/>
              <w:jc w:val="center"/>
              <w:rPr>
                <w:color w:val="000000"/>
                <w:kern w:val="0"/>
              </w:rPr>
            </w:pPr>
            <w:r>
              <w:rPr>
                <w:rFonts w:hAnsi="宋体"/>
                <w:color w:val="000000"/>
                <w:kern w:val="0"/>
              </w:rPr>
              <w:t>厚度</w:t>
            </w:r>
            <w:r>
              <w:rPr>
                <w:color w:val="000000"/>
                <w:kern w:val="0"/>
              </w:rPr>
              <w:t>/t</w:t>
            </w:r>
            <w:r>
              <w:rPr>
                <w:rFonts w:hint="eastAsia"/>
                <w:color w:val="000000"/>
                <w:kern w:val="0"/>
                <w:vertAlign w:val="subscript"/>
              </w:rPr>
              <w:t>1</w:t>
            </w:r>
          </w:p>
        </w:tc>
        <w:tc>
          <w:tcPr>
            <w:tcW w:w="900" w:type="dxa"/>
            <w:tcBorders>
              <w:top w:val="single" w:color="auto" w:sz="4" w:space="0"/>
              <w:left w:val="nil"/>
              <w:bottom w:val="single" w:color="auto" w:sz="4" w:space="0"/>
              <w:right w:val="single" w:color="auto" w:sz="4" w:space="0"/>
            </w:tcBorders>
            <w:vAlign w:val="center"/>
          </w:tcPr>
          <w:p w14:paraId="623D53CF">
            <w:pPr>
              <w:widowControl/>
              <w:jc w:val="center"/>
              <w:rPr>
                <w:color w:val="000000"/>
                <w:kern w:val="0"/>
              </w:rPr>
            </w:pPr>
            <w:r>
              <w:rPr>
                <w:rFonts w:hAnsi="宋体"/>
                <w:color w:val="000000"/>
                <w:kern w:val="0"/>
              </w:rPr>
              <w:t>截面积</w:t>
            </w:r>
          </w:p>
        </w:tc>
        <w:tc>
          <w:tcPr>
            <w:tcW w:w="720" w:type="dxa"/>
            <w:tcBorders>
              <w:top w:val="single" w:color="auto" w:sz="4" w:space="0"/>
              <w:left w:val="nil"/>
              <w:bottom w:val="single" w:color="auto" w:sz="4" w:space="0"/>
              <w:right w:val="single" w:color="auto" w:sz="4" w:space="0"/>
            </w:tcBorders>
            <w:vAlign w:val="center"/>
          </w:tcPr>
          <w:p w14:paraId="65C50EBA">
            <w:pPr>
              <w:widowControl/>
              <w:jc w:val="center"/>
              <w:rPr>
                <w:rFonts w:hAnsi="宋体"/>
                <w:color w:val="000000"/>
                <w:kern w:val="0"/>
              </w:rPr>
            </w:pPr>
            <w:r>
              <w:rPr>
                <w:rFonts w:hAnsi="宋体"/>
                <w:color w:val="000000"/>
                <w:kern w:val="0"/>
              </w:rPr>
              <w:t>理论</w:t>
            </w:r>
          </w:p>
          <w:p w14:paraId="53D2F04D">
            <w:pPr>
              <w:widowControl/>
              <w:jc w:val="center"/>
              <w:rPr>
                <w:color w:val="000000"/>
                <w:kern w:val="0"/>
              </w:rPr>
            </w:pPr>
            <w:r>
              <w:rPr>
                <w:rFonts w:hAnsi="宋体"/>
                <w:color w:val="000000"/>
                <w:kern w:val="0"/>
              </w:rPr>
              <w:t>重量</w:t>
            </w:r>
          </w:p>
        </w:tc>
        <w:tc>
          <w:tcPr>
            <w:tcW w:w="900" w:type="dxa"/>
            <w:tcBorders>
              <w:top w:val="single" w:color="auto" w:sz="4" w:space="0"/>
              <w:left w:val="nil"/>
              <w:bottom w:val="single" w:color="auto" w:sz="4" w:space="0"/>
              <w:right w:val="single" w:color="auto" w:sz="4" w:space="0"/>
            </w:tcBorders>
            <w:vAlign w:val="center"/>
          </w:tcPr>
          <w:p w14:paraId="5E59A80A">
            <w:pPr>
              <w:widowControl/>
              <w:jc w:val="center"/>
              <w:rPr>
                <w:color w:val="000000"/>
                <w:kern w:val="0"/>
              </w:rPr>
            </w:pPr>
            <w:r>
              <w:rPr>
                <w:rFonts w:hAnsi="宋体"/>
                <w:color w:val="000000"/>
                <w:kern w:val="0"/>
              </w:rPr>
              <w:t>惯性矩</w:t>
            </w:r>
          </w:p>
        </w:tc>
        <w:tc>
          <w:tcPr>
            <w:tcW w:w="660" w:type="dxa"/>
            <w:tcBorders>
              <w:top w:val="single" w:color="auto" w:sz="4" w:space="0"/>
              <w:left w:val="nil"/>
              <w:bottom w:val="single" w:color="auto" w:sz="4" w:space="0"/>
              <w:right w:val="single" w:color="auto" w:sz="4" w:space="0"/>
            </w:tcBorders>
            <w:vAlign w:val="center"/>
          </w:tcPr>
          <w:p w14:paraId="30908151">
            <w:pPr>
              <w:widowControl/>
              <w:jc w:val="center"/>
              <w:rPr>
                <w:rFonts w:hAnsi="宋体"/>
                <w:color w:val="000000"/>
                <w:kern w:val="0"/>
              </w:rPr>
            </w:pPr>
            <w:r>
              <w:rPr>
                <w:rFonts w:hAnsi="宋体"/>
                <w:color w:val="000000"/>
                <w:kern w:val="0"/>
              </w:rPr>
              <w:t>截面</w:t>
            </w:r>
          </w:p>
          <w:p w14:paraId="32BDD9AB">
            <w:pPr>
              <w:widowControl/>
              <w:jc w:val="center"/>
              <w:rPr>
                <w:color w:val="000000"/>
                <w:kern w:val="0"/>
              </w:rPr>
            </w:pPr>
            <w:r>
              <w:rPr>
                <w:rFonts w:hAnsi="宋体"/>
                <w:color w:val="000000"/>
                <w:kern w:val="0"/>
              </w:rPr>
              <w:t>模数</w:t>
            </w:r>
          </w:p>
        </w:tc>
        <w:tc>
          <w:tcPr>
            <w:tcW w:w="846" w:type="dxa"/>
            <w:tcBorders>
              <w:top w:val="single" w:color="auto" w:sz="4" w:space="0"/>
              <w:left w:val="nil"/>
              <w:bottom w:val="single" w:color="auto" w:sz="4" w:space="0"/>
              <w:right w:val="single" w:color="auto" w:sz="4" w:space="0"/>
            </w:tcBorders>
            <w:vAlign w:val="center"/>
          </w:tcPr>
          <w:p w14:paraId="38543569">
            <w:pPr>
              <w:widowControl/>
              <w:jc w:val="center"/>
              <w:rPr>
                <w:color w:val="000000"/>
                <w:kern w:val="0"/>
              </w:rPr>
            </w:pPr>
            <w:r>
              <w:rPr>
                <w:rFonts w:hAnsi="宋体"/>
                <w:color w:val="000000"/>
                <w:kern w:val="0"/>
              </w:rPr>
              <w:t>截面积</w:t>
            </w:r>
          </w:p>
        </w:tc>
        <w:tc>
          <w:tcPr>
            <w:tcW w:w="716" w:type="dxa"/>
            <w:tcBorders>
              <w:top w:val="single" w:color="auto" w:sz="4" w:space="0"/>
              <w:left w:val="nil"/>
              <w:bottom w:val="single" w:color="auto" w:sz="4" w:space="0"/>
              <w:right w:val="single" w:color="auto" w:sz="4" w:space="0"/>
            </w:tcBorders>
            <w:vAlign w:val="center"/>
          </w:tcPr>
          <w:p w14:paraId="1191D124">
            <w:pPr>
              <w:widowControl/>
              <w:jc w:val="center"/>
              <w:rPr>
                <w:rFonts w:hAnsi="宋体"/>
                <w:color w:val="000000"/>
                <w:kern w:val="0"/>
              </w:rPr>
            </w:pPr>
            <w:r>
              <w:rPr>
                <w:rFonts w:hAnsi="宋体"/>
                <w:color w:val="000000"/>
                <w:kern w:val="0"/>
              </w:rPr>
              <w:t>理论</w:t>
            </w:r>
          </w:p>
          <w:p w14:paraId="22111D4F">
            <w:pPr>
              <w:widowControl/>
              <w:jc w:val="center"/>
              <w:rPr>
                <w:color w:val="000000"/>
                <w:kern w:val="0"/>
              </w:rPr>
            </w:pPr>
            <w:r>
              <w:rPr>
                <w:rFonts w:hAnsi="宋体"/>
                <w:color w:val="000000"/>
                <w:kern w:val="0"/>
              </w:rPr>
              <w:t>重量</w:t>
            </w:r>
          </w:p>
        </w:tc>
        <w:tc>
          <w:tcPr>
            <w:tcW w:w="846" w:type="dxa"/>
            <w:tcBorders>
              <w:top w:val="single" w:color="auto" w:sz="4" w:space="0"/>
              <w:left w:val="nil"/>
              <w:bottom w:val="single" w:color="auto" w:sz="4" w:space="0"/>
              <w:right w:val="single" w:color="auto" w:sz="4" w:space="0"/>
            </w:tcBorders>
            <w:vAlign w:val="center"/>
          </w:tcPr>
          <w:p w14:paraId="059E2144">
            <w:pPr>
              <w:widowControl/>
              <w:jc w:val="center"/>
              <w:rPr>
                <w:color w:val="000000"/>
                <w:kern w:val="0"/>
              </w:rPr>
            </w:pPr>
            <w:r>
              <w:rPr>
                <w:rFonts w:hAnsi="宋体"/>
                <w:color w:val="000000"/>
                <w:kern w:val="0"/>
              </w:rPr>
              <w:t>惯性矩</w:t>
            </w:r>
          </w:p>
        </w:tc>
        <w:tc>
          <w:tcPr>
            <w:tcW w:w="763" w:type="dxa"/>
            <w:tcBorders>
              <w:top w:val="single" w:color="auto" w:sz="4" w:space="0"/>
              <w:left w:val="nil"/>
              <w:bottom w:val="single" w:color="auto" w:sz="4" w:space="0"/>
              <w:right w:val="single" w:color="auto" w:sz="4" w:space="0"/>
            </w:tcBorders>
            <w:vAlign w:val="center"/>
          </w:tcPr>
          <w:p w14:paraId="1E6EDEB5">
            <w:pPr>
              <w:widowControl/>
              <w:jc w:val="center"/>
              <w:rPr>
                <w:rFonts w:hAnsi="宋体"/>
                <w:color w:val="000000"/>
                <w:kern w:val="0"/>
              </w:rPr>
            </w:pPr>
            <w:r>
              <w:rPr>
                <w:rFonts w:hAnsi="宋体"/>
                <w:color w:val="000000"/>
                <w:kern w:val="0"/>
              </w:rPr>
              <w:t>抗弯</w:t>
            </w:r>
          </w:p>
          <w:p w14:paraId="1E6297A7">
            <w:pPr>
              <w:widowControl/>
              <w:jc w:val="center"/>
              <w:rPr>
                <w:color w:val="000000"/>
                <w:kern w:val="0"/>
              </w:rPr>
            </w:pPr>
            <w:r>
              <w:rPr>
                <w:rFonts w:hAnsi="宋体"/>
                <w:color w:val="000000"/>
                <w:kern w:val="0"/>
              </w:rPr>
              <w:t>模量</w:t>
            </w:r>
          </w:p>
        </w:tc>
      </w:tr>
      <w:tr w14:paraId="28BF0354">
        <w:tblPrEx>
          <w:tblCellMar>
            <w:top w:w="0" w:type="dxa"/>
            <w:left w:w="108" w:type="dxa"/>
            <w:bottom w:w="0" w:type="dxa"/>
            <w:right w:w="108" w:type="dxa"/>
          </w:tblCellMar>
        </w:tblPrEx>
        <w:trPr>
          <w:trHeight w:val="600" w:hRule="atLeast"/>
        </w:trPr>
        <w:tc>
          <w:tcPr>
            <w:tcW w:w="858" w:type="dxa"/>
            <w:vMerge w:val="continue"/>
            <w:tcBorders>
              <w:top w:val="nil"/>
              <w:left w:val="single" w:color="auto" w:sz="4" w:space="0"/>
              <w:bottom w:val="single" w:color="auto" w:sz="4" w:space="0"/>
              <w:right w:val="single" w:color="auto" w:sz="4" w:space="0"/>
            </w:tcBorders>
            <w:vAlign w:val="center"/>
          </w:tcPr>
          <w:p w14:paraId="62573ACE">
            <w:pPr>
              <w:widowControl/>
              <w:jc w:val="center"/>
              <w:rPr>
                <w:color w:val="000000"/>
                <w:kern w:val="0"/>
              </w:rPr>
            </w:pPr>
          </w:p>
        </w:tc>
        <w:tc>
          <w:tcPr>
            <w:tcW w:w="636" w:type="dxa"/>
            <w:tcBorders>
              <w:top w:val="single" w:color="auto" w:sz="4" w:space="0"/>
              <w:left w:val="nil"/>
              <w:bottom w:val="single" w:color="auto" w:sz="4" w:space="0"/>
              <w:right w:val="single" w:color="auto" w:sz="4" w:space="0"/>
            </w:tcBorders>
            <w:vAlign w:val="center"/>
          </w:tcPr>
          <w:p w14:paraId="4777E413">
            <w:pPr>
              <w:widowControl/>
              <w:jc w:val="center"/>
              <w:rPr>
                <w:color w:val="000000"/>
                <w:kern w:val="0"/>
              </w:rPr>
            </w:pPr>
            <w:r>
              <w:rPr>
                <w:color w:val="000000"/>
                <w:kern w:val="0"/>
              </w:rPr>
              <w:t>mm</w:t>
            </w:r>
          </w:p>
        </w:tc>
        <w:tc>
          <w:tcPr>
            <w:tcW w:w="636" w:type="dxa"/>
            <w:tcBorders>
              <w:top w:val="single" w:color="auto" w:sz="4" w:space="0"/>
              <w:left w:val="nil"/>
              <w:bottom w:val="single" w:color="auto" w:sz="4" w:space="0"/>
              <w:right w:val="single" w:color="auto" w:sz="4" w:space="0"/>
            </w:tcBorders>
            <w:vAlign w:val="center"/>
          </w:tcPr>
          <w:p w14:paraId="5D7594AD">
            <w:pPr>
              <w:widowControl/>
              <w:jc w:val="center"/>
              <w:rPr>
                <w:color w:val="000000"/>
                <w:kern w:val="0"/>
              </w:rPr>
            </w:pPr>
            <w:r>
              <w:rPr>
                <w:color w:val="000000"/>
                <w:kern w:val="0"/>
              </w:rPr>
              <w:t>mm</w:t>
            </w:r>
          </w:p>
        </w:tc>
        <w:tc>
          <w:tcPr>
            <w:tcW w:w="677" w:type="dxa"/>
            <w:tcBorders>
              <w:top w:val="single" w:color="auto" w:sz="4" w:space="0"/>
              <w:left w:val="nil"/>
              <w:bottom w:val="single" w:color="auto" w:sz="4" w:space="0"/>
              <w:right w:val="single" w:color="auto" w:sz="4" w:space="0"/>
            </w:tcBorders>
            <w:vAlign w:val="center"/>
          </w:tcPr>
          <w:p w14:paraId="02D5A0A5">
            <w:pPr>
              <w:widowControl/>
              <w:jc w:val="center"/>
              <w:rPr>
                <w:color w:val="000000"/>
                <w:kern w:val="0"/>
              </w:rPr>
            </w:pPr>
            <w:r>
              <w:rPr>
                <w:color w:val="000000"/>
                <w:kern w:val="0"/>
              </w:rPr>
              <w:t>mm</w:t>
            </w:r>
          </w:p>
        </w:tc>
        <w:tc>
          <w:tcPr>
            <w:tcW w:w="900" w:type="dxa"/>
            <w:tcBorders>
              <w:top w:val="single" w:color="auto" w:sz="4" w:space="0"/>
              <w:left w:val="nil"/>
              <w:bottom w:val="single" w:color="auto" w:sz="4" w:space="0"/>
              <w:right w:val="single" w:color="auto" w:sz="4" w:space="0"/>
            </w:tcBorders>
            <w:vAlign w:val="center"/>
          </w:tcPr>
          <w:p w14:paraId="58808DB7">
            <w:pPr>
              <w:widowControl/>
              <w:jc w:val="center"/>
              <w:rPr>
                <w:color w:val="000000"/>
                <w:kern w:val="0"/>
              </w:rPr>
            </w:pPr>
            <w:r>
              <w:rPr>
                <w:color w:val="000000"/>
                <w:kern w:val="0"/>
              </w:rPr>
              <w:t>cm</w:t>
            </w:r>
            <w:r>
              <w:rPr>
                <w:color w:val="000000"/>
                <w:kern w:val="0"/>
                <w:vertAlign w:val="superscript"/>
              </w:rPr>
              <w:t>2</w:t>
            </w:r>
          </w:p>
        </w:tc>
        <w:tc>
          <w:tcPr>
            <w:tcW w:w="720" w:type="dxa"/>
            <w:tcBorders>
              <w:top w:val="single" w:color="auto" w:sz="4" w:space="0"/>
              <w:left w:val="nil"/>
              <w:bottom w:val="single" w:color="auto" w:sz="4" w:space="0"/>
              <w:right w:val="single" w:color="auto" w:sz="4" w:space="0"/>
            </w:tcBorders>
            <w:vAlign w:val="center"/>
          </w:tcPr>
          <w:p w14:paraId="56C99307">
            <w:pPr>
              <w:widowControl/>
              <w:jc w:val="center"/>
              <w:rPr>
                <w:color w:val="000000"/>
                <w:kern w:val="0"/>
              </w:rPr>
            </w:pPr>
            <w:r>
              <w:rPr>
                <w:rFonts w:hint="eastAsia"/>
                <w:color w:val="000000"/>
                <w:kern w:val="0"/>
              </w:rPr>
              <w:t>k</w:t>
            </w:r>
            <w:r>
              <w:rPr>
                <w:color w:val="000000"/>
                <w:kern w:val="0"/>
              </w:rPr>
              <w:t>g/m</w:t>
            </w:r>
          </w:p>
        </w:tc>
        <w:tc>
          <w:tcPr>
            <w:tcW w:w="900" w:type="dxa"/>
            <w:tcBorders>
              <w:top w:val="single" w:color="auto" w:sz="4" w:space="0"/>
              <w:left w:val="nil"/>
              <w:bottom w:val="single" w:color="auto" w:sz="4" w:space="0"/>
              <w:right w:val="single" w:color="auto" w:sz="4" w:space="0"/>
            </w:tcBorders>
            <w:vAlign w:val="center"/>
          </w:tcPr>
          <w:p w14:paraId="0E1A5374">
            <w:pPr>
              <w:widowControl/>
              <w:jc w:val="center"/>
              <w:rPr>
                <w:color w:val="000000"/>
                <w:kern w:val="0"/>
              </w:rPr>
            </w:pPr>
            <w:r>
              <w:rPr>
                <w:color w:val="000000"/>
                <w:kern w:val="0"/>
              </w:rPr>
              <w:t>cm</w:t>
            </w:r>
            <w:r>
              <w:rPr>
                <w:color w:val="000000"/>
                <w:kern w:val="0"/>
                <w:vertAlign w:val="superscript"/>
              </w:rPr>
              <w:t>4</w:t>
            </w:r>
          </w:p>
        </w:tc>
        <w:tc>
          <w:tcPr>
            <w:tcW w:w="660" w:type="dxa"/>
            <w:tcBorders>
              <w:top w:val="single" w:color="auto" w:sz="4" w:space="0"/>
              <w:left w:val="nil"/>
              <w:bottom w:val="single" w:color="auto" w:sz="4" w:space="0"/>
              <w:right w:val="single" w:color="auto" w:sz="4" w:space="0"/>
            </w:tcBorders>
            <w:vAlign w:val="center"/>
          </w:tcPr>
          <w:p w14:paraId="23004FCD">
            <w:pPr>
              <w:widowControl/>
              <w:jc w:val="center"/>
              <w:rPr>
                <w:color w:val="000000"/>
                <w:kern w:val="0"/>
              </w:rPr>
            </w:pPr>
            <w:r>
              <w:rPr>
                <w:color w:val="000000"/>
                <w:kern w:val="0"/>
              </w:rPr>
              <w:t>cm</w:t>
            </w:r>
            <w:r>
              <w:rPr>
                <w:color w:val="000000"/>
                <w:kern w:val="0"/>
                <w:vertAlign w:val="superscript"/>
              </w:rPr>
              <w:t>3</w:t>
            </w:r>
          </w:p>
        </w:tc>
        <w:tc>
          <w:tcPr>
            <w:tcW w:w="846" w:type="dxa"/>
            <w:tcBorders>
              <w:top w:val="single" w:color="auto" w:sz="4" w:space="0"/>
              <w:left w:val="nil"/>
              <w:bottom w:val="single" w:color="auto" w:sz="4" w:space="0"/>
              <w:right w:val="single" w:color="auto" w:sz="4" w:space="0"/>
            </w:tcBorders>
            <w:vAlign w:val="center"/>
          </w:tcPr>
          <w:p w14:paraId="5E0229F6">
            <w:pPr>
              <w:widowControl/>
              <w:jc w:val="center"/>
              <w:rPr>
                <w:color w:val="000000"/>
                <w:kern w:val="0"/>
              </w:rPr>
            </w:pPr>
            <w:r>
              <w:rPr>
                <w:color w:val="000000"/>
                <w:kern w:val="0"/>
              </w:rPr>
              <w:t>cm</w:t>
            </w:r>
            <w:r>
              <w:rPr>
                <w:color w:val="000000"/>
                <w:kern w:val="0"/>
                <w:vertAlign w:val="superscript"/>
              </w:rPr>
              <w:t>2</w:t>
            </w:r>
            <w:r>
              <w:rPr>
                <w:color w:val="000000"/>
                <w:kern w:val="0"/>
              </w:rPr>
              <w:t>/m</w:t>
            </w:r>
          </w:p>
        </w:tc>
        <w:tc>
          <w:tcPr>
            <w:tcW w:w="716" w:type="dxa"/>
            <w:tcBorders>
              <w:top w:val="single" w:color="auto" w:sz="4" w:space="0"/>
              <w:left w:val="nil"/>
              <w:bottom w:val="single" w:color="auto" w:sz="4" w:space="0"/>
              <w:right w:val="single" w:color="auto" w:sz="4" w:space="0"/>
            </w:tcBorders>
            <w:vAlign w:val="center"/>
          </w:tcPr>
          <w:p w14:paraId="1410AEF1">
            <w:pPr>
              <w:widowControl/>
              <w:jc w:val="center"/>
              <w:rPr>
                <w:color w:val="000000"/>
                <w:kern w:val="0"/>
              </w:rPr>
            </w:pPr>
            <w:r>
              <w:rPr>
                <w:rFonts w:hint="eastAsia"/>
                <w:color w:val="000000"/>
                <w:kern w:val="0"/>
              </w:rPr>
              <w:t>k</w:t>
            </w:r>
            <w:r>
              <w:rPr>
                <w:color w:val="000000"/>
                <w:kern w:val="0"/>
              </w:rPr>
              <w:t>g/m</w:t>
            </w:r>
            <w:r>
              <w:rPr>
                <w:color w:val="000000"/>
                <w:kern w:val="0"/>
                <w:vertAlign w:val="superscript"/>
              </w:rPr>
              <w:t>2</w:t>
            </w:r>
          </w:p>
        </w:tc>
        <w:tc>
          <w:tcPr>
            <w:tcW w:w="846" w:type="dxa"/>
            <w:tcBorders>
              <w:top w:val="single" w:color="auto" w:sz="4" w:space="0"/>
              <w:left w:val="nil"/>
              <w:bottom w:val="single" w:color="auto" w:sz="4" w:space="0"/>
              <w:right w:val="single" w:color="auto" w:sz="4" w:space="0"/>
            </w:tcBorders>
            <w:vAlign w:val="center"/>
          </w:tcPr>
          <w:p w14:paraId="5F140E98">
            <w:pPr>
              <w:widowControl/>
              <w:jc w:val="center"/>
              <w:rPr>
                <w:color w:val="000000"/>
                <w:kern w:val="0"/>
              </w:rPr>
            </w:pPr>
            <w:r>
              <w:rPr>
                <w:color w:val="000000"/>
                <w:kern w:val="0"/>
              </w:rPr>
              <w:t>cm</w:t>
            </w:r>
            <w:r>
              <w:rPr>
                <w:color w:val="000000"/>
                <w:kern w:val="0"/>
                <w:vertAlign w:val="superscript"/>
              </w:rPr>
              <w:t>4</w:t>
            </w:r>
            <w:r>
              <w:rPr>
                <w:color w:val="000000"/>
                <w:kern w:val="0"/>
              </w:rPr>
              <w:t>/m</w:t>
            </w:r>
          </w:p>
        </w:tc>
        <w:tc>
          <w:tcPr>
            <w:tcW w:w="763" w:type="dxa"/>
            <w:tcBorders>
              <w:top w:val="single" w:color="auto" w:sz="4" w:space="0"/>
              <w:left w:val="nil"/>
              <w:bottom w:val="single" w:color="auto" w:sz="4" w:space="0"/>
              <w:right w:val="single" w:color="auto" w:sz="4" w:space="0"/>
            </w:tcBorders>
            <w:vAlign w:val="center"/>
          </w:tcPr>
          <w:p w14:paraId="1F80BC28">
            <w:pPr>
              <w:widowControl/>
              <w:jc w:val="center"/>
              <w:rPr>
                <w:color w:val="000000"/>
                <w:kern w:val="0"/>
              </w:rPr>
            </w:pPr>
            <w:r>
              <w:rPr>
                <w:color w:val="000000"/>
                <w:kern w:val="0"/>
              </w:rPr>
              <w:t>cm</w:t>
            </w:r>
            <w:r>
              <w:rPr>
                <w:color w:val="000000"/>
                <w:kern w:val="0"/>
                <w:vertAlign w:val="superscript"/>
              </w:rPr>
              <w:t>3</w:t>
            </w:r>
            <w:r>
              <w:rPr>
                <w:color w:val="000000"/>
                <w:kern w:val="0"/>
              </w:rPr>
              <w:t>/m</w:t>
            </w:r>
          </w:p>
        </w:tc>
      </w:tr>
      <w:tr w14:paraId="1257D5E0">
        <w:tblPrEx>
          <w:tblCellMar>
            <w:top w:w="0" w:type="dxa"/>
            <w:left w:w="108" w:type="dxa"/>
            <w:bottom w:w="0" w:type="dxa"/>
            <w:right w:w="108" w:type="dxa"/>
          </w:tblCellMar>
        </w:tblPrEx>
        <w:trPr>
          <w:trHeight w:val="600" w:hRule="atLeast"/>
        </w:trPr>
        <w:tc>
          <w:tcPr>
            <w:tcW w:w="858" w:type="dxa"/>
            <w:tcBorders>
              <w:top w:val="nil"/>
              <w:left w:val="single" w:color="auto" w:sz="4" w:space="0"/>
              <w:bottom w:val="single" w:color="auto" w:sz="4" w:space="0"/>
              <w:right w:val="single" w:color="auto" w:sz="4" w:space="0"/>
            </w:tcBorders>
            <w:vAlign w:val="center"/>
          </w:tcPr>
          <w:p w14:paraId="42EF7B37">
            <w:pPr>
              <w:widowControl/>
              <w:jc w:val="center"/>
              <w:rPr>
                <w:color w:val="000000"/>
                <w:kern w:val="0"/>
              </w:rPr>
            </w:pPr>
            <w:r>
              <w:rPr>
                <w:color w:val="000000"/>
                <w:kern w:val="0"/>
              </w:rPr>
              <w:t>SP-</w:t>
            </w:r>
            <w:r>
              <w:rPr>
                <w:rFonts w:hint="eastAsia" w:ascii="宋体" w:hAnsi="宋体" w:cs="宋体"/>
                <w:color w:val="000000"/>
                <w:kern w:val="0"/>
              </w:rPr>
              <w:t>Ⅱ</w:t>
            </w:r>
          </w:p>
        </w:tc>
        <w:tc>
          <w:tcPr>
            <w:tcW w:w="636" w:type="dxa"/>
            <w:tcBorders>
              <w:top w:val="single" w:color="auto" w:sz="4" w:space="0"/>
              <w:left w:val="nil"/>
              <w:bottom w:val="single" w:color="auto" w:sz="4" w:space="0"/>
              <w:right w:val="single" w:color="auto" w:sz="4" w:space="0"/>
            </w:tcBorders>
            <w:vAlign w:val="center"/>
          </w:tcPr>
          <w:p w14:paraId="7856D4AE">
            <w:pPr>
              <w:widowControl/>
              <w:jc w:val="center"/>
              <w:rPr>
                <w:color w:val="000000"/>
                <w:kern w:val="0"/>
              </w:rPr>
            </w:pPr>
            <w:r>
              <w:rPr>
                <w:color w:val="000000"/>
                <w:kern w:val="0"/>
              </w:rPr>
              <w:t>400</w:t>
            </w:r>
          </w:p>
        </w:tc>
        <w:tc>
          <w:tcPr>
            <w:tcW w:w="636" w:type="dxa"/>
            <w:tcBorders>
              <w:top w:val="single" w:color="auto" w:sz="4" w:space="0"/>
              <w:left w:val="nil"/>
              <w:bottom w:val="single" w:color="auto" w:sz="4" w:space="0"/>
              <w:right w:val="single" w:color="auto" w:sz="4" w:space="0"/>
            </w:tcBorders>
            <w:vAlign w:val="center"/>
          </w:tcPr>
          <w:p w14:paraId="362A0009">
            <w:pPr>
              <w:widowControl/>
              <w:jc w:val="center"/>
              <w:rPr>
                <w:color w:val="000000"/>
                <w:kern w:val="0"/>
              </w:rPr>
            </w:pPr>
            <w:r>
              <w:rPr>
                <w:color w:val="000000"/>
                <w:kern w:val="0"/>
              </w:rPr>
              <w:t>100</w:t>
            </w:r>
          </w:p>
        </w:tc>
        <w:tc>
          <w:tcPr>
            <w:tcW w:w="677" w:type="dxa"/>
            <w:tcBorders>
              <w:top w:val="single" w:color="auto" w:sz="4" w:space="0"/>
              <w:left w:val="nil"/>
              <w:bottom w:val="single" w:color="auto" w:sz="4" w:space="0"/>
              <w:right w:val="single" w:color="auto" w:sz="4" w:space="0"/>
            </w:tcBorders>
            <w:vAlign w:val="center"/>
          </w:tcPr>
          <w:p w14:paraId="0450379C">
            <w:pPr>
              <w:widowControl/>
              <w:jc w:val="center"/>
              <w:rPr>
                <w:color w:val="000000"/>
                <w:kern w:val="0"/>
              </w:rPr>
            </w:pPr>
            <w:r>
              <w:rPr>
                <w:color w:val="000000"/>
                <w:kern w:val="0"/>
              </w:rPr>
              <w:t>10.5</w:t>
            </w:r>
          </w:p>
        </w:tc>
        <w:tc>
          <w:tcPr>
            <w:tcW w:w="900" w:type="dxa"/>
            <w:tcBorders>
              <w:top w:val="single" w:color="auto" w:sz="4" w:space="0"/>
              <w:left w:val="nil"/>
              <w:bottom w:val="single" w:color="auto" w:sz="4" w:space="0"/>
              <w:right w:val="single" w:color="auto" w:sz="4" w:space="0"/>
            </w:tcBorders>
            <w:vAlign w:val="center"/>
          </w:tcPr>
          <w:p w14:paraId="14720316">
            <w:pPr>
              <w:widowControl/>
              <w:jc w:val="center"/>
              <w:rPr>
                <w:color w:val="000000"/>
                <w:kern w:val="0"/>
              </w:rPr>
            </w:pPr>
            <w:r>
              <w:rPr>
                <w:color w:val="000000"/>
                <w:kern w:val="0"/>
              </w:rPr>
              <w:t>61.18</w:t>
            </w:r>
          </w:p>
        </w:tc>
        <w:tc>
          <w:tcPr>
            <w:tcW w:w="720" w:type="dxa"/>
            <w:tcBorders>
              <w:top w:val="single" w:color="auto" w:sz="4" w:space="0"/>
              <w:left w:val="nil"/>
              <w:bottom w:val="single" w:color="auto" w:sz="4" w:space="0"/>
              <w:right w:val="single" w:color="auto" w:sz="4" w:space="0"/>
            </w:tcBorders>
            <w:vAlign w:val="center"/>
          </w:tcPr>
          <w:p w14:paraId="74ED2B4C">
            <w:pPr>
              <w:widowControl/>
              <w:jc w:val="center"/>
              <w:rPr>
                <w:color w:val="000000"/>
                <w:kern w:val="0"/>
              </w:rPr>
            </w:pPr>
            <w:r>
              <w:rPr>
                <w:color w:val="000000"/>
                <w:kern w:val="0"/>
              </w:rPr>
              <w:t>48</w:t>
            </w:r>
          </w:p>
        </w:tc>
        <w:tc>
          <w:tcPr>
            <w:tcW w:w="900" w:type="dxa"/>
            <w:tcBorders>
              <w:top w:val="single" w:color="auto" w:sz="4" w:space="0"/>
              <w:left w:val="nil"/>
              <w:bottom w:val="single" w:color="auto" w:sz="4" w:space="0"/>
              <w:right w:val="single" w:color="auto" w:sz="4" w:space="0"/>
            </w:tcBorders>
            <w:vAlign w:val="center"/>
          </w:tcPr>
          <w:p w14:paraId="49A2E750">
            <w:pPr>
              <w:widowControl/>
              <w:jc w:val="center"/>
              <w:rPr>
                <w:color w:val="000000"/>
                <w:kern w:val="0"/>
              </w:rPr>
            </w:pPr>
            <w:r>
              <w:rPr>
                <w:color w:val="000000"/>
                <w:kern w:val="0"/>
              </w:rPr>
              <w:t>1240</w:t>
            </w:r>
          </w:p>
        </w:tc>
        <w:tc>
          <w:tcPr>
            <w:tcW w:w="660" w:type="dxa"/>
            <w:tcBorders>
              <w:top w:val="single" w:color="auto" w:sz="4" w:space="0"/>
              <w:left w:val="nil"/>
              <w:bottom w:val="single" w:color="auto" w:sz="4" w:space="0"/>
              <w:right w:val="single" w:color="auto" w:sz="4" w:space="0"/>
            </w:tcBorders>
            <w:vAlign w:val="center"/>
          </w:tcPr>
          <w:p w14:paraId="0990C6B3">
            <w:pPr>
              <w:widowControl/>
              <w:jc w:val="center"/>
              <w:rPr>
                <w:color w:val="000000"/>
                <w:kern w:val="0"/>
              </w:rPr>
            </w:pPr>
            <w:r>
              <w:rPr>
                <w:color w:val="000000"/>
                <w:kern w:val="0"/>
              </w:rPr>
              <w:t>152</w:t>
            </w:r>
          </w:p>
        </w:tc>
        <w:tc>
          <w:tcPr>
            <w:tcW w:w="846" w:type="dxa"/>
            <w:tcBorders>
              <w:top w:val="single" w:color="auto" w:sz="4" w:space="0"/>
              <w:left w:val="nil"/>
              <w:bottom w:val="single" w:color="auto" w:sz="4" w:space="0"/>
              <w:right w:val="single" w:color="auto" w:sz="4" w:space="0"/>
            </w:tcBorders>
            <w:vAlign w:val="center"/>
          </w:tcPr>
          <w:p w14:paraId="12238451">
            <w:pPr>
              <w:widowControl/>
              <w:jc w:val="center"/>
              <w:rPr>
                <w:color w:val="000000"/>
                <w:kern w:val="0"/>
              </w:rPr>
            </w:pPr>
            <w:r>
              <w:rPr>
                <w:color w:val="000000"/>
                <w:kern w:val="0"/>
              </w:rPr>
              <w:t>153</w:t>
            </w:r>
          </w:p>
        </w:tc>
        <w:tc>
          <w:tcPr>
            <w:tcW w:w="716" w:type="dxa"/>
            <w:tcBorders>
              <w:top w:val="single" w:color="auto" w:sz="4" w:space="0"/>
              <w:left w:val="nil"/>
              <w:bottom w:val="single" w:color="auto" w:sz="4" w:space="0"/>
              <w:right w:val="single" w:color="auto" w:sz="4" w:space="0"/>
            </w:tcBorders>
            <w:vAlign w:val="center"/>
          </w:tcPr>
          <w:p w14:paraId="7797CF3F">
            <w:pPr>
              <w:widowControl/>
              <w:jc w:val="center"/>
              <w:rPr>
                <w:color w:val="000000"/>
                <w:kern w:val="0"/>
              </w:rPr>
            </w:pPr>
            <w:r>
              <w:rPr>
                <w:color w:val="000000"/>
                <w:kern w:val="0"/>
              </w:rPr>
              <w:t>120</w:t>
            </w:r>
          </w:p>
        </w:tc>
        <w:tc>
          <w:tcPr>
            <w:tcW w:w="846" w:type="dxa"/>
            <w:tcBorders>
              <w:top w:val="single" w:color="auto" w:sz="4" w:space="0"/>
              <w:left w:val="nil"/>
              <w:bottom w:val="single" w:color="auto" w:sz="4" w:space="0"/>
              <w:right w:val="single" w:color="auto" w:sz="4" w:space="0"/>
            </w:tcBorders>
            <w:vAlign w:val="center"/>
          </w:tcPr>
          <w:p w14:paraId="15F68A18">
            <w:pPr>
              <w:widowControl/>
              <w:jc w:val="center"/>
              <w:rPr>
                <w:color w:val="000000"/>
                <w:kern w:val="0"/>
              </w:rPr>
            </w:pPr>
            <w:r>
              <w:rPr>
                <w:color w:val="000000"/>
                <w:kern w:val="0"/>
              </w:rPr>
              <w:t>8740</w:t>
            </w:r>
          </w:p>
        </w:tc>
        <w:tc>
          <w:tcPr>
            <w:tcW w:w="763" w:type="dxa"/>
            <w:tcBorders>
              <w:top w:val="single" w:color="auto" w:sz="4" w:space="0"/>
              <w:left w:val="nil"/>
              <w:bottom w:val="single" w:color="auto" w:sz="4" w:space="0"/>
              <w:right w:val="single" w:color="auto" w:sz="4" w:space="0"/>
            </w:tcBorders>
            <w:vAlign w:val="center"/>
          </w:tcPr>
          <w:p w14:paraId="2E1C64E8">
            <w:pPr>
              <w:widowControl/>
              <w:jc w:val="center"/>
              <w:rPr>
                <w:color w:val="000000"/>
                <w:kern w:val="0"/>
              </w:rPr>
            </w:pPr>
            <w:r>
              <w:rPr>
                <w:color w:val="000000"/>
                <w:kern w:val="0"/>
              </w:rPr>
              <w:t>874</w:t>
            </w:r>
          </w:p>
        </w:tc>
      </w:tr>
      <w:tr w14:paraId="71B5532F">
        <w:tblPrEx>
          <w:tblCellMar>
            <w:top w:w="0" w:type="dxa"/>
            <w:left w:w="108" w:type="dxa"/>
            <w:bottom w:w="0" w:type="dxa"/>
            <w:right w:w="108" w:type="dxa"/>
          </w:tblCellMar>
        </w:tblPrEx>
        <w:trPr>
          <w:trHeight w:val="600" w:hRule="atLeast"/>
        </w:trPr>
        <w:tc>
          <w:tcPr>
            <w:tcW w:w="858" w:type="dxa"/>
            <w:tcBorders>
              <w:top w:val="nil"/>
              <w:left w:val="single" w:color="auto" w:sz="4" w:space="0"/>
              <w:bottom w:val="single" w:color="auto" w:sz="4" w:space="0"/>
              <w:right w:val="single" w:color="auto" w:sz="4" w:space="0"/>
            </w:tcBorders>
            <w:vAlign w:val="center"/>
          </w:tcPr>
          <w:p w14:paraId="4EB4B1B0">
            <w:pPr>
              <w:widowControl/>
              <w:jc w:val="center"/>
              <w:rPr>
                <w:color w:val="000000"/>
                <w:kern w:val="0"/>
              </w:rPr>
            </w:pPr>
            <w:r>
              <w:rPr>
                <w:color w:val="000000"/>
                <w:kern w:val="0"/>
              </w:rPr>
              <w:t>SP-</w:t>
            </w:r>
            <w:r>
              <w:rPr>
                <w:rFonts w:hAnsi="宋体"/>
                <w:color w:val="000000"/>
                <w:kern w:val="0"/>
              </w:rPr>
              <w:t>Ⅲ</w:t>
            </w:r>
          </w:p>
        </w:tc>
        <w:tc>
          <w:tcPr>
            <w:tcW w:w="636" w:type="dxa"/>
            <w:tcBorders>
              <w:top w:val="single" w:color="auto" w:sz="4" w:space="0"/>
              <w:left w:val="nil"/>
              <w:bottom w:val="single" w:color="auto" w:sz="4" w:space="0"/>
              <w:right w:val="single" w:color="auto" w:sz="4" w:space="0"/>
            </w:tcBorders>
            <w:vAlign w:val="center"/>
          </w:tcPr>
          <w:p w14:paraId="05119970">
            <w:pPr>
              <w:widowControl/>
              <w:jc w:val="center"/>
              <w:rPr>
                <w:color w:val="000000"/>
                <w:kern w:val="0"/>
              </w:rPr>
            </w:pPr>
            <w:r>
              <w:rPr>
                <w:color w:val="000000"/>
                <w:kern w:val="0"/>
              </w:rPr>
              <w:t>400</w:t>
            </w:r>
          </w:p>
        </w:tc>
        <w:tc>
          <w:tcPr>
            <w:tcW w:w="636" w:type="dxa"/>
            <w:tcBorders>
              <w:top w:val="single" w:color="auto" w:sz="4" w:space="0"/>
              <w:left w:val="nil"/>
              <w:bottom w:val="single" w:color="auto" w:sz="4" w:space="0"/>
              <w:right w:val="single" w:color="auto" w:sz="4" w:space="0"/>
            </w:tcBorders>
            <w:vAlign w:val="center"/>
          </w:tcPr>
          <w:p w14:paraId="0F3811C4">
            <w:pPr>
              <w:widowControl/>
              <w:jc w:val="center"/>
              <w:rPr>
                <w:color w:val="000000"/>
                <w:kern w:val="0"/>
              </w:rPr>
            </w:pPr>
            <w:r>
              <w:rPr>
                <w:color w:val="000000"/>
                <w:kern w:val="0"/>
              </w:rPr>
              <w:t>125</w:t>
            </w:r>
          </w:p>
        </w:tc>
        <w:tc>
          <w:tcPr>
            <w:tcW w:w="677" w:type="dxa"/>
            <w:tcBorders>
              <w:top w:val="single" w:color="auto" w:sz="4" w:space="0"/>
              <w:left w:val="nil"/>
              <w:bottom w:val="single" w:color="auto" w:sz="4" w:space="0"/>
              <w:right w:val="single" w:color="auto" w:sz="4" w:space="0"/>
            </w:tcBorders>
            <w:vAlign w:val="center"/>
          </w:tcPr>
          <w:p w14:paraId="750E48E4">
            <w:pPr>
              <w:widowControl/>
              <w:jc w:val="center"/>
              <w:rPr>
                <w:color w:val="000000"/>
                <w:kern w:val="0"/>
              </w:rPr>
            </w:pPr>
            <w:r>
              <w:rPr>
                <w:color w:val="000000"/>
                <w:kern w:val="0"/>
              </w:rPr>
              <w:t>13</w:t>
            </w:r>
          </w:p>
        </w:tc>
        <w:tc>
          <w:tcPr>
            <w:tcW w:w="900" w:type="dxa"/>
            <w:tcBorders>
              <w:top w:val="single" w:color="auto" w:sz="4" w:space="0"/>
              <w:left w:val="nil"/>
              <w:bottom w:val="single" w:color="auto" w:sz="4" w:space="0"/>
              <w:right w:val="single" w:color="auto" w:sz="4" w:space="0"/>
            </w:tcBorders>
            <w:vAlign w:val="center"/>
          </w:tcPr>
          <w:p w14:paraId="400F57FA">
            <w:pPr>
              <w:widowControl/>
              <w:jc w:val="center"/>
              <w:rPr>
                <w:color w:val="000000"/>
                <w:kern w:val="0"/>
              </w:rPr>
            </w:pPr>
            <w:r>
              <w:rPr>
                <w:color w:val="000000"/>
                <w:kern w:val="0"/>
              </w:rPr>
              <w:t>76.42</w:t>
            </w:r>
          </w:p>
        </w:tc>
        <w:tc>
          <w:tcPr>
            <w:tcW w:w="720" w:type="dxa"/>
            <w:tcBorders>
              <w:top w:val="single" w:color="auto" w:sz="4" w:space="0"/>
              <w:left w:val="nil"/>
              <w:bottom w:val="single" w:color="auto" w:sz="4" w:space="0"/>
              <w:right w:val="single" w:color="auto" w:sz="4" w:space="0"/>
            </w:tcBorders>
            <w:vAlign w:val="center"/>
          </w:tcPr>
          <w:p w14:paraId="27AEE31F">
            <w:pPr>
              <w:widowControl/>
              <w:jc w:val="center"/>
              <w:rPr>
                <w:color w:val="000000"/>
                <w:kern w:val="0"/>
              </w:rPr>
            </w:pPr>
            <w:r>
              <w:rPr>
                <w:color w:val="000000"/>
                <w:kern w:val="0"/>
              </w:rPr>
              <w:t>60</w:t>
            </w:r>
          </w:p>
        </w:tc>
        <w:tc>
          <w:tcPr>
            <w:tcW w:w="900" w:type="dxa"/>
            <w:tcBorders>
              <w:top w:val="single" w:color="auto" w:sz="4" w:space="0"/>
              <w:left w:val="nil"/>
              <w:bottom w:val="single" w:color="auto" w:sz="4" w:space="0"/>
              <w:right w:val="single" w:color="auto" w:sz="4" w:space="0"/>
            </w:tcBorders>
            <w:vAlign w:val="center"/>
          </w:tcPr>
          <w:p w14:paraId="7B4BD2CE">
            <w:pPr>
              <w:widowControl/>
              <w:jc w:val="center"/>
              <w:rPr>
                <w:color w:val="000000"/>
                <w:kern w:val="0"/>
              </w:rPr>
            </w:pPr>
            <w:r>
              <w:rPr>
                <w:color w:val="000000"/>
                <w:kern w:val="0"/>
              </w:rPr>
              <w:t>2220</w:t>
            </w:r>
          </w:p>
        </w:tc>
        <w:tc>
          <w:tcPr>
            <w:tcW w:w="660" w:type="dxa"/>
            <w:tcBorders>
              <w:top w:val="single" w:color="auto" w:sz="4" w:space="0"/>
              <w:left w:val="nil"/>
              <w:bottom w:val="single" w:color="auto" w:sz="4" w:space="0"/>
              <w:right w:val="single" w:color="auto" w:sz="4" w:space="0"/>
            </w:tcBorders>
            <w:vAlign w:val="center"/>
          </w:tcPr>
          <w:p w14:paraId="26E33208">
            <w:pPr>
              <w:widowControl/>
              <w:jc w:val="center"/>
              <w:rPr>
                <w:color w:val="000000"/>
                <w:kern w:val="0"/>
              </w:rPr>
            </w:pPr>
            <w:r>
              <w:rPr>
                <w:color w:val="000000"/>
                <w:kern w:val="0"/>
              </w:rPr>
              <w:t>223</w:t>
            </w:r>
          </w:p>
        </w:tc>
        <w:tc>
          <w:tcPr>
            <w:tcW w:w="846" w:type="dxa"/>
            <w:tcBorders>
              <w:top w:val="single" w:color="auto" w:sz="4" w:space="0"/>
              <w:left w:val="nil"/>
              <w:bottom w:val="single" w:color="auto" w:sz="4" w:space="0"/>
              <w:right w:val="single" w:color="auto" w:sz="4" w:space="0"/>
            </w:tcBorders>
            <w:vAlign w:val="center"/>
          </w:tcPr>
          <w:p w14:paraId="750326DC">
            <w:pPr>
              <w:widowControl/>
              <w:jc w:val="center"/>
              <w:rPr>
                <w:color w:val="000000"/>
                <w:kern w:val="0"/>
              </w:rPr>
            </w:pPr>
            <w:r>
              <w:rPr>
                <w:color w:val="000000"/>
                <w:kern w:val="0"/>
              </w:rPr>
              <w:t>191</w:t>
            </w:r>
          </w:p>
        </w:tc>
        <w:tc>
          <w:tcPr>
            <w:tcW w:w="716" w:type="dxa"/>
            <w:tcBorders>
              <w:top w:val="single" w:color="auto" w:sz="4" w:space="0"/>
              <w:left w:val="nil"/>
              <w:bottom w:val="single" w:color="auto" w:sz="4" w:space="0"/>
              <w:right w:val="single" w:color="auto" w:sz="4" w:space="0"/>
            </w:tcBorders>
            <w:vAlign w:val="center"/>
          </w:tcPr>
          <w:p w14:paraId="14F6AA7B">
            <w:pPr>
              <w:widowControl/>
              <w:jc w:val="center"/>
              <w:rPr>
                <w:color w:val="000000"/>
                <w:kern w:val="0"/>
              </w:rPr>
            </w:pPr>
            <w:r>
              <w:rPr>
                <w:color w:val="000000"/>
                <w:kern w:val="0"/>
              </w:rPr>
              <w:t>150</w:t>
            </w:r>
          </w:p>
        </w:tc>
        <w:tc>
          <w:tcPr>
            <w:tcW w:w="846" w:type="dxa"/>
            <w:tcBorders>
              <w:top w:val="single" w:color="auto" w:sz="4" w:space="0"/>
              <w:left w:val="nil"/>
              <w:bottom w:val="single" w:color="auto" w:sz="4" w:space="0"/>
              <w:right w:val="single" w:color="auto" w:sz="4" w:space="0"/>
            </w:tcBorders>
            <w:vAlign w:val="center"/>
          </w:tcPr>
          <w:p w14:paraId="55F6DB2B">
            <w:pPr>
              <w:widowControl/>
              <w:jc w:val="center"/>
              <w:rPr>
                <w:color w:val="000000"/>
                <w:kern w:val="0"/>
              </w:rPr>
            </w:pPr>
            <w:r>
              <w:rPr>
                <w:color w:val="000000"/>
                <w:kern w:val="0"/>
              </w:rPr>
              <w:t>16800</w:t>
            </w:r>
          </w:p>
        </w:tc>
        <w:tc>
          <w:tcPr>
            <w:tcW w:w="763" w:type="dxa"/>
            <w:tcBorders>
              <w:top w:val="single" w:color="auto" w:sz="4" w:space="0"/>
              <w:left w:val="nil"/>
              <w:bottom w:val="single" w:color="auto" w:sz="4" w:space="0"/>
              <w:right w:val="single" w:color="auto" w:sz="4" w:space="0"/>
            </w:tcBorders>
            <w:vAlign w:val="center"/>
          </w:tcPr>
          <w:p w14:paraId="7A42DA15">
            <w:pPr>
              <w:widowControl/>
              <w:jc w:val="center"/>
              <w:rPr>
                <w:color w:val="000000"/>
                <w:kern w:val="0"/>
              </w:rPr>
            </w:pPr>
            <w:r>
              <w:rPr>
                <w:color w:val="000000"/>
                <w:kern w:val="0"/>
              </w:rPr>
              <w:t>1340</w:t>
            </w:r>
          </w:p>
        </w:tc>
      </w:tr>
      <w:tr w14:paraId="3AB79D79">
        <w:tblPrEx>
          <w:tblCellMar>
            <w:top w:w="0" w:type="dxa"/>
            <w:left w:w="108" w:type="dxa"/>
            <w:bottom w:w="0" w:type="dxa"/>
            <w:right w:w="108" w:type="dxa"/>
          </w:tblCellMar>
        </w:tblPrEx>
        <w:trPr>
          <w:trHeight w:val="600" w:hRule="atLeast"/>
        </w:trPr>
        <w:tc>
          <w:tcPr>
            <w:tcW w:w="858" w:type="dxa"/>
            <w:tcBorders>
              <w:top w:val="nil"/>
              <w:left w:val="single" w:color="auto" w:sz="4" w:space="0"/>
              <w:bottom w:val="single" w:color="auto" w:sz="4" w:space="0"/>
              <w:right w:val="single" w:color="auto" w:sz="4" w:space="0"/>
            </w:tcBorders>
            <w:vAlign w:val="center"/>
          </w:tcPr>
          <w:p w14:paraId="54452025">
            <w:pPr>
              <w:widowControl/>
              <w:jc w:val="center"/>
              <w:rPr>
                <w:color w:val="000000"/>
                <w:kern w:val="0"/>
              </w:rPr>
            </w:pPr>
            <w:r>
              <w:rPr>
                <w:color w:val="000000"/>
                <w:kern w:val="0"/>
              </w:rPr>
              <w:t>SP-</w:t>
            </w:r>
            <w:r>
              <w:rPr>
                <w:rFonts w:hAnsi="宋体"/>
                <w:color w:val="000000"/>
                <w:kern w:val="0"/>
              </w:rPr>
              <w:t>Ⅳ</w:t>
            </w:r>
          </w:p>
        </w:tc>
        <w:tc>
          <w:tcPr>
            <w:tcW w:w="636" w:type="dxa"/>
            <w:tcBorders>
              <w:top w:val="single" w:color="auto" w:sz="4" w:space="0"/>
              <w:left w:val="nil"/>
              <w:bottom w:val="single" w:color="auto" w:sz="4" w:space="0"/>
              <w:right w:val="single" w:color="auto" w:sz="4" w:space="0"/>
            </w:tcBorders>
            <w:vAlign w:val="center"/>
          </w:tcPr>
          <w:p w14:paraId="7AEEFED5">
            <w:pPr>
              <w:widowControl/>
              <w:jc w:val="center"/>
              <w:rPr>
                <w:color w:val="000000"/>
                <w:kern w:val="0"/>
              </w:rPr>
            </w:pPr>
            <w:r>
              <w:rPr>
                <w:color w:val="000000"/>
                <w:kern w:val="0"/>
              </w:rPr>
              <w:t>400</w:t>
            </w:r>
          </w:p>
        </w:tc>
        <w:tc>
          <w:tcPr>
            <w:tcW w:w="636" w:type="dxa"/>
            <w:tcBorders>
              <w:top w:val="single" w:color="auto" w:sz="4" w:space="0"/>
              <w:left w:val="nil"/>
              <w:bottom w:val="single" w:color="auto" w:sz="4" w:space="0"/>
              <w:right w:val="single" w:color="auto" w:sz="4" w:space="0"/>
            </w:tcBorders>
            <w:vAlign w:val="center"/>
          </w:tcPr>
          <w:p w14:paraId="3DB337F3">
            <w:pPr>
              <w:widowControl/>
              <w:jc w:val="center"/>
              <w:rPr>
                <w:color w:val="000000"/>
                <w:kern w:val="0"/>
              </w:rPr>
            </w:pPr>
            <w:r>
              <w:rPr>
                <w:color w:val="000000"/>
                <w:kern w:val="0"/>
              </w:rPr>
              <w:t>170</w:t>
            </w:r>
          </w:p>
        </w:tc>
        <w:tc>
          <w:tcPr>
            <w:tcW w:w="677" w:type="dxa"/>
            <w:tcBorders>
              <w:top w:val="single" w:color="auto" w:sz="4" w:space="0"/>
              <w:left w:val="nil"/>
              <w:bottom w:val="single" w:color="auto" w:sz="4" w:space="0"/>
              <w:right w:val="single" w:color="auto" w:sz="4" w:space="0"/>
            </w:tcBorders>
            <w:vAlign w:val="center"/>
          </w:tcPr>
          <w:p w14:paraId="1F7647CF">
            <w:pPr>
              <w:widowControl/>
              <w:jc w:val="center"/>
              <w:rPr>
                <w:color w:val="000000"/>
                <w:kern w:val="0"/>
              </w:rPr>
            </w:pPr>
            <w:r>
              <w:rPr>
                <w:color w:val="000000"/>
                <w:kern w:val="0"/>
              </w:rPr>
              <w:t>15.5</w:t>
            </w:r>
          </w:p>
        </w:tc>
        <w:tc>
          <w:tcPr>
            <w:tcW w:w="900" w:type="dxa"/>
            <w:tcBorders>
              <w:top w:val="single" w:color="auto" w:sz="4" w:space="0"/>
              <w:left w:val="nil"/>
              <w:bottom w:val="single" w:color="auto" w:sz="4" w:space="0"/>
              <w:right w:val="single" w:color="auto" w:sz="4" w:space="0"/>
            </w:tcBorders>
            <w:vAlign w:val="center"/>
          </w:tcPr>
          <w:p w14:paraId="17ADA492">
            <w:pPr>
              <w:widowControl/>
              <w:jc w:val="center"/>
              <w:rPr>
                <w:color w:val="000000"/>
                <w:kern w:val="0"/>
              </w:rPr>
            </w:pPr>
            <w:r>
              <w:rPr>
                <w:color w:val="000000"/>
                <w:kern w:val="0"/>
              </w:rPr>
              <w:t>96.99</w:t>
            </w:r>
          </w:p>
        </w:tc>
        <w:tc>
          <w:tcPr>
            <w:tcW w:w="720" w:type="dxa"/>
            <w:tcBorders>
              <w:top w:val="single" w:color="auto" w:sz="4" w:space="0"/>
              <w:left w:val="nil"/>
              <w:bottom w:val="single" w:color="auto" w:sz="4" w:space="0"/>
              <w:right w:val="single" w:color="auto" w:sz="4" w:space="0"/>
            </w:tcBorders>
            <w:vAlign w:val="center"/>
          </w:tcPr>
          <w:p w14:paraId="7B8F3CBE">
            <w:pPr>
              <w:widowControl/>
              <w:jc w:val="center"/>
              <w:rPr>
                <w:color w:val="000000"/>
                <w:kern w:val="0"/>
              </w:rPr>
            </w:pPr>
            <w:r>
              <w:rPr>
                <w:color w:val="000000"/>
                <w:kern w:val="0"/>
              </w:rPr>
              <w:t>76.1</w:t>
            </w:r>
          </w:p>
        </w:tc>
        <w:tc>
          <w:tcPr>
            <w:tcW w:w="900" w:type="dxa"/>
            <w:tcBorders>
              <w:top w:val="single" w:color="auto" w:sz="4" w:space="0"/>
              <w:left w:val="nil"/>
              <w:bottom w:val="single" w:color="auto" w:sz="4" w:space="0"/>
              <w:right w:val="single" w:color="auto" w:sz="4" w:space="0"/>
            </w:tcBorders>
            <w:vAlign w:val="center"/>
          </w:tcPr>
          <w:p w14:paraId="411A3EB5">
            <w:pPr>
              <w:widowControl/>
              <w:jc w:val="center"/>
              <w:rPr>
                <w:color w:val="000000"/>
                <w:kern w:val="0"/>
              </w:rPr>
            </w:pPr>
            <w:r>
              <w:rPr>
                <w:color w:val="000000"/>
                <w:kern w:val="0"/>
              </w:rPr>
              <w:t>4670</w:t>
            </w:r>
          </w:p>
        </w:tc>
        <w:tc>
          <w:tcPr>
            <w:tcW w:w="660" w:type="dxa"/>
            <w:tcBorders>
              <w:top w:val="single" w:color="auto" w:sz="4" w:space="0"/>
              <w:left w:val="nil"/>
              <w:bottom w:val="single" w:color="auto" w:sz="4" w:space="0"/>
              <w:right w:val="single" w:color="auto" w:sz="4" w:space="0"/>
            </w:tcBorders>
            <w:vAlign w:val="center"/>
          </w:tcPr>
          <w:p w14:paraId="26E47EFF">
            <w:pPr>
              <w:widowControl/>
              <w:jc w:val="center"/>
              <w:rPr>
                <w:color w:val="000000"/>
                <w:kern w:val="0"/>
              </w:rPr>
            </w:pPr>
            <w:r>
              <w:rPr>
                <w:color w:val="000000"/>
                <w:kern w:val="0"/>
              </w:rPr>
              <w:t>362</w:t>
            </w:r>
          </w:p>
        </w:tc>
        <w:tc>
          <w:tcPr>
            <w:tcW w:w="846" w:type="dxa"/>
            <w:tcBorders>
              <w:top w:val="single" w:color="auto" w:sz="4" w:space="0"/>
              <w:left w:val="nil"/>
              <w:bottom w:val="single" w:color="auto" w:sz="4" w:space="0"/>
              <w:right w:val="single" w:color="auto" w:sz="4" w:space="0"/>
            </w:tcBorders>
            <w:vAlign w:val="center"/>
          </w:tcPr>
          <w:p w14:paraId="26E8BCED">
            <w:pPr>
              <w:widowControl/>
              <w:jc w:val="center"/>
              <w:rPr>
                <w:color w:val="000000"/>
                <w:kern w:val="0"/>
              </w:rPr>
            </w:pPr>
            <w:r>
              <w:rPr>
                <w:color w:val="000000"/>
                <w:kern w:val="0"/>
              </w:rPr>
              <w:t>242.5</w:t>
            </w:r>
          </w:p>
        </w:tc>
        <w:tc>
          <w:tcPr>
            <w:tcW w:w="716" w:type="dxa"/>
            <w:tcBorders>
              <w:top w:val="single" w:color="auto" w:sz="4" w:space="0"/>
              <w:left w:val="nil"/>
              <w:bottom w:val="single" w:color="auto" w:sz="4" w:space="0"/>
              <w:right w:val="single" w:color="auto" w:sz="4" w:space="0"/>
            </w:tcBorders>
            <w:vAlign w:val="center"/>
          </w:tcPr>
          <w:p w14:paraId="49A4A418">
            <w:pPr>
              <w:widowControl/>
              <w:jc w:val="center"/>
              <w:rPr>
                <w:color w:val="000000"/>
                <w:kern w:val="0"/>
              </w:rPr>
            </w:pPr>
            <w:r>
              <w:rPr>
                <w:color w:val="000000"/>
                <w:kern w:val="0"/>
              </w:rPr>
              <w:t>190</w:t>
            </w:r>
          </w:p>
        </w:tc>
        <w:tc>
          <w:tcPr>
            <w:tcW w:w="846" w:type="dxa"/>
            <w:tcBorders>
              <w:top w:val="single" w:color="auto" w:sz="4" w:space="0"/>
              <w:left w:val="nil"/>
              <w:bottom w:val="single" w:color="auto" w:sz="4" w:space="0"/>
              <w:right w:val="single" w:color="auto" w:sz="4" w:space="0"/>
            </w:tcBorders>
            <w:vAlign w:val="center"/>
          </w:tcPr>
          <w:p w14:paraId="4C37F7F2">
            <w:pPr>
              <w:widowControl/>
              <w:jc w:val="center"/>
              <w:rPr>
                <w:color w:val="000000"/>
                <w:kern w:val="0"/>
              </w:rPr>
            </w:pPr>
            <w:r>
              <w:rPr>
                <w:color w:val="000000"/>
                <w:kern w:val="0"/>
              </w:rPr>
              <w:t>38600</w:t>
            </w:r>
          </w:p>
        </w:tc>
        <w:tc>
          <w:tcPr>
            <w:tcW w:w="763" w:type="dxa"/>
            <w:tcBorders>
              <w:top w:val="single" w:color="auto" w:sz="4" w:space="0"/>
              <w:left w:val="nil"/>
              <w:bottom w:val="single" w:color="auto" w:sz="4" w:space="0"/>
              <w:right w:val="single" w:color="auto" w:sz="4" w:space="0"/>
            </w:tcBorders>
            <w:vAlign w:val="center"/>
          </w:tcPr>
          <w:p w14:paraId="1A2FE6D8">
            <w:pPr>
              <w:widowControl/>
              <w:jc w:val="center"/>
              <w:rPr>
                <w:color w:val="000000"/>
                <w:kern w:val="0"/>
              </w:rPr>
            </w:pPr>
            <w:r>
              <w:rPr>
                <w:color w:val="000000"/>
                <w:kern w:val="0"/>
              </w:rPr>
              <w:t>2270</w:t>
            </w:r>
          </w:p>
        </w:tc>
      </w:tr>
      <w:tr w14:paraId="1B2F5C45">
        <w:tblPrEx>
          <w:tblCellMar>
            <w:top w:w="0" w:type="dxa"/>
            <w:left w:w="108" w:type="dxa"/>
            <w:bottom w:w="0" w:type="dxa"/>
            <w:right w:w="108" w:type="dxa"/>
          </w:tblCellMar>
        </w:tblPrEx>
        <w:trPr>
          <w:trHeight w:val="600" w:hRule="atLeast"/>
        </w:trPr>
        <w:tc>
          <w:tcPr>
            <w:tcW w:w="858" w:type="dxa"/>
            <w:tcBorders>
              <w:top w:val="nil"/>
              <w:left w:val="single" w:color="auto" w:sz="4" w:space="0"/>
              <w:bottom w:val="single" w:color="auto" w:sz="4" w:space="0"/>
              <w:right w:val="single" w:color="auto" w:sz="4" w:space="0"/>
            </w:tcBorders>
            <w:vAlign w:val="center"/>
          </w:tcPr>
          <w:p w14:paraId="3120FCDB">
            <w:pPr>
              <w:widowControl/>
              <w:jc w:val="center"/>
              <w:rPr>
                <w:color w:val="000000"/>
                <w:kern w:val="0"/>
              </w:rPr>
            </w:pPr>
            <w:r>
              <w:rPr>
                <w:color w:val="000000"/>
                <w:kern w:val="0"/>
              </w:rPr>
              <w:t>SP-</w:t>
            </w:r>
            <w:r>
              <w:rPr>
                <w:rFonts w:hAnsi="宋体"/>
                <w:color w:val="000000"/>
                <w:kern w:val="0"/>
              </w:rPr>
              <w:t>Ⅴ</w:t>
            </w:r>
            <w:r>
              <w:rPr>
                <w:color w:val="000000"/>
                <w:kern w:val="0"/>
                <w:vertAlign w:val="subscript"/>
              </w:rPr>
              <w:t>L</w:t>
            </w:r>
          </w:p>
        </w:tc>
        <w:tc>
          <w:tcPr>
            <w:tcW w:w="636" w:type="dxa"/>
            <w:tcBorders>
              <w:top w:val="single" w:color="auto" w:sz="4" w:space="0"/>
              <w:left w:val="nil"/>
              <w:bottom w:val="single" w:color="auto" w:sz="4" w:space="0"/>
              <w:right w:val="single" w:color="auto" w:sz="4" w:space="0"/>
            </w:tcBorders>
            <w:vAlign w:val="center"/>
          </w:tcPr>
          <w:p w14:paraId="5991257D">
            <w:pPr>
              <w:widowControl/>
              <w:jc w:val="center"/>
              <w:rPr>
                <w:color w:val="000000"/>
                <w:kern w:val="0"/>
              </w:rPr>
            </w:pPr>
            <w:r>
              <w:rPr>
                <w:color w:val="000000"/>
                <w:kern w:val="0"/>
              </w:rPr>
              <w:t>500</w:t>
            </w:r>
          </w:p>
        </w:tc>
        <w:tc>
          <w:tcPr>
            <w:tcW w:w="636" w:type="dxa"/>
            <w:tcBorders>
              <w:top w:val="single" w:color="auto" w:sz="4" w:space="0"/>
              <w:left w:val="nil"/>
              <w:bottom w:val="single" w:color="auto" w:sz="4" w:space="0"/>
              <w:right w:val="single" w:color="auto" w:sz="4" w:space="0"/>
            </w:tcBorders>
            <w:vAlign w:val="center"/>
          </w:tcPr>
          <w:p w14:paraId="305814A3">
            <w:pPr>
              <w:widowControl/>
              <w:jc w:val="center"/>
              <w:rPr>
                <w:color w:val="000000"/>
                <w:kern w:val="0"/>
              </w:rPr>
            </w:pPr>
            <w:r>
              <w:rPr>
                <w:color w:val="000000"/>
                <w:kern w:val="0"/>
              </w:rPr>
              <w:t>200</w:t>
            </w:r>
          </w:p>
        </w:tc>
        <w:tc>
          <w:tcPr>
            <w:tcW w:w="677" w:type="dxa"/>
            <w:tcBorders>
              <w:top w:val="single" w:color="auto" w:sz="4" w:space="0"/>
              <w:left w:val="nil"/>
              <w:bottom w:val="single" w:color="auto" w:sz="4" w:space="0"/>
              <w:right w:val="single" w:color="auto" w:sz="4" w:space="0"/>
            </w:tcBorders>
            <w:vAlign w:val="center"/>
          </w:tcPr>
          <w:p w14:paraId="3E1C7E17">
            <w:pPr>
              <w:widowControl/>
              <w:jc w:val="center"/>
              <w:rPr>
                <w:color w:val="000000"/>
                <w:kern w:val="0"/>
              </w:rPr>
            </w:pPr>
            <w:r>
              <w:rPr>
                <w:color w:val="000000"/>
                <w:kern w:val="0"/>
              </w:rPr>
              <w:t>24.3</w:t>
            </w:r>
          </w:p>
        </w:tc>
        <w:tc>
          <w:tcPr>
            <w:tcW w:w="900" w:type="dxa"/>
            <w:tcBorders>
              <w:top w:val="single" w:color="auto" w:sz="4" w:space="0"/>
              <w:left w:val="nil"/>
              <w:bottom w:val="single" w:color="auto" w:sz="4" w:space="0"/>
              <w:right w:val="single" w:color="auto" w:sz="4" w:space="0"/>
            </w:tcBorders>
            <w:vAlign w:val="center"/>
          </w:tcPr>
          <w:p w14:paraId="661E2021">
            <w:pPr>
              <w:widowControl/>
              <w:jc w:val="center"/>
              <w:rPr>
                <w:color w:val="000000"/>
                <w:kern w:val="0"/>
              </w:rPr>
            </w:pPr>
            <w:r>
              <w:rPr>
                <w:color w:val="000000"/>
                <w:kern w:val="0"/>
              </w:rPr>
              <w:t>133.8</w:t>
            </w:r>
          </w:p>
        </w:tc>
        <w:tc>
          <w:tcPr>
            <w:tcW w:w="720" w:type="dxa"/>
            <w:tcBorders>
              <w:top w:val="single" w:color="auto" w:sz="4" w:space="0"/>
              <w:left w:val="nil"/>
              <w:bottom w:val="single" w:color="auto" w:sz="4" w:space="0"/>
              <w:right w:val="single" w:color="auto" w:sz="4" w:space="0"/>
            </w:tcBorders>
            <w:vAlign w:val="center"/>
          </w:tcPr>
          <w:p w14:paraId="2CC381C8">
            <w:pPr>
              <w:widowControl/>
              <w:jc w:val="center"/>
              <w:rPr>
                <w:color w:val="000000"/>
                <w:kern w:val="0"/>
              </w:rPr>
            </w:pPr>
            <w:r>
              <w:rPr>
                <w:color w:val="000000"/>
                <w:kern w:val="0"/>
              </w:rPr>
              <w:t>105</w:t>
            </w:r>
          </w:p>
        </w:tc>
        <w:tc>
          <w:tcPr>
            <w:tcW w:w="900" w:type="dxa"/>
            <w:tcBorders>
              <w:top w:val="single" w:color="auto" w:sz="4" w:space="0"/>
              <w:left w:val="nil"/>
              <w:bottom w:val="single" w:color="auto" w:sz="4" w:space="0"/>
              <w:right w:val="single" w:color="auto" w:sz="4" w:space="0"/>
            </w:tcBorders>
            <w:vAlign w:val="center"/>
          </w:tcPr>
          <w:p w14:paraId="6356AFCB">
            <w:pPr>
              <w:widowControl/>
              <w:jc w:val="center"/>
              <w:rPr>
                <w:color w:val="000000"/>
                <w:kern w:val="0"/>
              </w:rPr>
            </w:pPr>
            <w:r>
              <w:rPr>
                <w:color w:val="000000"/>
                <w:kern w:val="0"/>
              </w:rPr>
              <w:t>7960</w:t>
            </w:r>
          </w:p>
        </w:tc>
        <w:tc>
          <w:tcPr>
            <w:tcW w:w="660" w:type="dxa"/>
            <w:tcBorders>
              <w:top w:val="single" w:color="auto" w:sz="4" w:space="0"/>
              <w:left w:val="nil"/>
              <w:bottom w:val="single" w:color="auto" w:sz="4" w:space="0"/>
              <w:right w:val="single" w:color="auto" w:sz="4" w:space="0"/>
            </w:tcBorders>
            <w:vAlign w:val="center"/>
          </w:tcPr>
          <w:p w14:paraId="0FA2EC4B">
            <w:pPr>
              <w:widowControl/>
              <w:jc w:val="center"/>
              <w:rPr>
                <w:color w:val="000000"/>
                <w:kern w:val="0"/>
              </w:rPr>
            </w:pPr>
            <w:r>
              <w:rPr>
                <w:color w:val="000000"/>
                <w:kern w:val="0"/>
              </w:rPr>
              <w:t>520</w:t>
            </w:r>
          </w:p>
        </w:tc>
        <w:tc>
          <w:tcPr>
            <w:tcW w:w="846" w:type="dxa"/>
            <w:tcBorders>
              <w:top w:val="single" w:color="auto" w:sz="4" w:space="0"/>
              <w:left w:val="nil"/>
              <w:bottom w:val="single" w:color="auto" w:sz="4" w:space="0"/>
              <w:right w:val="single" w:color="auto" w:sz="4" w:space="0"/>
            </w:tcBorders>
            <w:vAlign w:val="center"/>
          </w:tcPr>
          <w:p w14:paraId="784FC226">
            <w:pPr>
              <w:widowControl/>
              <w:jc w:val="center"/>
              <w:rPr>
                <w:color w:val="000000"/>
                <w:kern w:val="0"/>
              </w:rPr>
            </w:pPr>
            <w:r>
              <w:rPr>
                <w:color w:val="000000"/>
                <w:kern w:val="0"/>
              </w:rPr>
              <w:t>267.6</w:t>
            </w:r>
          </w:p>
        </w:tc>
        <w:tc>
          <w:tcPr>
            <w:tcW w:w="716" w:type="dxa"/>
            <w:tcBorders>
              <w:top w:val="single" w:color="auto" w:sz="4" w:space="0"/>
              <w:left w:val="nil"/>
              <w:bottom w:val="single" w:color="auto" w:sz="4" w:space="0"/>
              <w:right w:val="single" w:color="auto" w:sz="4" w:space="0"/>
            </w:tcBorders>
            <w:vAlign w:val="center"/>
          </w:tcPr>
          <w:p w14:paraId="26D821E5">
            <w:pPr>
              <w:widowControl/>
              <w:jc w:val="center"/>
              <w:rPr>
                <w:color w:val="000000"/>
                <w:kern w:val="0"/>
              </w:rPr>
            </w:pPr>
            <w:r>
              <w:rPr>
                <w:color w:val="000000"/>
                <w:kern w:val="0"/>
              </w:rPr>
              <w:t>210</w:t>
            </w:r>
          </w:p>
        </w:tc>
        <w:tc>
          <w:tcPr>
            <w:tcW w:w="846" w:type="dxa"/>
            <w:tcBorders>
              <w:top w:val="single" w:color="auto" w:sz="4" w:space="0"/>
              <w:left w:val="nil"/>
              <w:bottom w:val="single" w:color="auto" w:sz="4" w:space="0"/>
              <w:right w:val="single" w:color="auto" w:sz="4" w:space="0"/>
            </w:tcBorders>
            <w:vAlign w:val="center"/>
          </w:tcPr>
          <w:p w14:paraId="4C990BDB">
            <w:pPr>
              <w:widowControl/>
              <w:jc w:val="center"/>
              <w:rPr>
                <w:color w:val="000000"/>
                <w:kern w:val="0"/>
              </w:rPr>
            </w:pPr>
            <w:r>
              <w:rPr>
                <w:color w:val="000000"/>
                <w:kern w:val="0"/>
              </w:rPr>
              <w:t>6300</w:t>
            </w:r>
          </w:p>
        </w:tc>
        <w:tc>
          <w:tcPr>
            <w:tcW w:w="763" w:type="dxa"/>
            <w:tcBorders>
              <w:top w:val="single" w:color="auto" w:sz="4" w:space="0"/>
              <w:left w:val="nil"/>
              <w:bottom w:val="single" w:color="auto" w:sz="4" w:space="0"/>
              <w:right w:val="single" w:color="auto" w:sz="4" w:space="0"/>
            </w:tcBorders>
            <w:vAlign w:val="center"/>
          </w:tcPr>
          <w:p w14:paraId="2668BD35">
            <w:pPr>
              <w:widowControl/>
              <w:jc w:val="center"/>
              <w:rPr>
                <w:color w:val="000000"/>
                <w:kern w:val="0"/>
              </w:rPr>
            </w:pPr>
            <w:r>
              <w:rPr>
                <w:color w:val="000000"/>
                <w:kern w:val="0"/>
              </w:rPr>
              <w:t>3150</w:t>
            </w:r>
          </w:p>
        </w:tc>
      </w:tr>
      <w:tr w14:paraId="36D13509">
        <w:trPr>
          <w:trHeight w:val="600" w:hRule="atLeast"/>
        </w:trPr>
        <w:tc>
          <w:tcPr>
            <w:tcW w:w="858" w:type="dxa"/>
            <w:tcBorders>
              <w:top w:val="nil"/>
              <w:left w:val="single" w:color="auto" w:sz="4" w:space="0"/>
              <w:bottom w:val="single" w:color="auto" w:sz="4" w:space="0"/>
              <w:right w:val="single" w:color="auto" w:sz="4" w:space="0"/>
            </w:tcBorders>
            <w:vAlign w:val="center"/>
          </w:tcPr>
          <w:p w14:paraId="02F37785">
            <w:pPr>
              <w:widowControl/>
              <w:jc w:val="center"/>
              <w:rPr>
                <w:color w:val="000000"/>
                <w:kern w:val="0"/>
              </w:rPr>
            </w:pPr>
            <w:r>
              <w:rPr>
                <w:color w:val="000000"/>
                <w:kern w:val="0"/>
              </w:rPr>
              <w:t>SP-</w:t>
            </w:r>
            <w:r>
              <w:rPr>
                <w:rFonts w:hAnsi="宋体"/>
                <w:color w:val="000000"/>
                <w:kern w:val="0"/>
              </w:rPr>
              <w:t>Ⅵ</w:t>
            </w:r>
            <w:r>
              <w:rPr>
                <w:color w:val="000000"/>
                <w:kern w:val="0"/>
                <w:vertAlign w:val="subscript"/>
              </w:rPr>
              <w:t>L</w:t>
            </w:r>
          </w:p>
        </w:tc>
        <w:tc>
          <w:tcPr>
            <w:tcW w:w="636" w:type="dxa"/>
            <w:tcBorders>
              <w:top w:val="single" w:color="auto" w:sz="4" w:space="0"/>
              <w:left w:val="nil"/>
              <w:bottom w:val="single" w:color="auto" w:sz="4" w:space="0"/>
              <w:right w:val="single" w:color="auto" w:sz="4" w:space="0"/>
            </w:tcBorders>
            <w:vAlign w:val="center"/>
          </w:tcPr>
          <w:p w14:paraId="513CE27C">
            <w:pPr>
              <w:widowControl/>
              <w:jc w:val="center"/>
              <w:rPr>
                <w:color w:val="000000"/>
                <w:kern w:val="0"/>
              </w:rPr>
            </w:pPr>
            <w:r>
              <w:rPr>
                <w:color w:val="000000"/>
                <w:kern w:val="0"/>
              </w:rPr>
              <w:t>500</w:t>
            </w:r>
          </w:p>
        </w:tc>
        <w:tc>
          <w:tcPr>
            <w:tcW w:w="636" w:type="dxa"/>
            <w:tcBorders>
              <w:top w:val="single" w:color="auto" w:sz="4" w:space="0"/>
              <w:left w:val="nil"/>
              <w:bottom w:val="single" w:color="auto" w:sz="4" w:space="0"/>
              <w:right w:val="single" w:color="auto" w:sz="4" w:space="0"/>
            </w:tcBorders>
            <w:vAlign w:val="center"/>
          </w:tcPr>
          <w:p w14:paraId="27C99F98">
            <w:pPr>
              <w:widowControl/>
              <w:jc w:val="center"/>
              <w:rPr>
                <w:color w:val="000000"/>
                <w:kern w:val="0"/>
              </w:rPr>
            </w:pPr>
            <w:r>
              <w:rPr>
                <w:color w:val="000000"/>
                <w:kern w:val="0"/>
              </w:rPr>
              <w:t>225</w:t>
            </w:r>
          </w:p>
        </w:tc>
        <w:tc>
          <w:tcPr>
            <w:tcW w:w="677" w:type="dxa"/>
            <w:tcBorders>
              <w:top w:val="single" w:color="auto" w:sz="4" w:space="0"/>
              <w:left w:val="nil"/>
              <w:bottom w:val="single" w:color="auto" w:sz="4" w:space="0"/>
              <w:right w:val="single" w:color="auto" w:sz="4" w:space="0"/>
            </w:tcBorders>
            <w:vAlign w:val="center"/>
          </w:tcPr>
          <w:p w14:paraId="7CFC4DF3">
            <w:pPr>
              <w:widowControl/>
              <w:jc w:val="center"/>
              <w:rPr>
                <w:color w:val="000000"/>
                <w:kern w:val="0"/>
              </w:rPr>
            </w:pPr>
            <w:r>
              <w:rPr>
                <w:color w:val="000000"/>
                <w:kern w:val="0"/>
              </w:rPr>
              <w:t>27.6</w:t>
            </w:r>
          </w:p>
        </w:tc>
        <w:tc>
          <w:tcPr>
            <w:tcW w:w="900" w:type="dxa"/>
            <w:tcBorders>
              <w:top w:val="single" w:color="auto" w:sz="4" w:space="0"/>
              <w:left w:val="nil"/>
              <w:bottom w:val="single" w:color="auto" w:sz="4" w:space="0"/>
              <w:right w:val="single" w:color="auto" w:sz="4" w:space="0"/>
            </w:tcBorders>
            <w:vAlign w:val="center"/>
          </w:tcPr>
          <w:p w14:paraId="76476B45">
            <w:pPr>
              <w:widowControl/>
              <w:jc w:val="center"/>
              <w:rPr>
                <w:color w:val="000000"/>
                <w:kern w:val="0"/>
              </w:rPr>
            </w:pPr>
            <w:r>
              <w:rPr>
                <w:color w:val="000000"/>
                <w:kern w:val="0"/>
              </w:rPr>
              <w:t>153</w:t>
            </w:r>
          </w:p>
        </w:tc>
        <w:tc>
          <w:tcPr>
            <w:tcW w:w="720" w:type="dxa"/>
            <w:tcBorders>
              <w:top w:val="single" w:color="auto" w:sz="4" w:space="0"/>
              <w:left w:val="nil"/>
              <w:bottom w:val="single" w:color="auto" w:sz="4" w:space="0"/>
              <w:right w:val="single" w:color="auto" w:sz="4" w:space="0"/>
            </w:tcBorders>
            <w:vAlign w:val="center"/>
          </w:tcPr>
          <w:p w14:paraId="2CEB29FB">
            <w:pPr>
              <w:widowControl/>
              <w:jc w:val="center"/>
              <w:rPr>
                <w:color w:val="000000"/>
                <w:kern w:val="0"/>
              </w:rPr>
            </w:pPr>
            <w:r>
              <w:rPr>
                <w:color w:val="000000"/>
                <w:kern w:val="0"/>
              </w:rPr>
              <w:t>120</w:t>
            </w:r>
          </w:p>
        </w:tc>
        <w:tc>
          <w:tcPr>
            <w:tcW w:w="900" w:type="dxa"/>
            <w:tcBorders>
              <w:top w:val="single" w:color="auto" w:sz="4" w:space="0"/>
              <w:left w:val="nil"/>
              <w:bottom w:val="single" w:color="auto" w:sz="4" w:space="0"/>
              <w:right w:val="single" w:color="auto" w:sz="4" w:space="0"/>
            </w:tcBorders>
            <w:vAlign w:val="center"/>
          </w:tcPr>
          <w:p w14:paraId="54B65C06">
            <w:pPr>
              <w:widowControl/>
              <w:jc w:val="center"/>
              <w:rPr>
                <w:color w:val="000000"/>
                <w:kern w:val="0"/>
              </w:rPr>
            </w:pPr>
            <w:r>
              <w:rPr>
                <w:color w:val="000000"/>
                <w:kern w:val="0"/>
              </w:rPr>
              <w:t>11400</w:t>
            </w:r>
          </w:p>
        </w:tc>
        <w:tc>
          <w:tcPr>
            <w:tcW w:w="660" w:type="dxa"/>
            <w:tcBorders>
              <w:top w:val="single" w:color="auto" w:sz="4" w:space="0"/>
              <w:left w:val="nil"/>
              <w:bottom w:val="single" w:color="auto" w:sz="4" w:space="0"/>
              <w:right w:val="single" w:color="auto" w:sz="4" w:space="0"/>
            </w:tcBorders>
            <w:vAlign w:val="center"/>
          </w:tcPr>
          <w:p w14:paraId="72F523D9">
            <w:pPr>
              <w:widowControl/>
              <w:jc w:val="center"/>
              <w:rPr>
                <w:color w:val="000000"/>
                <w:kern w:val="0"/>
              </w:rPr>
            </w:pPr>
            <w:r>
              <w:rPr>
                <w:color w:val="000000"/>
                <w:kern w:val="0"/>
              </w:rPr>
              <w:t>680</w:t>
            </w:r>
          </w:p>
        </w:tc>
        <w:tc>
          <w:tcPr>
            <w:tcW w:w="846" w:type="dxa"/>
            <w:tcBorders>
              <w:top w:val="single" w:color="auto" w:sz="4" w:space="0"/>
              <w:left w:val="nil"/>
              <w:bottom w:val="single" w:color="auto" w:sz="4" w:space="0"/>
              <w:right w:val="single" w:color="auto" w:sz="4" w:space="0"/>
            </w:tcBorders>
            <w:vAlign w:val="center"/>
          </w:tcPr>
          <w:p w14:paraId="416D3B96">
            <w:pPr>
              <w:widowControl/>
              <w:jc w:val="center"/>
              <w:rPr>
                <w:color w:val="000000"/>
                <w:kern w:val="0"/>
              </w:rPr>
            </w:pPr>
            <w:r>
              <w:rPr>
                <w:color w:val="000000"/>
                <w:kern w:val="0"/>
              </w:rPr>
              <w:t>306</w:t>
            </w:r>
          </w:p>
        </w:tc>
        <w:tc>
          <w:tcPr>
            <w:tcW w:w="716" w:type="dxa"/>
            <w:tcBorders>
              <w:top w:val="single" w:color="auto" w:sz="4" w:space="0"/>
              <w:left w:val="nil"/>
              <w:bottom w:val="single" w:color="auto" w:sz="4" w:space="0"/>
              <w:right w:val="single" w:color="auto" w:sz="4" w:space="0"/>
            </w:tcBorders>
            <w:vAlign w:val="center"/>
          </w:tcPr>
          <w:p w14:paraId="1693B7CC">
            <w:pPr>
              <w:widowControl/>
              <w:jc w:val="center"/>
              <w:rPr>
                <w:color w:val="000000"/>
                <w:kern w:val="0"/>
              </w:rPr>
            </w:pPr>
            <w:r>
              <w:rPr>
                <w:color w:val="000000"/>
                <w:kern w:val="0"/>
              </w:rPr>
              <w:t>240</w:t>
            </w:r>
          </w:p>
        </w:tc>
        <w:tc>
          <w:tcPr>
            <w:tcW w:w="846" w:type="dxa"/>
            <w:tcBorders>
              <w:top w:val="single" w:color="auto" w:sz="4" w:space="0"/>
              <w:left w:val="nil"/>
              <w:bottom w:val="single" w:color="auto" w:sz="4" w:space="0"/>
              <w:right w:val="single" w:color="auto" w:sz="4" w:space="0"/>
            </w:tcBorders>
            <w:vAlign w:val="center"/>
          </w:tcPr>
          <w:p w14:paraId="3BFEB978">
            <w:pPr>
              <w:widowControl/>
              <w:jc w:val="center"/>
              <w:rPr>
                <w:color w:val="000000"/>
                <w:kern w:val="0"/>
              </w:rPr>
            </w:pPr>
            <w:r>
              <w:rPr>
                <w:color w:val="000000"/>
                <w:kern w:val="0"/>
              </w:rPr>
              <w:t>8600</w:t>
            </w:r>
          </w:p>
        </w:tc>
        <w:tc>
          <w:tcPr>
            <w:tcW w:w="763" w:type="dxa"/>
            <w:tcBorders>
              <w:top w:val="single" w:color="auto" w:sz="4" w:space="0"/>
              <w:left w:val="nil"/>
              <w:bottom w:val="single" w:color="auto" w:sz="4" w:space="0"/>
              <w:right w:val="single" w:color="auto" w:sz="4" w:space="0"/>
            </w:tcBorders>
            <w:vAlign w:val="center"/>
          </w:tcPr>
          <w:p w14:paraId="361DF873">
            <w:pPr>
              <w:widowControl/>
              <w:jc w:val="center"/>
              <w:rPr>
                <w:color w:val="000000"/>
                <w:kern w:val="0"/>
              </w:rPr>
            </w:pPr>
            <w:r>
              <w:rPr>
                <w:color w:val="000000"/>
                <w:kern w:val="0"/>
              </w:rPr>
              <w:t>3820</w:t>
            </w:r>
          </w:p>
        </w:tc>
      </w:tr>
      <w:tr w14:paraId="055DA0CB">
        <w:tblPrEx>
          <w:tblCellMar>
            <w:top w:w="0" w:type="dxa"/>
            <w:left w:w="108" w:type="dxa"/>
            <w:bottom w:w="0" w:type="dxa"/>
            <w:right w:w="108" w:type="dxa"/>
          </w:tblCellMar>
        </w:tblPrEx>
        <w:trPr>
          <w:trHeight w:val="600" w:hRule="atLeast"/>
        </w:trPr>
        <w:tc>
          <w:tcPr>
            <w:tcW w:w="858" w:type="dxa"/>
            <w:tcBorders>
              <w:top w:val="nil"/>
              <w:left w:val="single" w:color="auto" w:sz="4" w:space="0"/>
              <w:bottom w:val="single" w:color="auto" w:sz="4" w:space="0"/>
              <w:right w:val="single" w:color="auto" w:sz="4" w:space="0"/>
            </w:tcBorders>
            <w:vAlign w:val="center"/>
          </w:tcPr>
          <w:p w14:paraId="12EC6B45">
            <w:pPr>
              <w:widowControl/>
              <w:jc w:val="center"/>
              <w:rPr>
                <w:color w:val="000000"/>
                <w:kern w:val="0"/>
              </w:rPr>
            </w:pPr>
            <w:r>
              <w:rPr>
                <w:color w:val="000000"/>
                <w:kern w:val="0"/>
              </w:rPr>
              <w:t>SP-</w:t>
            </w:r>
            <w:r>
              <w:rPr>
                <w:rFonts w:hAnsi="宋体"/>
                <w:color w:val="000000"/>
                <w:kern w:val="0"/>
              </w:rPr>
              <w:t>Ⅱ</w:t>
            </w:r>
            <w:r>
              <w:rPr>
                <w:color w:val="000000"/>
                <w:kern w:val="0"/>
                <w:vertAlign w:val="subscript"/>
              </w:rPr>
              <w:t>W</w:t>
            </w:r>
          </w:p>
        </w:tc>
        <w:tc>
          <w:tcPr>
            <w:tcW w:w="636" w:type="dxa"/>
            <w:tcBorders>
              <w:top w:val="single" w:color="auto" w:sz="4" w:space="0"/>
              <w:left w:val="nil"/>
              <w:bottom w:val="single" w:color="auto" w:sz="4" w:space="0"/>
              <w:right w:val="single" w:color="auto" w:sz="4" w:space="0"/>
            </w:tcBorders>
            <w:vAlign w:val="center"/>
          </w:tcPr>
          <w:p w14:paraId="12DBF71B">
            <w:pPr>
              <w:widowControl/>
              <w:jc w:val="center"/>
              <w:rPr>
                <w:color w:val="000000"/>
                <w:kern w:val="0"/>
              </w:rPr>
            </w:pPr>
            <w:r>
              <w:rPr>
                <w:color w:val="000000"/>
                <w:kern w:val="0"/>
              </w:rPr>
              <w:t>600</w:t>
            </w:r>
          </w:p>
        </w:tc>
        <w:tc>
          <w:tcPr>
            <w:tcW w:w="636" w:type="dxa"/>
            <w:tcBorders>
              <w:top w:val="single" w:color="auto" w:sz="4" w:space="0"/>
              <w:left w:val="nil"/>
              <w:bottom w:val="single" w:color="auto" w:sz="4" w:space="0"/>
              <w:right w:val="single" w:color="auto" w:sz="4" w:space="0"/>
            </w:tcBorders>
            <w:vAlign w:val="center"/>
          </w:tcPr>
          <w:p w14:paraId="1BA393C3">
            <w:pPr>
              <w:widowControl/>
              <w:jc w:val="center"/>
              <w:rPr>
                <w:color w:val="000000"/>
                <w:kern w:val="0"/>
              </w:rPr>
            </w:pPr>
            <w:r>
              <w:rPr>
                <w:color w:val="000000"/>
                <w:kern w:val="0"/>
              </w:rPr>
              <w:t>130</w:t>
            </w:r>
          </w:p>
        </w:tc>
        <w:tc>
          <w:tcPr>
            <w:tcW w:w="677" w:type="dxa"/>
            <w:tcBorders>
              <w:top w:val="single" w:color="auto" w:sz="4" w:space="0"/>
              <w:left w:val="nil"/>
              <w:bottom w:val="single" w:color="auto" w:sz="4" w:space="0"/>
              <w:right w:val="single" w:color="auto" w:sz="4" w:space="0"/>
            </w:tcBorders>
            <w:vAlign w:val="center"/>
          </w:tcPr>
          <w:p w14:paraId="6D686838">
            <w:pPr>
              <w:widowControl/>
              <w:jc w:val="center"/>
              <w:rPr>
                <w:color w:val="000000"/>
                <w:kern w:val="0"/>
              </w:rPr>
            </w:pPr>
            <w:r>
              <w:rPr>
                <w:color w:val="000000"/>
                <w:kern w:val="0"/>
              </w:rPr>
              <w:t>10.3</w:t>
            </w:r>
          </w:p>
        </w:tc>
        <w:tc>
          <w:tcPr>
            <w:tcW w:w="900" w:type="dxa"/>
            <w:tcBorders>
              <w:top w:val="single" w:color="auto" w:sz="4" w:space="0"/>
              <w:left w:val="nil"/>
              <w:bottom w:val="single" w:color="auto" w:sz="4" w:space="0"/>
              <w:right w:val="single" w:color="auto" w:sz="4" w:space="0"/>
            </w:tcBorders>
            <w:vAlign w:val="center"/>
          </w:tcPr>
          <w:p w14:paraId="59731804">
            <w:pPr>
              <w:widowControl/>
              <w:jc w:val="center"/>
              <w:rPr>
                <w:color w:val="000000"/>
                <w:kern w:val="0"/>
              </w:rPr>
            </w:pPr>
            <w:r>
              <w:rPr>
                <w:color w:val="000000"/>
                <w:kern w:val="0"/>
              </w:rPr>
              <w:t>78.7</w:t>
            </w:r>
          </w:p>
        </w:tc>
        <w:tc>
          <w:tcPr>
            <w:tcW w:w="720" w:type="dxa"/>
            <w:tcBorders>
              <w:top w:val="single" w:color="auto" w:sz="4" w:space="0"/>
              <w:left w:val="nil"/>
              <w:bottom w:val="single" w:color="auto" w:sz="4" w:space="0"/>
              <w:right w:val="single" w:color="auto" w:sz="4" w:space="0"/>
            </w:tcBorders>
            <w:vAlign w:val="center"/>
          </w:tcPr>
          <w:p w14:paraId="2F6D2C0B">
            <w:pPr>
              <w:widowControl/>
              <w:jc w:val="center"/>
              <w:rPr>
                <w:color w:val="000000"/>
                <w:kern w:val="0"/>
              </w:rPr>
            </w:pPr>
            <w:r>
              <w:rPr>
                <w:color w:val="000000"/>
                <w:kern w:val="0"/>
              </w:rPr>
              <w:t>61.8</w:t>
            </w:r>
          </w:p>
        </w:tc>
        <w:tc>
          <w:tcPr>
            <w:tcW w:w="900" w:type="dxa"/>
            <w:tcBorders>
              <w:top w:val="single" w:color="auto" w:sz="4" w:space="0"/>
              <w:left w:val="nil"/>
              <w:bottom w:val="single" w:color="auto" w:sz="4" w:space="0"/>
              <w:right w:val="single" w:color="auto" w:sz="4" w:space="0"/>
            </w:tcBorders>
            <w:vAlign w:val="center"/>
          </w:tcPr>
          <w:p w14:paraId="0A3F6CA1">
            <w:pPr>
              <w:widowControl/>
              <w:jc w:val="center"/>
              <w:rPr>
                <w:color w:val="000000"/>
                <w:kern w:val="0"/>
              </w:rPr>
            </w:pPr>
            <w:r>
              <w:rPr>
                <w:color w:val="000000"/>
                <w:kern w:val="0"/>
              </w:rPr>
              <w:t>2110</w:t>
            </w:r>
          </w:p>
        </w:tc>
        <w:tc>
          <w:tcPr>
            <w:tcW w:w="660" w:type="dxa"/>
            <w:tcBorders>
              <w:top w:val="single" w:color="auto" w:sz="4" w:space="0"/>
              <w:left w:val="nil"/>
              <w:bottom w:val="single" w:color="auto" w:sz="4" w:space="0"/>
              <w:right w:val="single" w:color="auto" w:sz="4" w:space="0"/>
            </w:tcBorders>
            <w:vAlign w:val="center"/>
          </w:tcPr>
          <w:p w14:paraId="3E370CAB">
            <w:pPr>
              <w:widowControl/>
              <w:jc w:val="center"/>
              <w:rPr>
                <w:color w:val="000000"/>
                <w:kern w:val="0"/>
              </w:rPr>
            </w:pPr>
            <w:r>
              <w:rPr>
                <w:color w:val="000000"/>
                <w:kern w:val="0"/>
              </w:rPr>
              <w:t>203</w:t>
            </w:r>
          </w:p>
        </w:tc>
        <w:tc>
          <w:tcPr>
            <w:tcW w:w="846" w:type="dxa"/>
            <w:tcBorders>
              <w:top w:val="single" w:color="auto" w:sz="4" w:space="0"/>
              <w:left w:val="nil"/>
              <w:bottom w:val="single" w:color="auto" w:sz="4" w:space="0"/>
              <w:right w:val="single" w:color="auto" w:sz="4" w:space="0"/>
            </w:tcBorders>
            <w:vAlign w:val="center"/>
          </w:tcPr>
          <w:p w14:paraId="60EDCE17">
            <w:pPr>
              <w:widowControl/>
              <w:jc w:val="center"/>
              <w:rPr>
                <w:color w:val="000000"/>
                <w:kern w:val="0"/>
              </w:rPr>
            </w:pPr>
            <w:r>
              <w:rPr>
                <w:color w:val="000000"/>
                <w:kern w:val="0"/>
              </w:rPr>
              <w:t>131.2</w:t>
            </w:r>
          </w:p>
        </w:tc>
        <w:tc>
          <w:tcPr>
            <w:tcW w:w="716" w:type="dxa"/>
            <w:tcBorders>
              <w:top w:val="single" w:color="auto" w:sz="4" w:space="0"/>
              <w:left w:val="nil"/>
              <w:bottom w:val="single" w:color="auto" w:sz="4" w:space="0"/>
              <w:right w:val="single" w:color="auto" w:sz="4" w:space="0"/>
            </w:tcBorders>
            <w:vAlign w:val="center"/>
          </w:tcPr>
          <w:p w14:paraId="1E083D9F">
            <w:pPr>
              <w:widowControl/>
              <w:jc w:val="center"/>
              <w:rPr>
                <w:color w:val="000000"/>
                <w:kern w:val="0"/>
              </w:rPr>
            </w:pPr>
            <w:r>
              <w:rPr>
                <w:color w:val="000000"/>
                <w:kern w:val="0"/>
              </w:rPr>
              <w:t>103</w:t>
            </w:r>
          </w:p>
        </w:tc>
        <w:tc>
          <w:tcPr>
            <w:tcW w:w="846" w:type="dxa"/>
            <w:tcBorders>
              <w:top w:val="single" w:color="auto" w:sz="4" w:space="0"/>
              <w:left w:val="nil"/>
              <w:bottom w:val="single" w:color="auto" w:sz="4" w:space="0"/>
              <w:right w:val="single" w:color="auto" w:sz="4" w:space="0"/>
            </w:tcBorders>
            <w:vAlign w:val="center"/>
          </w:tcPr>
          <w:p w14:paraId="3D30BA81">
            <w:pPr>
              <w:widowControl/>
              <w:jc w:val="center"/>
              <w:rPr>
                <w:color w:val="000000"/>
                <w:kern w:val="0"/>
              </w:rPr>
            </w:pPr>
            <w:r>
              <w:rPr>
                <w:color w:val="000000"/>
                <w:kern w:val="0"/>
              </w:rPr>
              <w:t>13000</w:t>
            </w:r>
          </w:p>
        </w:tc>
        <w:tc>
          <w:tcPr>
            <w:tcW w:w="763" w:type="dxa"/>
            <w:tcBorders>
              <w:top w:val="single" w:color="auto" w:sz="4" w:space="0"/>
              <w:left w:val="nil"/>
              <w:bottom w:val="single" w:color="auto" w:sz="4" w:space="0"/>
              <w:right w:val="single" w:color="auto" w:sz="4" w:space="0"/>
            </w:tcBorders>
            <w:vAlign w:val="center"/>
          </w:tcPr>
          <w:p w14:paraId="116FB41E">
            <w:pPr>
              <w:widowControl/>
              <w:jc w:val="center"/>
              <w:rPr>
                <w:color w:val="000000"/>
                <w:kern w:val="0"/>
              </w:rPr>
            </w:pPr>
            <w:r>
              <w:rPr>
                <w:color w:val="000000"/>
                <w:kern w:val="0"/>
              </w:rPr>
              <w:t>1000</w:t>
            </w:r>
          </w:p>
        </w:tc>
      </w:tr>
      <w:tr w14:paraId="49B4B1BD">
        <w:tblPrEx>
          <w:tblCellMar>
            <w:top w:w="0" w:type="dxa"/>
            <w:left w:w="108" w:type="dxa"/>
            <w:bottom w:w="0" w:type="dxa"/>
            <w:right w:w="108" w:type="dxa"/>
          </w:tblCellMar>
        </w:tblPrEx>
        <w:trPr>
          <w:trHeight w:val="600" w:hRule="atLeast"/>
        </w:trPr>
        <w:tc>
          <w:tcPr>
            <w:tcW w:w="858" w:type="dxa"/>
            <w:tcBorders>
              <w:top w:val="nil"/>
              <w:left w:val="single" w:color="auto" w:sz="4" w:space="0"/>
              <w:bottom w:val="single" w:color="auto" w:sz="4" w:space="0"/>
              <w:right w:val="single" w:color="auto" w:sz="4" w:space="0"/>
            </w:tcBorders>
            <w:vAlign w:val="center"/>
          </w:tcPr>
          <w:p w14:paraId="73EE4091">
            <w:pPr>
              <w:widowControl/>
              <w:jc w:val="center"/>
              <w:rPr>
                <w:color w:val="000000"/>
                <w:kern w:val="0"/>
              </w:rPr>
            </w:pPr>
            <w:r>
              <w:rPr>
                <w:color w:val="000000"/>
                <w:kern w:val="0"/>
              </w:rPr>
              <w:t>SP-</w:t>
            </w:r>
            <w:r>
              <w:rPr>
                <w:rFonts w:hAnsi="宋体"/>
                <w:color w:val="000000"/>
                <w:kern w:val="0"/>
              </w:rPr>
              <w:t>Ⅲ</w:t>
            </w:r>
            <w:r>
              <w:rPr>
                <w:color w:val="000000"/>
                <w:kern w:val="0"/>
                <w:vertAlign w:val="subscript"/>
              </w:rPr>
              <w:t>W</w:t>
            </w:r>
          </w:p>
        </w:tc>
        <w:tc>
          <w:tcPr>
            <w:tcW w:w="636" w:type="dxa"/>
            <w:tcBorders>
              <w:top w:val="single" w:color="auto" w:sz="4" w:space="0"/>
              <w:left w:val="nil"/>
              <w:bottom w:val="single" w:color="auto" w:sz="4" w:space="0"/>
              <w:right w:val="single" w:color="auto" w:sz="4" w:space="0"/>
            </w:tcBorders>
            <w:vAlign w:val="center"/>
          </w:tcPr>
          <w:p w14:paraId="162FFD0E">
            <w:pPr>
              <w:widowControl/>
              <w:jc w:val="center"/>
              <w:rPr>
                <w:color w:val="000000"/>
                <w:kern w:val="0"/>
              </w:rPr>
            </w:pPr>
            <w:r>
              <w:rPr>
                <w:color w:val="000000"/>
                <w:kern w:val="0"/>
              </w:rPr>
              <w:t>600</w:t>
            </w:r>
          </w:p>
        </w:tc>
        <w:tc>
          <w:tcPr>
            <w:tcW w:w="636" w:type="dxa"/>
            <w:tcBorders>
              <w:top w:val="single" w:color="auto" w:sz="4" w:space="0"/>
              <w:left w:val="nil"/>
              <w:bottom w:val="single" w:color="auto" w:sz="4" w:space="0"/>
              <w:right w:val="single" w:color="auto" w:sz="4" w:space="0"/>
            </w:tcBorders>
            <w:vAlign w:val="center"/>
          </w:tcPr>
          <w:p w14:paraId="4A0BB7A9">
            <w:pPr>
              <w:widowControl/>
              <w:jc w:val="center"/>
              <w:rPr>
                <w:color w:val="000000"/>
                <w:kern w:val="0"/>
              </w:rPr>
            </w:pPr>
            <w:r>
              <w:rPr>
                <w:color w:val="000000"/>
                <w:kern w:val="0"/>
              </w:rPr>
              <w:t>180</w:t>
            </w:r>
          </w:p>
        </w:tc>
        <w:tc>
          <w:tcPr>
            <w:tcW w:w="677" w:type="dxa"/>
            <w:tcBorders>
              <w:top w:val="single" w:color="auto" w:sz="4" w:space="0"/>
              <w:left w:val="nil"/>
              <w:bottom w:val="single" w:color="auto" w:sz="4" w:space="0"/>
              <w:right w:val="single" w:color="auto" w:sz="4" w:space="0"/>
            </w:tcBorders>
            <w:vAlign w:val="center"/>
          </w:tcPr>
          <w:p w14:paraId="3E91A35D">
            <w:pPr>
              <w:widowControl/>
              <w:jc w:val="center"/>
              <w:rPr>
                <w:color w:val="000000"/>
                <w:kern w:val="0"/>
              </w:rPr>
            </w:pPr>
            <w:r>
              <w:rPr>
                <w:color w:val="000000"/>
                <w:kern w:val="0"/>
              </w:rPr>
              <w:t>13.4</w:t>
            </w:r>
          </w:p>
        </w:tc>
        <w:tc>
          <w:tcPr>
            <w:tcW w:w="900" w:type="dxa"/>
            <w:tcBorders>
              <w:top w:val="single" w:color="auto" w:sz="4" w:space="0"/>
              <w:left w:val="nil"/>
              <w:bottom w:val="single" w:color="auto" w:sz="4" w:space="0"/>
              <w:right w:val="single" w:color="auto" w:sz="4" w:space="0"/>
            </w:tcBorders>
            <w:vAlign w:val="center"/>
          </w:tcPr>
          <w:p w14:paraId="7434FFDF">
            <w:pPr>
              <w:widowControl/>
              <w:jc w:val="center"/>
              <w:rPr>
                <w:color w:val="000000"/>
                <w:kern w:val="0"/>
              </w:rPr>
            </w:pPr>
            <w:r>
              <w:rPr>
                <w:color w:val="000000"/>
                <w:kern w:val="0"/>
              </w:rPr>
              <w:t>103.9</w:t>
            </w:r>
          </w:p>
        </w:tc>
        <w:tc>
          <w:tcPr>
            <w:tcW w:w="720" w:type="dxa"/>
            <w:tcBorders>
              <w:top w:val="single" w:color="auto" w:sz="4" w:space="0"/>
              <w:left w:val="nil"/>
              <w:bottom w:val="single" w:color="auto" w:sz="4" w:space="0"/>
              <w:right w:val="single" w:color="auto" w:sz="4" w:space="0"/>
            </w:tcBorders>
            <w:vAlign w:val="center"/>
          </w:tcPr>
          <w:p w14:paraId="30490D17">
            <w:pPr>
              <w:widowControl/>
              <w:jc w:val="center"/>
              <w:rPr>
                <w:color w:val="000000"/>
                <w:kern w:val="0"/>
              </w:rPr>
            </w:pPr>
            <w:r>
              <w:rPr>
                <w:color w:val="000000"/>
                <w:kern w:val="0"/>
              </w:rPr>
              <w:t>81.6</w:t>
            </w:r>
          </w:p>
        </w:tc>
        <w:tc>
          <w:tcPr>
            <w:tcW w:w="900" w:type="dxa"/>
            <w:tcBorders>
              <w:top w:val="single" w:color="auto" w:sz="4" w:space="0"/>
              <w:left w:val="nil"/>
              <w:bottom w:val="single" w:color="auto" w:sz="4" w:space="0"/>
              <w:right w:val="single" w:color="auto" w:sz="4" w:space="0"/>
            </w:tcBorders>
            <w:vAlign w:val="center"/>
          </w:tcPr>
          <w:p w14:paraId="7D880797">
            <w:pPr>
              <w:widowControl/>
              <w:jc w:val="center"/>
              <w:rPr>
                <w:color w:val="000000"/>
                <w:kern w:val="0"/>
              </w:rPr>
            </w:pPr>
            <w:r>
              <w:rPr>
                <w:color w:val="000000"/>
                <w:kern w:val="0"/>
              </w:rPr>
              <w:t>5220</w:t>
            </w:r>
          </w:p>
        </w:tc>
        <w:tc>
          <w:tcPr>
            <w:tcW w:w="660" w:type="dxa"/>
            <w:tcBorders>
              <w:top w:val="single" w:color="auto" w:sz="4" w:space="0"/>
              <w:left w:val="nil"/>
              <w:bottom w:val="single" w:color="auto" w:sz="4" w:space="0"/>
              <w:right w:val="single" w:color="auto" w:sz="4" w:space="0"/>
            </w:tcBorders>
            <w:vAlign w:val="center"/>
          </w:tcPr>
          <w:p w14:paraId="66981CB2">
            <w:pPr>
              <w:widowControl/>
              <w:jc w:val="center"/>
              <w:rPr>
                <w:color w:val="000000"/>
                <w:kern w:val="0"/>
              </w:rPr>
            </w:pPr>
            <w:r>
              <w:rPr>
                <w:color w:val="000000"/>
                <w:kern w:val="0"/>
              </w:rPr>
              <w:t>376</w:t>
            </w:r>
          </w:p>
        </w:tc>
        <w:tc>
          <w:tcPr>
            <w:tcW w:w="846" w:type="dxa"/>
            <w:tcBorders>
              <w:top w:val="single" w:color="auto" w:sz="4" w:space="0"/>
              <w:left w:val="nil"/>
              <w:bottom w:val="single" w:color="auto" w:sz="4" w:space="0"/>
              <w:right w:val="single" w:color="auto" w:sz="4" w:space="0"/>
            </w:tcBorders>
            <w:vAlign w:val="center"/>
          </w:tcPr>
          <w:p w14:paraId="7491C7C8">
            <w:pPr>
              <w:widowControl/>
              <w:jc w:val="center"/>
              <w:rPr>
                <w:color w:val="000000"/>
                <w:kern w:val="0"/>
              </w:rPr>
            </w:pPr>
            <w:r>
              <w:rPr>
                <w:color w:val="000000"/>
                <w:kern w:val="0"/>
              </w:rPr>
              <w:t>173.2</w:t>
            </w:r>
          </w:p>
        </w:tc>
        <w:tc>
          <w:tcPr>
            <w:tcW w:w="716" w:type="dxa"/>
            <w:tcBorders>
              <w:top w:val="single" w:color="auto" w:sz="4" w:space="0"/>
              <w:left w:val="nil"/>
              <w:bottom w:val="single" w:color="auto" w:sz="4" w:space="0"/>
              <w:right w:val="single" w:color="auto" w:sz="4" w:space="0"/>
            </w:tcBorders>
            <w:vAlign w:val="center"/>
          </w:tcPr>
          <w:p w14:paraId="17AA2BCF">
            <w:pPr>
              <w:widowControl/>
              <w:jc w:val="center"/>
              <w:rPr>
                <w:color w:val="000000"/>
                <w:kern w:val="0"/>
              </w:rPr>
            </w:pPr>
            <w:r>
              <w:rPr>
                <w:color w:val="000000"/>
                <w:kern w:val="0"/>
              </w:rPr>
              <w:t>136</w:t>
            </w:r>
          </w:p>
        </w:tc>
        <w:tc>
          <w:tcPr>
            <w:tcW w:w="846" w:type="dxa"/>
            <w:tcBorders>
              <w:top w:val="single" w:color="auto" w:sz="4" w:space="0"/>
              <w:left w:val="nil"/>
              <w:bottom w:val="single" w:color="auto" w:sz="4" w:space="0"/>
              <w:right w:val="single" w:color="auto" w:sz="4" w:space="0"/>
            </w:tcBorders>
            <w:vAlign w:val="center"/>
          </w:tcPr>
          <w:p w14:paraId="765F6A41">
            <w:pPr>
              <w:widowControl/>
              <w:jc w:val="center"/>
              <w:rPr>
                <w:color w:val="000000"/>
                <w:kern w:val="0"/>
              </w:rPr>
            </w:pPr>
            <w:r>
              <w:rPr>
                <w:color w:val="000000"/>
                <w:kern w:val="0"/>
              </w:rPr>
              <w:t>32400</w:t>
            </w:r>
          </w:p>
        </w:tc>
        <w:tc>
          <w:tcPr>
            <w:tcW w:w="763" w:type="dxa"/>
            <w:tcBorders>
              <w:top w:val="single" w:color="auto" w:sz="4" w:space="0"/>
              <w:left w:val="nil"/>
              <w:bottom w:val="single" w:color="auto" w:sz="4" w:space="0"/>
              <w:right w:val="single" w:color="auto" w:sz="4" w:space="0"/>
            </w:tcBorders>
            <w:vAlign w:val="center"/>
          </w:tcPr>
          <w:p w14:paraId="457C3972">
            <w:pPr>
              <w:widowControl/>
              <w:jc w:val="center"/>
              <w:rPr>
                <w:color w:val="000000"/>
                <w:kern w:val="0"/>
              </w:rPr>
            </w:pPr>
            <w:r>
              <w:rPr>
                <w:color w:val="000000"/>
                <w:kern w:val="0"/>
              </w:rPr>
              <w:t>1800</w:t>
            </w:r>
          </w:p>
        </w:tc>
      </w:tr>
      <w:tr w14:paraId="0E71B235">
        <w:tblPrEx>
          <w:tblCellMar>
            <w:top w:w="0" w:type="dxa"/>
            <w:left w:w="108" w:type="dxa"/>
            <w:bottom w:w="0" w:type="dxa"/>
            <w:right w:w="108" w:type="dxa"/>
          </w:tblCellMar>
        </w:tblPrEx>
        <w:trPr>
          <w:trHeight w:val="600" w:hRule="atLeast"/>
        </w:trPr>
        <w:tc>
          <w:tcPr>
            <w:tcW w:w="858" w:type="dxa"/>
            <w:tcBorders>
              <w:top w:val="nil"/>
              <w:left w:val="single" w:color="auto" w:sz="4" w:space="0"/>
              <w:bottom w:val="single" w:color="auto" w:sz="4" w:space="0"/>
              <w:right w:val="single" w:color="auto" w:sz="4" w:space="0"/>
            </w:tcBorders>
            <w:vAlign w:val="center"/>
          </w:tcPr>
          <w:p w14:paraId="34138C02">
            <w:pPr>
              <w:widowControl/>
              <w:jc w:val="center"/>
              <w:rPr>
                <w:color w:val="000000"/>
                <w:kern w:val="0"/>
              </w:rPr>
            </w:pPr>
            <w:r>
              <w:rPr>
                <w:color w:val="000000"/>
                <w:kern w:val="0"/>
              </w:rPr>
              <w:t>SP-</w:t>
            </w:r>
            <w:r>
              <w:rPr>
                <w:rFonts w:hAnsi="宋体"/>
                <w:color w:val="000000"/>
                <w:kern w:val="0"/>
              </w:rPr>
              <w:t>Ⅳ</w:t>
            </w:r>
            <w:r>
              <w:rPr>
                <w:color w:val="000000"/>
                <w:kern w:val="0"/>
                <w:vertAlign w:val="subscript"/>
              </w:rPr>
              <w:t>W</w:t>
            </w:r>
          </w:p>
        </w:tc>
        <w:tc>
          <w:tcPr>
            <w:tcW w:w="636" w:type="dxa"/>
            <w:tcBorders>
              <w:top w:val="single" w:color="auto" w:sz="4" w:space="0"/>
              <w:left w:val="nil"/>
              <w:bottom w:val="single" w:color="auto" w:sz="4" w:space="0"/>
              <w:right w:val="single" w:color="auto" w:sz="4" w:space="0"/>
            </w:tcBorders>
            <w:vAlign w:val="center"/>
          </w:tcPr>
          <w:p w14:paraId="6CEEF53A">
            <w:pPr>
              <w:widowControl/>
              <w:jc w:val="center"/>
              <w:rPr>
                <w:color w:val="000000"/>
                <w:kern w:val="0"/>
              </w:rPr>
            </w:pPr>
            <w:r>
              <w:rPr>
                <w:color w:val="000000"/>
                <w:kern w:val="0"/>
              </w:rPr>
              <w:t>600</w:t>
            </w:r>
          </w:p>
        </w:tc>
        <w:tc>
          <w:tcPr>
            <w:tcW w:w="636" w:type="dxa"/>
            <w:tcBorders>
              <w:top w:val="single" w:color="auto" w:sz="4" w:space="0"/>
              <w:left w:val="nil"/>
              <w:bottom w:val="single" w:color="auto" w:sz="4" w:space="0"/>
              <w:right w:val="single" w:color="auto" w:sz="4" w:space="0"/>
            </w:tcBorders>
            <w:vAlign w:val="center"/>
          </w:tcPr>
          <w:p w14:paraId="26429D5F">
            <w:pPr>
              <w:widowControl/>
              <w:jc w:val="center"/>
              <w:rPr>
                <w:color w:val="000000"/>
                <w:kern w:val="0"/>
              </w:rPr>
            </w:pPr>
            <w:r>
              <w:rPr>
                <w:color w:val="000000"/>
                <w:kern w:val="0"/>
              </w:rPr>
              <w:t>210</w:t>
            </w:r>
          </w:p>
        </w:tc>
        <w:tc>
          <w:tcPr>
            <w:tcW w:w="677" w:type="dxa"/>
            <w:tcBorders>
              <w:top w:val="single" w:color="auto" w:sz="4" w:space="0"/>
              <w:left w:val="nil"/>
              <w:bottom w:val="single" w:color="auto" w:sz="4" w:space="0"/>
              <w:right w:val="single" w:color="auto" w:sz="4" w:space="0"/>
            </w:tcBorders>
            <w:vAlign w:val="center"/>
          </w:tcPr>
          <w:p w14:paraId="649BFD2E">
            <w:pPr>
              <w:widowControl/>
              <w:jc w:val="center"/>
              <w:rPr>
                <w:color w:val="000000"/>
                <w:kern w:val="0"/>
              </w:rPr>
            </w:pPr>
            <w:r>
              <w:rPr>
                <w:color w:val="000000"/>
                <w:kern w:val="0"/>
              </w:rPr>
              <w:t>18</w:t>
            </w:r>
          </w:p>
        </w:tc>
        <w:tc>
          <w:tcPr>
            <w:tcW w:w="900" w:type="dxa"/>
            <w:tcBorders>
              <w:top w:val="single" w:color="auto" w:sz="4" w:space="0"/>
              <w:left w:val="nil"/>
              <w:bottom w:val="single" w:color="auto" w:sz="4" w:space="0"/>
              <w:right w:val="single" w:color="auto" w:sz="4" w:space="0"/>
            </w:tcBorders>
            <w:vAlign w:val="center"/>
          </w:tcPr>
          <w:p w14:paraId="4F4CCC57">
            <w:pPr>
              <w:widowControl/>
              <w:jc w:val="center"/>
              <w:rPr>
                <w:color w:val="000000"/>
                <w:kern w:val="0"/>
              </w:rPr>
            </w:pPr>
            <w:r>
              <w:rPr>
                <w:color w:val="000000"/>
                <w:kern w:val="0"/>
              </w:rPr>
              <w:t>135.3</w:t>
            </w:r>
          </w:p>
        </w:tc>
        <w:tc>
          <w:tcPr>
            <w:tcW w:w="720" w:type="dxa"/>
            <w:tcBorders>
              <w:top w:val="single" w:color="auto" w:sz="4" w:space="0"/>
              <w:left w:val="nil"/>
              <w:bottom w:val="single" w:color="auto" w:sz="4" w:space="0"/>
              <w:right w:val="single" w:color="auto" w:sz="4" w:space="0"/>
            </w:tcBorders>
            <w:vAlign w:val="center"/>
          </w:tcPr>
          <w:p w14:paraId="5047FE65">
            <w:pPr>
              <w:widowControl/>
              <w:jc w:val="center"/>
              <w:rPr>
                <w:color w:val="000000"/>
                <w:kern w:val="0"/>
              </w:rPr>
            </w:pPr>
            <w:r>
              <w:rPr>
                <w:color w:val="000000"/>
                <w:kern w:val="0"/>
              </w:rPr>
              <w:t>106</w:t>
            </w:r>
          </w:p>
        </w:tc>
        <w:tc>
          <w:tcPr>
            <w:tcW w:w="900" w:type="dxa"/>
            <w:tcBorders>
              <w:top w:val="single" w:color="auto" w:sz="4" w:space="0"/>
              <w:left w:val="nil"/>
              <w:bottom w:val="single" w:color="auto" w:sz="4" w:space="0"/>
              <w:right w:val="single" w:color="auto" w:sz="4" w:space="0"/>
            </w:tcBorders>
            <w:vAlign w:val="center"/>
          </w:tcPr>
          <w:p w14:paraId="74F74BE5">
            <w:pPr>
              <w:widowControl/>
              <w:jc w:val="center"/>
              <w:rPr>
                <w:color w:val="000000"/>
                <w:kern w:val="0"/>
              </w:rPr>
            </w:pPr>
            <w:r>
              <w:rPr>
                <w:color w:val="000000"/>
                <w:kern w:val="0"/>
              </w:rPr>
              <w:t>8630</w:t>
            </w:r>
          </w:p>
        </w:tc>
        <w:tc>
          <w:tcPr>
            <w:tcW w:w="660" w:type="dxa"/>
            <w:tcBorders>
              <w:top w:val="single" w:color="auto" w:sz="4" w:space="0"/>
              <w:left w:val="nil"/>
              <w:bottom w:val="single" w:color="auto" w:sz="4" w:space="0"/>
              <w:right w:val="single" w:color="auto" w:sz="4" w:space="0"/>
            </w:tcBorders>
            <w:vAlign w:val="center"/>
          </w:tcPr>
          <w:p w14:paraId="4E277CE9">
            <w:pPr>
              <w:widowControl/>
              <w:jc w:val="center"/>
              <w:rPr>
                <w:color w:val="000000"/>
                <w:kern w:val="0"/>
              </w:rPr>
            </w:pPr>
            <w:r>
              <w:rPr>
                <w:color w:val="000000"/>
                <w:kern w:val="0"/>
              </w:rPr>
              <w:t>539</w:t>
            </w:r>
          </w:p>
        </w:tc>
        <w:tc>
          <w:tcPr>
            <w:tcW w:w="846" w:type="dxa"/>
            <w:tcBorders>
              <w:top w:val="single" w:color="auto" w:sz="4" w:space="0"/>
              <w:left w:val="nil"/>
              <w:bottom w:val="single" w:color="auto" w:sz="4" w:space="0"/>
              <w:right w:val="single" w:color="auto" w:sz="4" w:space="0"/>
            </w:tcBorders>
            <w:vAlign w:val="center"/>
          </w:tcPr>
          <w:p w14:paraId="5BEFE610">
            <w:pPr>
              <w:widowControl/>
              <w:jc w:val="center"/>
              <w:rPr>
                <w:color w:val="000000"/>
                <w:kern w:val="0"/>
              </w:rPr>
            </w:pPr>
            <w:r>
              <w:rPr>
                <w:color w:val="000000"/>
                <w:kern w:val="0"/>
              </w:rPr>
              <w:t>225.5</w:t>
            </w:r>
          </w:p>
        </w:tc>
        <w:tc>
          <w:tcPr>
            <w:tcW w:w="716" w:type="dxa"/>
            <w:tcBorders>
              <w:top w:val="single" w:color="auto" w:sz="4" w:space="0"/>
              <w:left w:val="nil"/>
              <w:bottom w:val="single" w:color="auto" w:sz="4" w:space="0"/>
              <w:right w:val="single" w:color="auto" w:sz="4" w:space="0"/>
            </w:tcBorders>
            <w:vAlign w:val="center"/>
          </w:tcPr>
          <w:p w14:paraId="1D59D17A">
            <w:pPr>
              <w:widowControl/>
              <w:jc w:val="center"/>
              <w:rPr>
                <w:color w:val="000000"/>
                <w:kern w:val="0"/>
              </w:rPr>
            </w:pPr>
            <w:r>
              <w:rPr>
                <w:color w:val="000000"/>
                <w:kern w:val="0"/>
              </w:rPr>
              <w:t>177</w:t>
            </w:r>
          </w:p>
        </w:tc>
        <w:tc>
          <w:tcPr>
            <w:tcW w:w="846" w:type="dxa"/>
            <w:tcBorders>
              <w:top w:val="single" w:color="auto" w:sz="4" w:space="0"/>
              <w:left w:val="nil"/>
              <w:bottom w:val="single" w:color="auto" w:sz="4" w:space="0"/>
              <w:right w:val="single" w:color="auto" w:sz="4" w:space="0"/>
            </w:tcBorders>
            <w:vAlign w:val="center"/>
          </w:tcPr>
          <w:p w14:paraId="19C5EABF">
            <w:pPr>
              <w:widowControl/>
              <w:jc w:val="center"/>
              <w:rPr>
                <w:color w:val="000000"/>
                <w:kern w:val="0"/>
              </w:rPr>
            </w:pPr>
            <w:r>
              <w:rPr>
                <w:color w:val="000000"/>
                <w:kern w:val="0"/>
              </w:rPr>
              <w:t>56700</w:t>
            </w:r>
          </w:p>
        </w:tc>
        <w:tc>
          <w:tcPr>
            <w:tcW w:w="763" w:type="dxa"/>
            <w:tcBorders>
              <w:top w:val="single" w:color="auto" w:sz="4" w:space="0"/>
              <w:left w:val="nil"/>
              <w:bottom w:val="single" w:color="auto" w:sz="4" w:space="0"/>
              <w:right w:val="single" w:color="auto" w:sz="4" w:space="0"/>
            </w:tcBorders>
            <w:vAlign w:val="center"/>
          </w:tcPr>
          <w:p w14:paraId="58CB686B">
            <w:pPr>
              <w:widowControl/>
              <w:jc w:val="center"/>
              <w:rPr>
                <w:color w:val="000000"/>
                <w:kern w:val="0"/>
              </w:rPr>
            </w:pPr>
            <w:r>
              <w:rPr>
                <w:color w:val="000000"/>
                <w:kern w:val="0"/>
              </w:rPr>
              <w:t>2700</w:t>
            </w:r>
          </w:p>
        </w:tc>
      </w:tr>
    </w:tbl>
    <w:p w14:paraId="3ACE4CDB"/>
    <w:p w14:paraId="176750D7"/>
    <w:p w14:paraId="7195156E">
      <w:r>
        <w:br w:type="page"/>
      </w:r>
    </w:p>
    <w:p w14:paraId="7F64082E">
      <w:pPr>
        <w:spacing w:line="360" w:lineRule="auto"/>
        <w:rPr>
          <w:rFonts w:ascii="黑体" w:hAnsi="黑体" w:eastAsia="黑体"/>
        </w:rPr>
      </w:pPr>
      <w:r>
        <w:rPr>
          <w:rFonts w:hint="eastAsia" w:ascii="黑体" w:hAnsi="黑体" w:eastAsia="黑体"/>
        </w:rPr>
        <w:t>B.0.</w:t>
      </w:r>
      <w:r>
        <w:rPr>
          <w:rFonts w:ascii="黑体" w:hAnsi="黑体" w:eastAsia="黑体"/>
        </w:rPr>
        <w:t>2</w:t>
      </w:r>
      <w:r>
        <w:rPr>
          <w:rFonts w:hint="eastAsia" w:ascii="黑体" w:hAnsi="黑体" w:eastAsia="黑体"/>
        </w:rPr>
        <w:t xml:space="preserve">  </w:t>
      </w:r>
      <w:r>
        <w:rPr>
          <w:rFonts w:hint="eastAsia"/>
        </w:rPr>
        <w:t>U型钢板桩材质及力学性能指标可按表B.0.</w:t>
      </w:r>
      <w:r>
        <w:t>2</w:t>
      </w:r>
      <w:r>
        <w:rPr>
          <w:rFonts w:hint="eastAsia"/>
        </w:rPr>
        <w:t>~B.0.</w:t>
      </w:r>
      <w:r>
        <w:t>3</w:t>
      </w:r>
      <w:r>
        <w:rPr>
          <w:rFonts w:hint="eastAsia"/>
        </w:rPr>
        <w:t>确定：</w:t>
      </w:r>
    </w:p>
    <w:p w14:paraId="3B9ACA37">
      <w:pPr>
        <w:jc w:val="center"/>
        <w:rPr>
          <w:rFonts w:ascii="黑体" w:hAnsi="黑体" w:eastAsia="黑体"/>
        </w:rPr>
      </w:pPr>
      <w:r>
        <w:rPr>
          <w:rFonts w:hint="eastAsia" w:ascii="黑体" w:hAnsi="黑体" w:eastAsia="黑体"/>
        </w:rPr>
        <w:t>表B.0.</w:t>
      </w:r>
      <w:r>
        <w:rPr>
          <w:rFonts w:ascii="黑体" w:hAnsi="黑体" w:eastAsia="黑体"/>
        </w:rPr>
        <w:t>2</w:t>
      </w:r>
      <w:r>
        <w:rPr>
          <w:rFonts w:hint="eastAsia" w:ascii="黑体" w:hAnsi="黑体" w:eastAsia="黑体"/>
        </w:rPr>
        <w:t xml:space="preserve">  热轧钢板桩材质</w:t>
      </w:r>
    </w:p>
    <w:tbl>
      <w:tblPr>
        <w:tblStyle w:val="17"/>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1767"/>
        <w:gridCol w:w="1616"/>
      </w:tblGrid>
      <w:tr w14:paraId="4372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14:paraId="3C4C8369">
            <w:pPr>
              <w:jc w:val="center"/>
            </w:pPr>
            <w:r>
              <w:rPr>
                <w:rFonts w:hint="eastAsia"/>
              </w:rPr>
              <w:t>等级</w:t>
            </w:r>
          </w:p>
        </w:tc>
        <w:tc>
          <w:tcPr>
            <w:tcW w:w="2268" w:type="dxa"/>
            <w:vAlign w:val="center"/>
          </w:tcPr>
          <w:p w14:paraId="5E5A2E68">
            <w:pPr>
              <w:jc w:val="center"/>
            </w:pPr>
            <w:r>
              <w:rPr>
                <w:rFonts w:hint="eastAsia"/>
              </w:rPr>
              <w:t>最小屈服强度ReH(kPa)</w:t>
            </w:r>
          </w:p>
        </w:tc>
        <w:tc>
          <w:tcPr>
            <w:tcW w:w="1767" w:type="dxa"/>
            <w:vAlign w:val="center"/>
          </w:tcPr>
          <w:p w14:paraId="44B32EC3">
            <w:pPr>
              <w:jc w:val="center"/>
            </w:pPr>
            <w:r>
              <w:rPr>
                <w:rFonts w:hint="eastAsia"/>
              </w:rPr>
              <w:t>最小抗拉强度(kPa)</w:t>
            </w:r>
          </w:p>
        </w:tc>
        <w:tc>
          <w:tcPr>
            <w:tcW w:w="1616" w:type="dxa"/>
            <w:vAlign w:val="center"/>
          </w:tcPr>
          <w:p w14:paraId="2915C6A8">
            <w:pPr>
              <w:jc w:val="center"/>
            </w:pPr>
            <w:r>
              <w:rPr>
                <w:rFonts w:hint="eastAsia"/>
              </w:rPr>
              <w:t>最小伸长度(%)</w:t>
            </w:r>
          </w:p>
        </w:tc>
      </w:tr>
      <w:tr w14:paraId="5136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68" w:type="dxa"/>
            <w:vAlign w:val="center"/>
          </w:tcPr>
          <w:p w14:paraId="2B7C6872">
            <w:pPr>
              <w:jc w:val="center"/>
            </w:pPr>
            <w:r>
              <w:t>S240 GP</w:t>
            </w:r>
          </w:p>
        </w:tc>
        <w:tc>
          <w:tcPr>
            <w:tcW w:w="2268" w:type="dxa"/>
            <w:vAlign w:val="center"/>
          </w:tcPr>
          <w:p w14:paraId="5EBFA186">
            <w:pPr>
              <w:jc w:val="center"/>
            </w:pPr>
            <w:r>
              <w:rPr>
                <w:rFonts w:hint="eastAsia"/>
              </w:rPr>
              <w:t>240</w:t>
            </w:r>
          </w:p>
        </w:tc>
        <w:tc>
          <w:tcPr>
            <w:tcW w:w="1767" w:type="dxa"/>
            <w:vAlign w:val="center"/>
          </w:tcPr>
          <w:p w14:paraId="78A46FC9">
            <w:pPr>
              <w:jc w:val="center"/>
            </w:pPr>
            <w:r>
              <w:rPr>
                <w:rFonts w:hint="eastAsia"/>
              </w:rPr>
              <w:t>340</w:t>
            </w:r>
          </w:p>
        </w:tc>
        <w:tc>
          <w:tcPr>
            <w:tcW w:w="1616" w:type="dxa"/>
            <w:vAlign w:val="center"/>
          </w:tcPr>
          <w:p w14:paraId="5761779E">
            <w:pPr>
              <w:jc w:val="center"/>
            </w:pPr>
            <w:r>
              <w:rPr>
                <w:rFonts w:hint="eastAsia"/>
              </w:rPr>
              <w:t>26</w:t>
            </w:r>
          </w:p>
        </w:tc>
      </w:tr>
      <w:tr w14:paraId="0AFE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668" w:type="dxa"/>
            <w:vAlign w:val="center"/>
          </w:tcPr>
          <w:p w14:paraId="3C02F8A0">
            <w:pPr>
              <w:jc w:val="center"/>
            </w:pPr>
            <w:r>
              <w:t>S270 GP</w:t>
            </w:r>
          </w:p>
        </w:tc>
        <w:tc>
          <w:tcPr>
            <w:tcW w:w="2268" w:type="dxa"/>
            <w:vAlign w:val="center"/>
          </w:tcPr>
          <w:p w14:paraId="5908F734">
            <w:pPr>
              <w:jc w:val="center"/>
            </w:pPr>
            <w:r>
              <w:rPr>
                <w:rFonts w:hint="eastAsia"/>
              </w:rPr>
              <w:t>270</w:t>
            </w:r>
          </w:p>
        </w:tc>
        <w:tc>
          <w:tcPr>
            <w:tcW w:w="1767" w:type="dxa"/>
            <w:vAlign w:val="center"/>
          </w:tcPr>
          <w:p w14:paraId="48006101">
            <w:pPr>
              <w:jc w:val="center"/>
            </w:pPr>
            <w:r>
              <w:rPr>
                <w:rFonts w:hint="eastAsia"/>
              </w:rPr>
              <w:t>4</w:t>
            </w:r>
            <w:r>
              <w:t>10</w:t>
            </w:r>
          </w:p>
        </w:tc>
        <w:tc>
          <w:tcPr>
            <w:tcW w:w="1616" w:type="dxa"/>
            <w:vAlign w:val="center"/>
          </w:tcPr>
          <w:p w14:paraId="51963868">
            <w:pPr>
              <w:jc w:val="center"/>
            </w:pPr>
            <w:r>
              <w:rPr>
                <w:rFonts w:hint="eastAsia"/>
              </w:rPr>
              <w:t>24</w:t>
            </w:r>
          </w:p>
        </w:tc>
      </w:tr>
      <w:tr w14:paraId="2C0D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668" w:type="dxa"/>
            <w:vAlign w:val="center"/>
          </w:tcPr>
          <w:p w14:paraId="6C2B85B2">
            <w:pPr>
              <w:jc w:val="center"/>
            </w:pPr>
            <w:r>
              <w:t>S320 GP</w:t>
            </w:r>
          </w:p>
        </w:tc>
        <w:tc>
          <w:tcPr>
            <w:tcW w:w="2268" w:type="dxa"/>
            <w:vAlign w:val="center"/>
          </w:tcPr>
          <w:p w14:paraId="5CB500A3">
            <w:pPr>
              <w:jc w:val="center"/>
            </w:pPr>
            <w:r>
              <w:rPr>
                <w:rFonts w:hint="eastAsia"/>
              </w:rPr>
              <w:t>320</w:t>
            </w:r>
          </w:p>
        </w:tc>
        <w:tc>
          <w:tcPr>
            <w:tcW w:w="1767" w:type="dxa"/>
            <w:vAlign w:val="center"/>
          </w:tcPr>
          <w:p w14:paraId="26E65A89">
            <w:pPr>
              <w:jc w:val="center"/>
            </w:pPr>
            <w:r>
              <w:rPr>
                <w:rFonts w:hint="eastAsia"/>
              </w:rPr>
              <w:t>4</w:t>
            </w:r>
            <w:r>
              <w:t>40</w:t>
            </w:r>
          </w:p>
        </w:tc>
        <w:tc>
          <w:tcPr>
            <w:tcW w:w="1616" w:type="dxa"/>
            <w:vAlign w:val="center"/>
          </w:tcPr>
          <w:p w14:paraId="6E2C1421">
            <w:pPr>
              <w:jc w:val="center"/>
            </w:pPr>
            <w:r>
              <w:rPr>
                <w:rFonts w:hint="eastAsia"/>
              </w:rPr>
              <w:t>23</w:t>
            </w:r>
          </w:p>
        </w:tc>
      </w:tr>
      <w:tr w14:paraId="2250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668" w:type="dxa"/>
            <w:vAlign w:val="center"/>
          </w:tcPr>
          <w:p w14:paraId="123B03AC">
            <w:pPr>
              <w:jc w:val="center"/>
            </w:pPr>
            <w:r>
              <w:t>S355 GP</w:t>
            </w:r>
          </w:p>
        </w:tc>
        <w:tc>
          <w:tcPr>
            <w:tcW w:w="2268" w:type="dxa"/>
            <w:vAlign w:val="center"/>
          </w:tcPr>
          <w:p w14:paraId="7D088EEF">
            <w:pPr>
              <w:jc w:val="center"/>
            </w:pPr>
            <w:r>
              <w:rPr>
                <w:rFonts w:hint="eastAsia"/>
              </w:rPr>
              <w:t>355</w:t>
            </w:r>
          </w:p>
        </w:tc>
        <w:tc>
          <w:tcPr>
            <w:tcW w:w="1767" w:type="dxa"/>
            <w:vAlign w:val="center"/>
          </w:tcPr>
          <w:p w14:paraId="4C606288">
            <w:pPr>
              <w:jc w:val="center"/>
            </w:pPr>
            <w:r>
              <w:rPr>
                <w:rFonts w:hint="eastAsia"/>
              </w:rPr>
              <w:t>4</w:t>
            </w:r>
            <w:r>
              <w:t>80</w:t>
            </w:r>
          </w:p>
        </w:tc>
        <w:tc>
          <w:tcPr>
            <w:tcW w:w="1616" w:type="dxa"/>
            <w:vAlign w:val="center"/>
          </w:tcPr>
          <w:p w14:paraId="28B0D10D">
            <w:pPr>
              <w:jc w:val="center"/>
            </w:pPr>
            <w:r>
              <w:rPr>
                <w:rFonts w:hint="eastAsia"/>
              </w:rPr>
              <w:t>22</w:t>
            </w:r>
          </w:p>
        </w:tc>
      </w:tr>
      <w:tr w14:paraId="638C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668" w:type="dxa"/>
            <w:vAlign w:val="center"/>
          </w:tcPr>
          <w:p w14:paraId="0BB55477">
            <w:pPr>
              <w:jc w:val="center"/>
            </w:pPr>
            <w:r>
              <w:t>S390 GP</w:t>
            </w:r>
          </w:p>
        </w:tc>
        <w:tc>
          <w:tcPr>
            <w:tcW w:w="2268" w:type="dxa"/>
            <w:vAlign w:val="center"/>
          </w:tcPr>
          <w:p w14:paraId="4676127A">
            <w:pPr>
              <w:jc w:val="center"/>
            </w:pPr>
            <w:r>
              <w:rPr>
                <w:rFonts w:hint="eastAsia"/>
              </w:rPr>
              <w:t>390</w:t>
            </w:r>
          </w:p>
        </w:tc>
        <w:tc>
          <w:tcPr>
            <w:tcW w:w="1767" w:type="dxa"/>
            <w:vAlign w:val="center"/>
          </w:tcPr>
          <w:p w14:paraId="3AAFA378">
            <w:pPr>
              <w:jc w:val="center"/>
            </w:pPr>
            <w:r>
              <w:rPr>
                <w:rFonts w:hint="eastAsia"/>
              </w:rPr>
              <w:t>4</w:t>
            </w:r>
            <w:r>
              <w:t>90</w:t>
            </w:r>
          </w:p>
        </w:tc>
        <w:tc>
          <w:tcPr>
            <w:tcW w:w="1616" w:type="dxa"/>
            <w:vAlign w:val="center"/>
          </w:tcPr>
          <w:p w14:paraId="7F1F0191">
            <w:pPr>
              <w:jc w:val="center"/>
            </w:pPr>
            <w:r>
              <w:rPr>
                <w:rFonts w:hint="eastAsia"/>
              </w:rPr>
              <w:t>20</w:t>
            </w:r>
          </w:p>
        </w:tc>
      </w:tr>
      <w:tr w14:paraId="0980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68" w:type="dxa"/>
            <w:vAlign w:val="center"/>
          </w:tcPr>
          <w:p w14:paraId="0D5248F5">
            <w:pPr>
              <w:jc w:val="center"/>
            </w:pPr>
            <w:r>
              <w:t>S430 GP</w:t>
            </w:r>
          </w:p>
        </w:tc>
        <w:tc>
          <w:tcPr>
            <w:tcW w:w="2268" w:type="dxa"/>
            <w:vAlign w:val="center"/>
          </w:tcPr>
          <w:p w14:paraId="28C5A43D">
            <w:pPr>
              <w:jc w:val="center"/>
            </w:pPr>
            <w:r>
              <w:rPr>
                <w:rFonts w:hint="eastAsia"/>
              </w:rPr>
              <w:t>4</w:t>
            </w:r>
            <w:r>
              <w:t>30</w:t>
            </w:r>
          </w:p>
        </w:tc>
        <w:tc>
          <w:tcPr>
            <w:tcW w:w="1767" w:type="dxa"/>
            <w:vAlign w:val="center"/>
          </w:tcPr>
          <w:p w14:paraId="413A8BB5">
            <w:pPr>
              <w:jc w:val="center"/>
            </w:pPr>
            <w:r>
              <w:rPr>
                <w:rFonts w:hint="eastAsia"/>
              </w:rPr>
              <w:t>5</w:t>
            </w:r>
            <w:r>
              <w:t>10</w:t>
            </w:r>
          </w:p>
        </w:tc>
        <w:tc>
          <w:tcPr>
            <w:tcW w:w="1616" w:type="dxa"/>
            <w:vAlign w:val="center"/>
          </w:tcPr>
          <w:p w14:paraId="7E0E6688">
            <w:pPr>
              <w:jc w:val="center"/>
            </w:pPr>
            <w:r>
              <w:rPr>
                <w:rFonts w:hint="eastAsia"/>
              </w:rPr>
              <w:t>19</w:t>
            </w:r>
          </w:p>
        </w:tc>
      </w:tr>
      <w:tr w14:paraId="2C48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668" w:type="dxa"/>
            <w:vAlign w:val="center"/>
          </w:tcPr>
          <w:p w14:paraId="1F57C4A5">
            <w:pPr>
              <w:jc w:val="center"/>
            </w:pPr>
            <w:r>
              <w:t>S460 AP</w:t>
            </w:r>
          </w:p>
        </w:tc>
        <w:tc>
          <w:tcPr>
            <w:tcW w:w="2268" w:type="dxa"/>
            <w:vAlign w:val="center"/>
          </w:tcPr>
          <w:p w14:paraId="051FB594">
            <w:pPr>
              <w:jc w:val="center"/>
            </w:pPr>
            <w:r>
              <w:rPr>
                <w:rFonts w:hint="eastAsia"/>
              </w:rPr>
              <w:t>460</w:t>
            </w:r>
          </w:p>
        </w:tc>
        <w:tc>
          <w:tcPr>
            <w:tcW w:w="1767" w:type="dxa"/>
            <w:vAlign w:val="center"/>
          </w:tcPr>
          <w:p w14:paraId="2C8594C1">
            <w:pPr>
              <w:jc w:val="center"/>
            </w:pPr>
            <w:r>
              <w:rPr>
                <w:rFonts w:hint="eastAsia"/>
              </w:rPr>
              <w:t>5</w:t>
            </w:r>
            <w:r>
              <w:t>50</w:t>
            </w:r>
          </w:p>
        </w:tc>
        <w:tc>
          <w:tcPr>
            <w:tcW w:w="1616" w:type="dxa"/>
            <w:vAlign w:val="center"/>
          </w:tcPr>
          <w:p w14:paraId="1BA88D7A">
            <w:pPr>
              <w:jc w:val="center"/>
            </w:pPr>
            <w:r>
              <w:rPr>
                <w:rFonts w:hint="eastAsia"/>
              </w:rPr>
              <w:t>1</w:t>
            </w:r>
            <w:r>
              <w:t>7</w:t>
            </w:r>
          </w:p>
        </w:tc>
      </w:tr>
    </w:tbl>
    <w:p w14:paraId="6AFB7250">
      <w:pPr>
        <w:rPr>
          <w:rFonts w:ascii="黑体" w:hAnsi="黑体" w:eastAsia="黑体"/>
        </w:rPr>
      </w:pPr>
    </w:p>
    <w:p w14:paraId="4B5D46E5">
      <w:pPr>
        <w:jc w:val="center"/>
        <w:rPr>
          <w:rFonts w:ascii="黑体" w:hAnsi="黑体" w:eastAsia="黑体"/>
        </w:rPr>
      </w:pPr>
    </w:p>
    <w:p w14:paraId="5475A551">
      <w:pPr>
        <w:jc w:val="center"/>
        <w:rPr>
          <w:rFonts w:ascii="黑体" w:hAnsi="黑体" w:eastAsia="黑体"/>
        </w:rPr>
      </w:pPr>
    </w:p>
    <w:p w14:paraId="4054045E">
      <w:pPr>
        <w:jc w:val="center"/>
        <w:rPr>
          <w:rFonts w:ascii="黑体" w:hAnsi="黑体" w:eastAsia="黑体"/>
        </w:rPr>
      </w:pPr>
    </w:p>
    <w:p w14:paraId="72387239">
      <w:pPr>
        <w:jc w:val="center"/>
        <w:rPr>
          <w:rFonts w:ascii="黑体" w:hAnsi="黑体" w:eastAsia="黑体"/>
        </w:rPr>
      </w:pPr>
    </w:p>
    <w:p w14:paraId="7A82DA02">
      <w:pPr>
        <w:jc w:val="center"/>
        <w:rPr>
          <w:rFonts w:ascii="黑体" w:hAnsi="黑体" w:eastAsia="黑体"/>
        </w:rPr>
      </w:pPr>
    </w:p>
    <w:p w14:paraId="08F26EC0">
      <w:pPr>
        <w:jc w:val="center"/>
        <w:rPr>
          <w:rFonts w:ascii="黑体" w:hAnsi="黑体" w:eastAsia="黑体"/>
        </w:rPr>
      </w:pPr>
    </w:p>
    <w:p w14:paraId="578F5E24">
      <w:pPr>
        <w:jc w:val="center"/>
        <w:rPr>
          <w:rFonts w:ascii="黑体" w:hAnsi="黑体" w:eastAsia="黑体"/>
        </w:rPr>
      </w:pPr>
    </w:p>
    <w:p w14:paraId="321B733B">
      <w:pPr>
        <w:jc w:val="center"/>
        <w:rPr>
          <w:rFonts w:ascii="黑体" w:hAnsi="黑体" w:eastAsia="黑体"/>
        </w:rPr>
      </w:pPr>
    </w:p>
    <w:p w14:paraId="62206457">
      <w:pPr>
        <w:jc w:val="center"/>
        <w:rPr>
          <w:rFonts w:ascii="黑体" w:hAnsi="黑体" w:eastAsia="黑体"/>
        </w:rPr>
      </w:pPr>
    </w:p>
    <w:p w14:paraId="0FB64981">
      <w:pPr>
        <w:rPr>
          <w:rFonts w:ascii="黑体" w:hAnsi="黑体" w:eastAsia="黑体"/>
        </w:rPr>
      </w:pPr>
    </w:p>
    <w:p w14:paraId="5F2EA2EB">
      <w:pPr>
        <w:rPr>
          <w:rFonts w:ascii="黑体" w:hAnsi="黑体" w:eastAsia="黑体"/>
        </w:rPr>
      </w:pPr>
    </w:p>
    <w:p w14:paraId="1B2CEF09">
      <w:pPr>
        <w:jc w:val="center"/>
        <w:rPr>
          <w:rFonts w:ascii="黑体" w:hAnsi="黑体" w:eastAsia="黑体"/>
        </w:rPr>
      </w:pPr>
      <w:r>
        <w:rPr>
          <w:rFonts w:hint="eastAsia" w:ascii="黑体" w:hAnsi="黑体" w:eastAsia="黑体"/>
        </w:rPr>
        <w:t>表B.0.</w:t>
      </w:r>
      <w:r>
        <w:rPr>
          <w:rFonts w:ascii="黑体" w:hAnsi="黑体" w:eastAsia="黑体"/>
        </w:rPr>
        <w:t>3</w:t>
      </w:r>
      <w:r>
        <w:rPr>
          <w:rFonts w:hint="eastAsia" w:ascii="黑体" w:hAnsi="黑体" w:eastAsia="黑体"/>
        </w:rPr>
        <w:t xml:space="preserve">  冷弯钢板桩材质</w:t>
      </w:r>
    </w:p>
    <w:tbl>
      <w:tblPr>
        <w:tblStyle w:val="17"/>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1767"/>
        <w:gridCol w:w="1616"/>
      </w:tblGrid>
      <w:tr w14:paraId="03C0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14:paraId="25DAE1B2">
            <w:pPr>
              <w:jc w:val="center"/>
            </w:pPr>
            <w:r>
              <w:rPr>
                <w:rFonts w:hint="eastAsia"/>
              </w:rPr>
              <w:t>等级</w:t>
            </w:r>
          </w:p>
        </w:tc>
        <w:tc>
          <w:tcPr>
            <w:tcW w:w="2268" w:type="dxa"/>
            <w:vAlign w:val="center"/>
          </w:tcPr>
          <w:p w14:paraId="591130B2">
            <w:pPr>
              <w:jc w:val="center"/>
            </w:pPr>
            <w:r>
              <w:rPr>
                <w:rFonts w:hint="eastAsia"/>
              </w:rPr>
              <w:t>最小屈服强度ReH(kPa)</w:t>
            </w:r>
          </w:p>
        </w:tc>
        <w:tc>
          <w:tcPr>
            <w:tcW w:w="1767" w:type="dxa"/>
            <w:vAlign w:val="center"/>
          </w:tcPr>
          <w:p w14:paraId="0385FE00">
            <w:pPr>
              <w:jc w:val="center"/>
            </w:pPr>
            <w:r>
              <w:rPr>
                <w:rFonts w:hint="eastAsia"/>
              </w:rPr>
              <w:t>最小抗拉强度(kPa)</w:t>
            </w:r>
          </w:p>
        </w:tc>
        <w:tc>
          <w:tcPr>
            <w:tcW w:w="1616" w:type="dxa"/>
            <w:vAlign w:val="center"/>
          </w:tcPr>
          <w:p w14:paraId="466DF79A">
            <w:pPr>
              <w:jc w:val="center"/>
            </w:pPr>
            <w:r>
              <w:rPr>
                <w:rFonts w:hint="eastAsia"/>
              </w:rPr>
              <w:t>最小伸长度(%)</w:t>
            </w:r>
          </w:p>
        </w:tc>
      </w:tr>
      <w:tr w14:paraId="369E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668" w:type="dxa"/>
            <w:vAlign w:val="center"/>
          </w:tcPr>
          <w:p w14:paraId="12822866">
            <w:pPr>
              <w:jc w:val="center"/>
            </w:pPr>
            <w:r>
              <w:t>S235 JRC</w:t>
            </w:r>
          </w:p>
        </w:tc>
        <w:tc>
          <w:tcPr>
            <w:tcW w:w="2268" w:type="dxa"/>
            <w:vAlign w:val="center"/>
          </w:tcPr>
          <w:p w14:paraId="265495EA">
            <w:pPr>
              <w:jc w:val="center"/>
            </w:pPr>
            <w:r>
              <w:rPr>
                <w:rFonts w:hint="eastAsia"/>
              </w:rPr>
              <w:t>2</w:t>
            </w:r>
            <w:r>
              <w:t>35</w:t>
            </w:r>
          </w:p>
        </w:tc>
        <w:tc>
          <w:tcPr>
            <w:tcW w:w="1767" w:type="dxa"/>
            <w:vAlign w:val="center"/>
          </w:tcPr>
          <w:p w14:paraId="16080914">
            <w:pPr>
              <w:jc w:val="center"/>
            </w:pPr>
            <w:r>
              <w:rPr>
                <w:rFonts w:hint="eastAsia"/>
              </w:rPr>
              <w:t>340</w:t>
            </w:r>
            <w:r>
              <w:t>~470</w:t>
            </w:r>
          </w:p>
        </w:tc>
        <w:tc>
          <w:tcPr>
            <w:tcW w:w="1616" w:type="dxa"/>
            <w:vAlign w:val="center"/>
          </w:tcPr>
          <w:p w14:paraId="4D50FA4A">
            <w:pPr>
              <w:jc w:val="center"/>
            </w:pPr>
            <w:r>
              <w:rPr>
                <w:rFonts w:hint="eastAsia"/>
              </w:rPr>
              <w:t>26</w:t>
            </w:r>
          </w:p>
        </w:tc>
      </w:tr>
      <w:tr w14:paraId="787D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668" w:type="dxa"/>
            <w:vAlign w:val="center"/>
          </w:tcPr>
          <w:p w14:paraId="036A6757">
            <w:pPr>
              <w:jc w:val="center"/>
            </w:pPr>
            <w:r>
              <w:t>S275 JRC</w:t>
            </w:r>
          </w:p>
        </w:tc>
        <w:tc>
          <w:tcPr>
            <w:tcW w:w="2268" w:type="dxa"/>
            <w:vAlign w:val="center"/>
          </w:tcPr>
          <w:p w14:paraId="240B2935">
            <w:pPr>
              <w:jc w:val="center"/>
            </w:pPr>
            <w:r>
              <w:rPr>
                <w:rFonts w:hint="eastAsia"/>
              </w:rPr>
              <w:t>27</w:t>
            </w:r>
            <w:r>
              <w:t>5</w:t>
            </w:r>
          </w:p>
        </w:tc>
        <w:tc>
          <w:tcPr>
            <w:tcW w:w="1767" w:type="dxa"/>
            <w:vAlign w:val="center"/>
          </w:tcPr>
          <w:p w14:paraId="5B389D5C">
            <w:pPr>
              <w:jc w:val="center"/>
            </w:pPr>
            <w:r>
              <w:rPr>
                <w:rFonts w:hint="eastAsia"/>
              </w:rPr>
              <w:t>4</w:t>
            </w:r>
            <w:r>
              <w:t>10~560</w:t>
            </w:r>
          </w:p>
        </w:tc>
        <w:tc>
          <w:tcPr>
            <w:tcW w:w="1616" w:type="dxa"/>
            <w:vAlign w:val="center"/>
          </w:tcPr>
          <w:p w14:paraId="25F9BAB9">
            <w:pPr>
              <w:jc w:val="center"/>
            </w:pPr>
            <w:r>
              <w:rPr>
                <w:rFonts w:hint="eastAsia"/>
              </w:rPr>
              <w:t>2</w:t>
            </w:r>
            <w:r>
              <w:t>2</w:t>
            </w:r>
          </w:p>
        </w:tc>
      </w:tr>
      <w:tr w14:paraId="5F7E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668" w:type="dxa"/>
            <w:vAlign w:val="center"/>
          </w:tcPr>
          <w:p w14:paraId="731D1960">
            <w:pPr>
              <w:jc w:val="center"/>
            </w:pPr>
            <w:r>
              <w:t>S355 JRC</w:t>
            </w:r>
          </w:p>
        </w:tc>
        <w:tc>
          <w:tcPr>
            <w:tcW w:w="2268" w:type="dxa"/>
            <w:vAlign w:val="center"/>
          </w:tcPr>
          <w:p w14:paraId="3E636831">
            <w:pPr>
              <w:jc w:val="center"/>
            </w:pPr>
            <w:r>
              <w:t>355</w:t>
            </w:r>
          </w:p>
        </w:tc>
        <w:tc>
          <w:tcPr>
            <w:tcW w:w="1767" w:type="dxa"/>
            <w:vAlign w:val="center"/>
          </w:tcPr>
          <w:p w14:paraId="06A1046F">
            <w:pPr>
              <w:jc w:val="center"/>
            </w:pPr>
            <w:r>
              <w:rPr>
                <w:rFonts w:hint="eastAsia"/>
              </w:rPr>
              <w:t>4</w:t>
            </w:r>
            <w:r>
              <w:t>90~630</w:t>
            </w:r>
          </w:p>
        </w:tc>
        <w:tc>
          <w:tcPr>
            <w:tcW w:w="1616" w:type="dxa"/>
            <w:vAlign w:val="center"/>
          </w:tcPr>
          <w:p w14:paraId="6A33C7A0">
            <w:pPr>
              <w:jc w:val="center"/>
            </w:pPr>
            <w:r>
              <w:rPr>
                <w:rFonts w:hint="eastAsia"/>
              </w:rPr>
              <w:t>2</w:t>
            </w:r>
            <w:r>
              <w:t>2</w:t>
            </w:r>
          </w:p>
        </w:tc>
      </w:tr>
    </w:tbl>
    <w:p w14:paraId="07735901">
      <w:pPr>
        <w:rPr>
          <w:rFonts w:ascii="黑体" w:hAnsi="黑体" w:eastAsia="黑体"/>
        </w:rPr>
      </w:pPr>
    </w:p>
    <w:p w14:paraId="6F2A3EB9">
      <w:pPr>
        <w:rPr>
          <w:rFonts w:ascii="黑体" w:hAnsi="黑体" w:eastAsia="黑体"/>
        </w:rPr>
      </w:pPr>
    </w:p>
    <w:p w14:paraId="42B5245C">
      <w:pPr>
        <w:rPr>
          <w:rFonts w:ascii="黑体" w:hAnsi="黑体" w:eastAsia="黑体"/>
        </w:rPr>
      </w:pPr>
    </w:p>
    <w:p w14:paraId="3A40BFA7">
      <w:pPr>
        <w:rPr>
          <w:rFonts w:ascii="黑体" w:hAnsi="黑体" w:eastAsia="黑体"/>
        </w:rPr>
      </w:pPr>
    </w:p>
    <w:p w14:paraId="61054887">
      <w:pPr>
        <w:rPr>
          <w:rFonts w:ascii="黑体" w:hAnsi="黑体" w:eastAsia="黑体"/>
        </w:rPr>
      </w:pPr>
    </w:p>
    <w:p w14:paraId="22BC3B3C">
      <w:pPr>
        <w:rPr>
          <w:rFonts w:ascii="黑体" w:hAnsi="黑体" w:eastAsia="黑体"/>
        </w:rPr>
      </w:pPr>
    </w:p>
    <w:p w14:paraId="2A393E9F">
      <w:pPr>
        <w:rPr>
          <w:rFonts w:ascii="黑体" w:hAnsi="黑体" w:eastAsia="黑体"/>
        </w:rPr>
      </w:pPr>
    </w:p>
    <w:p w14:paraId="71241AB9">
      <w:bookmarkStart w:id="60" w:name="_Toc15916"/>
    </w:p>
    <w:bookmarkEnd w:id="60"/>
    <w:p w14:paraId="1122178E">
      <w:pPr>
        <w:pStyle w:val="2"/>
      </w:pPr>
      <w:bookmarkStart w:id="61" w:name="_Toc476072527"/>
      <w:bookmarkStart w:id="62" w:name="_Toc14061"/>
      <w:bookmarkStart w:id="63" w:name="_Toc14124"/>
      <w:r>
        <w:rPr>
          <w:rFonts w:hint="eastAsia"/>
        </w:rPr>
        <w:br w:type="page"/>
      </w:r>
      <w:bookmarkEnd w:id="61"/>
      <w:bookmarkEnd w:id="62"/>
      <w:bookmarkEnd w:id="63"/>
      <w:bookmarkStart w:id="64" w:name="_Toc21599"/>
      <w:r>
        <w:t>附录</w:t>
      </w:r>
      <w:r>
        <w:rPr>
          <w:rFonts w:hint="eastAsia"/>
        </w:rPr>
        <w:t>C  涂层系统的选用</w:t>
      </w:r>
      <w:bookmarkEnd w:id="64"/>
    </w:p>
    <w:p w14:paraId="63EE6F3C">
      <w:pPr>
        <w:rPr>
          <w:rFonts w:cs="宋体"/>
          <w:szCs w:val="24"/>
        </w:rPr>
      </w:pPr>
      <w:r>
        <w:rPr>
          <w:rFonts w:hint="eastAsia" w:cs="宋体"/>
          <w:szCs w:val="24"/>
        </w:rPr>
        <w:t>C</w:t>
      </w:r>
      <w:r>
        <w:rPr>
          <w:rFonts w:cs="宋体"/>
          <w:szCs w:val="24"/>
        </w:rPr>
        <w:t>.0.1</w:t>
      </w:r>
      <w:r>
        <w:rPr>
          <w:rFonts w:hint="eastAsia" w:cs="宋体"/>
          <w:szCs w:val="24"/>
        </w:rPr>
        <w:t xml:space="preserve">  </w:t>
      </w:r>
      <w:r>
        <w:rPr>
          <w:rFonts w:cs="宋体"/>
          <w:szCs w:val="24"/>
        </w:rPr>
        <w:t>大气区、浪溅区</w:t>
      </w:r>
      <w:r>
        <w:rPr>
          <w:rFonts w:hint="eastAsia" w:cs="宋体"/>
          <w:szCs w:val="24"/>
        </w:rPr>
        <w:t>、</w:t>
      </w:r>
      <w:r>
        <w:rPr>
          <w:rFonts w:cs="宋体"/>
          <w:szCs w:val="24"/>
        </w:rPr>
        <w:t>水位变动区和水下区的涂层系统可分别按表</w:t>
      </w:r>
      <w:r>
        <w:rPr>
          <w:rFonts w:hint="eastAsia" w:cs="宋体"/>
          <w:szCs w:val="24"/>
        </w:rPr>
        <w:t>C</w:t>
      </w:r>
      <w:r>
        <w:rPr>
          <w:rFonts w:cs="宋体"/>
          <w:szCs w:val="24"/>
        </w:rPr>
        <w:t>.0.1~</w:t>
      </w:r>
      <w:r>
        <w:rPr>
          <w:rFonts w:hint="eastAsia" w:cs="宋体"/>
          <w:szCs w:val="24"/>
        </w:rPr>
        <w:t>C</w:t>
      </w:r>
      <w:r>
        <w:rPr>
          <w:rFonts w:cs="宋体"/>
          <w:szCs w:val="24"/>
        </w:rPr>
        <w:t>.0.</w:t>
      </w:r>
      <w:r>
        <w:rPr>
          <w:rFonts w:hint="eastAsia" w:cs="宋体"/>
          <w:szCs w:val="24"/>
        </w:rPr>
        <w:t>3</w:t>
      </w:r>
      <w:r>
        <w:rPr>
          <w:rFonts w:cs="宋体"/>
          <w:szCs w:val="24"/>
        </w:rPr>
        <w:t>选用。</w:t>
      </w:r>
    </w:p>
    <w:p w14:paraId="4D2E4A08">
      <w:pPr>
        <w:jc w:val="center"/>
        <w:rPr>
          <w:rFonts w:cs="宋体"/>
          <w:szCs w:val="24"/>
        </w:rPr>
      </w:pPr>
      <w:r>
        <w:rPr>
          <w:rFonts w:cs="宋体"/>
          <w:szCs w:val="24"/>
        </w:rPr>
        <w:t>表</w:t>
      </w:r>
      <w:r>
        <w:rPr>
          <w:rFonts w:hint="eastAsia" w:cs="宋体"/>
          <w:szCs w:val="24"/>
        </w:rPr>
        <w:t>C</w:t>
      </w:r>
      <w:r>
        <w:rPr>
          <w:rFonts w:cs="宋体"/>
          <w:szCs w:val="24"/>
        </w:rPr>
        <w:t>.0.1</w:t>
      </w:r>
      <w:r>
        <w:rPr>
          <w:rFonts w:hint="eastAsia" w:cs="宋体"/>
          <w:szCs w:val="24"/>
        </w:rPr>
        <w:t xml:space="preserve">  </w:t>
      </w:r>
      <w:r>
        <w:rPr>
          <w:rFonts w:cs="宋体"/>
          <w:szCs w:val="24"/>
        </w:rPr>
        <w:t>大气区涂层系统</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686"/>
        <w:gridCol w:w="972"/>
        <w:gridCol w:w="5175"/>
        <w:gridCol w:w="1515"/>
      </w:tblGrid>
      <w:tr w14:paraId="1592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tcPr>
          <w:p w14:paraId="03DAEAB4">
            <w:pPr>
              <w:jc w:val="center"/>
              <w:rPr>
                <w:rFonts w:cs="宋体"/>
                <w:szCs w:val="24"/>
              </w:rPr>
            </w:pPr>
            <w:r>
              <w:rPr>
                <w:rFonts w:hint="eastAsia" w:cs="宋体"/>
                <w:szCs w:val="24"/>
              </w:rPr>
              <w:t>设计使用年限</w:t>
            </w:r>
          </w:p>
          <w:p w14:paraId="006AAE0C">
            <w:pPr>
              <w:jc w:val="center"/>
              <w:rPr>
                <w:rFonts w:cs="宋体"/>
                <w:szCs w:val="24"/>
              </w:rPr>
            </w:pPr>
            <w:r>
              <w:rPr>
                <w:rFonts w:hint="eastAsia" w:cs="宋体"/>
                <w:szCs w:val="24"/>
              </w:rPr>
              <w:t>（a）</w:t>
            </w:r>
          </w:p>
        </w:tc>
        <w:tc>
          <w:tcPr>
            <w:tcW w:w="3466" w:type="pct"/>
            <w:gridSpan w:val="3"/>
          </w:tcPr>
          <w:p w14:paraId="17A3ADBF">
            <w:pPr>
              <w:jc w:val="center"/>
              <w:rPr>
                <w:rFonts w:cs="宋体"/>
                <w:szCs w:val="24"/>
              </w:rPr>
            </w:pPr>
            <w:r>
              <w:rPr>
                <w:rFonts w:cs="宋体"/>
                <w:szCs w:val="24"/>
              </w:rPr>
              <w:t>配套涂料名称</w:t>
            </w:r>
          </w:p>
        </w:tc>
        <w:tc>
          <w:tcPr>
            <w:tcW w:w="768" w:type="pct"/>
          </w:tcPr>
          <w:p w14:paraId="7D4D3261">
            <w:pPr>
              <w:jc w:val="center"/>
              <w:rPr>
                <w:rFonts w:cs="宋体"/>
                <w:szCs w:val="24"/>
              </w:rPr>
            </w:pPr>
            <w:r>
              <w:rPr>
                <w:rFonts w:cs="宋体"/>
                <w:szCs w:val="24"/>
              </w:rPr>
              <w:t>平均涂层厚度</w:t>
            </w:r>
            <w:r>
              <w:rPr>
                <w:rFonts w:hint="eastAsia" w:cs="宋体"/>
                <w:szCs w:val="24"/>
              </w:rPr>
              <w:t>（µm）</w:t>
            </w:r>
          </w:p>
        </w:tc>
      </w:tr>
      <w:tr w14:paraId="012C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64" w:type="pct"/>
            <w:vMerge w:val="restart"/>
          </w:tcPr>
          <w:p w14:paraId="37585F25">
            <w:pPr>
              <w:jc w:val="center"/>
              <w:rPr>
                <w:rFonts w:cs="宋体"/>
                <w:szCs w:val="24"/>
              </w:rPr>
            </w:pPr>
            <w:r>
              <w:rPr>
                <w:rFonts w:hint="eastAsia" w:cs="宋体"/>
                <w:szCs w:val="24"/>
              </w:rPr>
              <w:t>10~20</w:t>
            </w:r>
          </w:p>
        </w:tc>
        <w:tc>
          <w:tcPr>
            <w:tcW w:w="348" w:type="pct"/>
            <w:vMerge w:val="restart"/>
          </w:tcPr>
          <w:p w14:paraId="5446CE94">
            <w:pPr>
              <w:jc w:val="center"/>
              <w:rPr>
                <w:rFonts w:cs="宋体"/>
                <w:szCs w:val="24"/>
              </w:rPr>
            </w:pPr>
            <w:r>
              <w:rPr>
                <w:rFonts w:hint="eastAsia" w:cs="宋体"/>
                <w:szCs w:val="24"/>
              </w:rPr>
              <w:t>组合配套</w:t>
            </w:r>
          </w:p>
        </w:tc>
        <w:tc>
          <w:tcPr>
            <w:tcW w:w="493" w:type="pct"/>
          </w:tcPr>
          <w:p w14:paraId="3B6FF030">
            <w:pPr>
              <w:jc w:val="center"/>
              <w:rPr>
                <w:rFonts w:cs="宋体"/>
                <w:szCs w:val="24"/>
              </w:rPr>
            </w:pPr>
            <w:r>
              <w:rPr>
                <w:rFonts w:cs="宋体"/>
                <w:szCs w:val="24"/>
              </w:rPr>
              <w:t>底层</w:t>
            </w:r>
          </w:p>
        </w:tc>
        <w:tc>
          <w:tcPr>
            <w:tcW w:w="2625" w:type="pct"/>
          </w:tcPr>
          <w:p w14:paraId="505E34E8">
            <w:pPr>
              <w:jc w:val="center"/>
              <w:rPr>
                <w:rFonts w:cs="宋体"/>
                <w:szCs w:val="24"/>
              </w:rPr>
            </w:pPr>
            <w:r>
              <w:rPr>
                <w:rFonts w:cs="宋体"/>
                <w:szCs w:val="24"/>
              </w:rPr>
              <w:t>富锌漆</w:t>
            </w:r>
          </w:p>
        </w:tc>
        <w:tc>
          <w:tcPr>
            <w:tcW w:w="768" w:type="pct"/>
          </w:tcPr>
          <w:p w14:paraId="49208F75">
            <w:pPr>
              <w:jc w:val="center"/>
              <w:rPr>
                <w:rFonts w:cs="宋体"/>
                <w:szCs w:val="24"/>
              </w:rPr>
            </w:pPr>
            <w:r>
              <w:rPr>
                <w:rFonts w:hint="eastAsia" w:cs="宋体"/>
                <w:szCs w:val="24"/>
              </w:rPr>
              <w:t>75</w:t>
            </w:r>
          </w:p>
        </w:tc>
      </w:tr>
      <w:tr w14:paraId="5369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tcPr>
          <w:p w14:paraId="1D823AC1">
            <w:pPr>
              <w:jc w:val="center"/>
              <w:rPr>
                <w:rFonts w:cs="宋体"/>
                <w:szCs w:val="24"/>
              </w:rPr>
            </w:pPr>
          </w:p>
        </w:tc>
        <w:tc>
          <w:tcPr>
            <w:tcW w:w="348" w:type="pct"/>
            <w:vMerge w:val="continue"/>
          </w:tcPr>
          <w:p w14:paraId="2814C24D">
            <w:pPr>
              <w:jc w:val="center"/>
              <w:rPr>
                <w:rFonts w:cs="宋体"/>
                <w:szCs w:val="24"/>
              </w:rPr>
            </w:pPr>
          </w:p>
        </w:tc>
        <w:tc>
          <w:tcPr>
            <w:tcW w:w="493" w:type="pct"/>
          </w:tcPr>
          <w:p w14:paraId="3F6ECE31">
            <w:pPr>
              <w:jc w:val="center"/>
              <w:rPr>
                <w:rFonts w:cs="宋体"/>
                <w:szCs w:val="24"/>
              </w:rPr>
            </w:pPr>
            <w:r>
              <w:rPr>
                <w:rFonts w:cs="宋体"/>
                <w:szCs w:val="24"/>
              </w:rPr>
              <w:t>中间层</w:t>
            </w:r>
          </w:p>
        </w:tc>
        <w:tc>
          <w:tcPr>
            <w:tcW w:w="2625" w:type="pct"/>
          </w:tcPr>
          <w:p w14:paraId="18E8F134">
            <w:pPr>
              <w:jc w:val="center"/>
              <w:rPr>
                <w:rFonts w:cs="宋体"/>
                <w:szCs w:val="24"/>
              </w:rPr>
            </w:pPr>
            <w:r>
              <w:rPr>
                <w:rFonts w:cs="宋体"/>
                <w:szCs w:val="24"/>
              </w:rPr>
              <w:t>环氧云铁防锈漆</w:t>
            </w:r>
          </w:p>
        </w:tc>
        <w:tc>
          <w:tcPr>
            <w:tcW w:w="768" w:type="pct"/>
          </w:tcPr>
          <w:p w14:paraId="3B7A06F2">
            <w:pPr>
              <w:jc w:val="center"/>
              <w:rPr>
                <w:rFonts w:cs="宋体"/>
                <w:szCs w:val="24"/>
              </w:rPr>
            </w:pPr>
            <w:r>
              <w:rPr>
                <w:rFonts w:hint="eastAsia" w:cs="宋体"/>
                <w:szCs w:val="24"/>
              </w:rPr>
              <w:t>100</w:t>
            </w:r>
          </w:p>
        </w:tc>
      </w:tr>
      <w:tr w14:paraId="54D8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64" w:type="pct"/>
            <w:vMerge w:val="continue"/>
          </w:tcPr>
          <w:p w14:paraId="09F37822">
            <w:pPr>
              <w:jc w:val="center"/>
              <w:rPr>
                <w:rFonts w:cs="宋体"/>
                <w:szCs w:val="24"/>
              </w:rPr>
            </w:pPr>
          </w:p>
        </w:tc>
        <w:tc>
          <w:tcPr>
            <w:tcW w:w="348" w:type="pct"/>
            <w:vMerge w:val="continue"/>
          </w:tcPr>
          <w:p w14:paraId="5C546879">
            <w:pPr>
              <w:jc w:val="center"/>
              <w:rPr>
                <w:rFonts w:cs="宋体"/>
                <w:szCs w:val="24"/>
              </w:rPr>
            </w:pPr>
          </w:p>
        </w:tc>
        <w:tc>
          <w:tcPr>
            <w:tcW w:w="493" w:type="pct"/>
          </w:tcPr>
          <w:p w14:paraId="2D38C5AC">
            <w:pPr>
              <w:jc w:val="center"/>
              <w:rPr>
                <w:rFonts w:cs="宋体"/>
                <w:szCs w:val="24"/>
              </w:rPr>
            </w:pPr>
            <w:r>
              <w:rPr>
                <w:rFonts w:cs="宋体"/>
                <w:szCs w:val="24"/>
              </w:rPr>
              <w:t>面层</w:t>
            </w:r>
          </w:p>
        </w:tc>
        <w:tc>
          <w:tcPr>
            <w:tcW w:w="2625" w:type="pct"/>
          </w:tcPr>
          <w:p w14:paraId="7604178C">
            <w:pPr>
              <w:jc w:val="center"/>
              <w:rPr>
                <w:rFonts w:cs="宋体"/>
                <w:szCs w:val="24"/>
              </w:rPr>
            </w:pPr>
            <w:r>
              <w:rPr>
                <w:rFonts w:cs="宋体"/>
                <w:szCs w:val="24"/>
              </w:rPr>
              <w:t>聚氨酯漆、丙烯酸树脂漆、氟碳涂料</w:t>
            </w:r>
          </w:p>
        </w:tc>
        <w:tc>
          <w:tcPr>
            <w:tcW w:w="768" w:type="pct"/>
          </w:tcPr>
          <w:p w14:paraId="16083B51">
            <w:pPr>
              <w:jc w:val="center"/>
              <w:rPr>
                <w:rFonts w:cs="宋体"/>
                <w:szCs w:val="24"/>
              </w:rPr>
            </w:pPr>
            <w:r>
              <w:rPr>
                <w:rFonts w:hint="eastAsia" w:cs="宋体"/>
                <w:szCs w:val="24"/>
              </w:rPr>
              <w:t>100~150</w:t>
            </w:r>
          </w:p>
        </w:tc>
      </w:tr>
      <w:tr w14:paraId="7BBC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tcPr>
          <w:p w14:paraId="07AE0437">
            <w:pPr>
              <w:jc w:val="center"/>
              <w:rPr>
                <w:rFonts w:cs="宋体"/>
                <w:szCs w:val="24"/>
              </w:rPr>
            </w:pPr>
          </w:p>
        </w:tc>
        <w:tc>
          <w:tcPr>
            <w:tcW w:w="841" w:type="pct"/>
            <w:gridSpan w:val="2"/>
          </w:tcPr>
          <w:p w14:paraId="39E4654F">
            <w:pPr>
              <w:jc w:val="center"/>
              <w:rPr>
                <w:rFonts w:cs="宋体"/>
                <w:szCs w:val="24"/>
              </w:rPr>
            </w:pPr>
            <w:r>
              <w:rPr>
                <w:rFonts w:cs="宋体"/>
                <w:szCs w:val="24"/>
              </w:rPr>
              <w:t>同品种配套</w:t>
            </w:r>
          </w:p>
        </w:tc>
        <w:tc>
          <w:tcPr>
            <w:tcW w:w="2625" w:type="pct"/>
          </w:tcPr>
          <w:p w14:paraId="0A0F4B70">
            <w:pPr>
              <w:jc w:val="center"/>
              <w:rPr>
                <w:rFonts w:cs="宋体"/>
                <w:szCs w:val="24"/>
              </w:rPr>
            </w:pPr>
            <w:r>
              <w:rPr>
                <w:rFonts w:cs="宋体"/>
                <w:szCs w:val="24"/>
              </w:rPr>
              <w:t>聚氨酯漆、丙烯酸树脂漆、氟碳涂料</w:t>
            </w:r>
          </w:p>
        </w:tc>
        <w:tc>
          <w:tcPr>
            <w:tcW w:w="768" w:type="pct"/>
          </w:tcPr>
          <w:p w14:paraId="07CDC2F6">
            <w:pPr>
              <w:jc w:val="center"/>
              <w:rPr>
                <w:rFonts w:cs="宋体"/>
                <w:szCs w:val="24"/>
              </w:rPr>
            </w:pPr>
            <w:r>
              <w:rPr>
                <w:rFonts w:hint="eastAsia" w:cs="宋体"/>
                <w:szCs w:val="24"/>
              </w:rPr>
              <w:t>300~350</w:t>
            </w:r>
          </w:p>
        </w:tc>
      </w:tr>
      <w:tr w14:paraId="4E91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tcPr>
          <w:p w14:paraId="1C7B877B">
            <w:pPr>
              <w:jc w:val="center"/>
              <w:rPr>
                <w:rFonts w:cs="宋体"/>
                <w:szCs w:val="24"/>
              </w:rPr>
            </w:pPr>
            <w:r>
              <w:rPr>
                <w:rFonts w:hint="eastAsia" w:cs="宋体"/>
                <w:szCs w:val="24"/>
              </w:rPr>
              <w:t>5~10</w:t>
            </w:r>
          </w:p>
        </w:tc>
        <w:tc>
          <w:tcPr>
            <w:tcW w:w="348" w:type="pct"/>
            <w:vMerge w:val="restart"/>
          </w:tcPr>
          <w:p w14:paraId="4A094895">
            <w:pPr>
              <w:jc w:val="center"/>
              <w:rPr>
                <w:rFonts w:cs="宋体"/>
                <w:szCs w:val="24"/>
              </w:rPr>
            </w:pPr>
            <w:r>
              <w:rPr>
                <w:rFonts w:hint="eastAsia" w:cs="宋体"/>
                <w:szCs w:val="24"/>
              </w:rPr>
              <w:t>组合配套</w:t>
            </w:r>
          </w:p>
        </w:tc>
        <w:tc>
          <w:tcPr>
            <w:tcW w:w="493" w:type="pct"/>
            <w:tcBorders>
              <w:right w:val="single" w:color="auto" w:sz="4" w:space="0"/>
            </w:tcBorders>
          </w:tcPr>
          <w:p w14:paraId="6132603B">
            <w:pPr>
              <w:jc w:val="center"/>
              <w:rPr>
                <w:rFonts w:cs="宋体"/>
                <w:szCs w:val="24"/>
              </w:rPr>
            </w:pPr>
            <w:r>
              <w:rPr>
                <w:rFonts w:cs="宋体"/>
                <w:szCs w:val="24"/>
              </w:rPr>
              <w:t>底层</w:t>
            </w:r>
          </w:p>
        </w:tc>
        <w:tc>
          <w:tcPr>
            <w:tcW w:w="2625" w:type="pct"/>
            <w:tcBorders>
              <w:left w:val="single" w:color="auto" w:sz="4" w:space="0"/>
            </w:tcBorders>
          </w:tcPr>
          <w:p w14:paraId="64A2AB0C">
            <w:pPr>
              <w:jc w:val="center"/>
              <w:rPr>
                <w:rFonts w:cs="宋体"/>
                <w:szCs w:val="24"/>
              </w:rPr>
            </w:pPr>
            <w:r>
              <w:rPr>
                <w:rFonts w:cs="宋体"/>
                <w:szCs w:val="24"/>
              </w:rPr>
              <w:t>富锌漆</w:t>
            </w:r>
          </w:p>
        </w:tc>
        <w:tc>
          <w:tcPr>
            <w:tcW w:w="768" w:type="pct"/>
          </w:tcPr>
          <w:p w14:paraId="4F88CF9D">
            <w:pPr>
              <w:jc w:val="center"/>
              <w:rPr>
                <w:rFonts w:cs="宋体"/>
                <w:szCs w:val="24"/>
              </w:rPr>
            </w:pPr>
            <w:r>
              <w:rPr>
                <w:rFonts w:hint="eastAsia" w:cs="宋体"/>
                <w:szCs w:val="24"/>
              </w:rPr>
              <w:t>50</w:t>
            </w:r>
          </w:p>
        </w:tc>
      </w:tr>
      <w:tr w14:paraId="7792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tcPr>
          <w:p w14:paraId="421687B8">
            <w:pPr>
              <w:jc w:val="center"/>
              <w:rPr>
                <w:rFonts w:cs="宋体"/>
                <w:szCs w:val="24"/>
              </w:rPr>
            </w:pPr>
          </w:p>
        </w:tc>
        <w:tc>
          <w:tcPr>
            <w:tcW w:w="348" w:type="pct"/>
            <w:vMerge w:val="continue"/>
          </w:tcPr>
          <w:p w14:paraId="756179C7">
            <w:pPr>
              <w:jc w:val="center"/>
              <w:rPr>
                <w:rFonts w:cs="宋体"/>
                <w:szCs w:val="24"/>
              </w:rPr>
            </w:pPr>
          </w:p>
        </w:tc>
        <w:tc>
          <w:tcPr>
            <w:tcW w:w="493" w:type="pct"/>
            <w:tcBorders>
              <w:right w:val="single" w:color="auto" w:sz="4" w:space="0"/>
            </w:tcBorders>
          </w:tcPr>
          <w:p w14:paraId="3789C2A0">
            <w:pPr>
              <w:jc w:val="center"/>
              <w:rPr>
                <w:rFonts w:cs="宋体"/>
                <w:szCs w:val="24"/>
              </w:rPr>
            </w:pPr>
            <w:r>
              <w:rPr>
                <w:rFonts w:cs="宋体"/>
                <w:szCs w:val="24"/>
              </w:rPr>
              <w:t>中间层</w:t>
            </w:r>
          </w:p>
        </w:tc>
        <w:tc>
          <w:tcPr>
            <w:tcW w:w="2625" w:type="pct"/>
            <w:tcBorders>
              <w:left w:val="single" w:color="auto" w:sz="4" w:space="0"/>
            </w:tcBorders>
          </w:tcPr>
          <w:p w14:paraId="3AFC4D5D">
            <w:pPr>
              <w:jc w:val="center"/>
              <w:rPr>
                <w:rFonts w:cs="宋体"/>
                <w:szCs w:val="24"/>
              </w:rPr>
            </w:pPr>
            <w:r>
              <w:rPr>
                <w:rFonts w:cs="宋体"/>
                <w:szCs w:val="24"/>
              </w:rPr>
              <w:t>环氧云铁防锈漆</w:t>
            </w:r>
          </w:p>
        </w:tc>
        <w:tc>
          <w:tcPr>
            <w:tcW w:w="768" w:type="pct"/>
          </w:tcPr>
          <w:p w14:paraId="7C30CF6F">
            <w:pPr>
              <w:jc w:val="center"/>
              <w:rPr>
                <w:rFonts w:cs="宋体"/>
                <w:szCs w:val="24"/>
              </w:rPr>
            </w:pPr>
            <w:r>
              <w:rPr>
                <w:rFonts w:hint="eastAsia" w:cs="宋体"/>
                <w:szCs w:val="24"/>
              </w:rPr>
              <w:t>80</w:t>
            </w:r>
          </w:p>
        </w:tc>
      </w:tr>
      <w:tr w14:paraId="787F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tcPr>
          <w:p w14:paraId="563637E0">
            <w:pPr>
              <w:jc w:val="center"/>
              <w:rPr>
                <w:rFonts w:cs="宋体"/>
                <w:szCs w:val="24"/>
              </w:rPr>
            </w:pPr>
          </w:p>
        </w:tc>
        <w:tc>
          <w:tcPr>
            <w:tcW w:w="348" w:type="pct"/>
            <w:vMerge w:val="continue"/>
          </w:tcPr>
          <w:p w14:paraId="790A7B57">
            <w:pPr>
              <w:jc w:val="center"/>
              <w:rPr>
                <w:rFonts w:cs="宋体"/>
                <w:szCs w:val="24"/>
              </w:rPr>
            </w:pPr>
          </w:p>
        </w:tc>
        <w:tc>
          <w:tcPr>
            <w:tcW w:w="493" w:type="pct"/>
            <w:tcBorders>
              <w:right w:val="single" w:color="auto" w:sz="4" w:space="0"/>
            </w:tcBorders>
          </w:tcPr>
          <w:p w14:paraId="222AB92F">
            <w:pPr>
              <w:jc w:val="center"/>
              <w:rPr>
                <w:rFonts w:cs="宋体"/>
                <w:szCs w:val="24"/>
              </w:rPr>
            </w:pPr>
            <w:r>
              <w:rPr>
                <w:rFonts w:cs="宋体"/>
                <w:szCs w:val="24"/>
              </w:rPr>
              <w:t>面层</w:t>
            </w:r>
          </w:p>
        </w:tc>
        <w:tc>
          <w:tcPr>
            <w:tcW w:w="2625" w:type="pct"/>
            <w:tcBorders>
              <w:left w:val="single" w:color="auto" w:sz="4" w:space="0"/>
            </w:tcBorders>
          </w:tcPr>
          <w:p w14:paraId="5C0F0E39">
            <w:pPr>
              <w:jc w:val="center"/>
              <w:rPr>
                <w:rFonts w:cs="宋体"/>
                <w:szCs w:val="24"/>
              </w:rPr>
            </w:pPr>
            <w:r>
              <w:rPr>
                <w:rFonts w:cs="宋体"/>
                <w:szCs w:val="24"/>
              </w:rPr>
              <w:t>聚氨酯漆、丙烯酸树脂漆、氟碳涂料</w:t>
            </w:r>
          </w:p>
        </w:tc>
        <w:tc>
          <w:tcPr>
            <w:tcW w:w="768" w:type="pct"/>
          </w:tcPr>
          <w:p w14:paraId="48A18BDB">
            <w:pPr>
              <w:jc w:val="center"/>
              <w:rPr>
                <w:rFonts w:cs="宋体"/>
                <w:szCs w:val="24"/>
              </w:rPr>
            </w:pPr>
            <w:r>
              <w:rPr>
                <w:rFonts w:hint="eastAsia" w:cs="宋体"/>
                <w:szCs w:val="24"/>
              </w:rPr>
              <w:t>80~120</w:t>
            </w:r>
          </w:p>
        </w:tc>
      </w:tr>
      <w:tr w14:paraId="41A4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tcPr>
          <w:p w14:paraId="4014AD8A">
            <w:pPr>
              <w:jc w:val="center"/>
              <w:rPr>
                <w:rFonts w:cs="宋体"/>
                <w:szCs w:val="24"/>
              </w:rPr>
            </w:pPr>
          </w:p>
        </w:tc>
        <w:tc>
          <w:tcPr>
            <w:tcW w:w="841" w:type="pct"/>
            <w:gridSpan w:val="2"/>
          </w:tcPr>
          <w:p w14:paraId="74525F2C">
            <w:pPr>
              <w:jc w:val="center"/>
              <w:rPr>
                <w:rFonts w:cs="宋体"/>
                <w:szCs w:val="24"/>
              </w:rPr>
            </w:pPr>
            <w:r>
              <w:rPr>
                <w:rFonts w:cs="宋体"/>
                <w:szCs w:val="24"/>
              </w:rPr>
              <w:t>同品种配套</w:t>
            </w:r>
          </w:p>
        </w:tc>
        <w:tc>
          <w:tcPr>
            <w:tcW w:w="2625" w:type="pct"/>
          </w:tcPr>
          <w:p w14:paraId="171A053C">
            <w:pPr>
              <w:jc w:val="center"/>
              <w:rPr>
                <w:rFonts w:cs="宋体"/>
                <w:szCs w:val="24"/>
              </w:rPr>
            </w:pPr>
            <w:r>
              <w:rPr>
                <w:rFonts w:cs="宋体"/>
                <w:szCs w:val="24"/>
              </w:rPr>
              <w:t>聚氨酯漆、丙烯酸树脂漆、氟碳涂料</w:t>
            </w:r>
          </w:p>
        </w:tc>
        <w:tc>
          <w:tcPr>
            <w:tcW w:w="768" w:type="pct"/>
          </w:tcPr>
          <w:p w14:paraId="5C479826">
            <w:pPr>
              <w:jc w:val="center"/>
              <w:rPr>
                <w:rFonts w:cs="宋体"/>
                <w:szCs w:val="24"/>
              </w:rPr>
            </w:pPr>
            <w:r>
              <w:rPr>
                <w:rFonts w:hint="eastAsia" w:cs="宋体"/>
                <w:szCs w:val="24"/>
              </w:rPr>
              <w:t>220~250</w:t>
            </w:r>
          </w:p>
        </w:tc>
      </w:tr>
    </w:tbl>
    <w:p w14:paraId="6DB24BE8">
      <w:pPr>
        <w:spacing w:line="240" w:lineRule="auto"/>
        <w:jc w:val="left"/>
      </w:pPr>
    </w:p>
    <w:p w14:paraId="6C16F22C">
      <w:pPr>
        <w:jc w:val="center"/>
        <w:rPr>
          <w:rFonts w:cs="宋体"/>
          <w:szCs w:val="24"/>
        </w:rPr>
      </w:pPr>
      <w:r>
        <w:rPr>
          <w:rFonts w:cs="宋体"/>
          <w:szCs w:val="24"/>
        </w:rPr>
        <w:t>表</w:t>
      </w:r>
      <w:r>
        <w:rPr>
          <w:rFonts w:hint="eastAsia" w:cs="宋体"/>
          <w:szCs w:val="24"/>
        </w:rPr>
        <w:t>C</w:t>
      </w:r>
      <w:r>
        <w:rPr>
          <w:rFonts w:cs="宋体"/>
          <w:szCs w:val="24"/>
        </w:rPr>
        <w:t>.0.</w:t>
      </w:r>
      <w:r>
        <w:rPr>
          <w:rFonts w:hint="eastAsia" w:cs="宋体"/>
          <w:szCs w:val="24"/>
        </w:rPr>
        <w:t>2  浪溅区和水位变动</w:t>
      </w:r>
      <w:r>
        <w:rPr>
          <w:rFonts w:cs="宋体"/>
          <w:szCs w:val="24"/>
        </w:rPr>
        <w:t>区涂层系统</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710"/>
        <w:gridCol w:w="948"/>
        <w:gridCol w:w="5186"/>
        <w:gridCol w:w="1514"/>
      </w:tblGrid>
      <w:tr w14:paraId="5E87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tcPr>
          <w:p w14:paraId="47557B98">
            <w:pPr>
              <w:jc w:val="center"/>
              <w:rPr>
                <w:rFonts w:cs="宋体"/>
                <w:szCs w:val="24"/>
              </w:rPr>
            </w:pPr>
            <w:r>
              <w:rPr>
                <w:rFonts w:hint="eastAsia" w:cs="宋体"/>
                <w:szCs w:val="24"/>
              </w:rPr>
              <w:t>设计使用年限</w:t>
            </w:r>
          </w:p>
          <w:p w14:paraId="35734891">
            <w:pPr>
              <w:jc w:val="center"/>
              <w:rPr>
                <w:rFonts w:cs="宋体"/>
                <w:szCs w:val="24"/>
              </w:rPr>
            </w:pPr>
            <w:r>
              <w:rPr>
                <w:rFonts w:hint="eastAsia" w:cs="宋体"/>
                <w:szCs w:val="24"/>
              </w:rPr>
              <w:t>（a）</w:t>
            </w:r>
          </w:p>
        </w:tc>
        <w:tc>
          <w:tcPr>
            <w:tcW w:w="3472" w:type="pct"/>
            <w:gridSpan w:val="3"/>
          </w:tcPr>
          <w:p w14:paraId="22B3AE0E">
            <w:pPr>
              <w:jc w:val="center"/>
              <w:rPr>
                <w:rFonts w:cs="宋体"/>
                <w:szCs w:val="24"/>
              </w:rPr>
            </w:pPr>
            <w:r>
              <w:rPr>
                <w:rFonts w:cs="宋体"/>
                <w:szCs w:val="24"/>
              </w:rPr>
              <w:t>配套涂料名称</w:t>
            </w:r>
          </w:p>
        </w:tc>
        <w:tc>
          <w:tcPr>
            <w:tcW w:w="768" w:type="pct"/>
          </w:tcPr>
          <w:p w14:paraId="62291E95">
            <w:pPr>
              <w:jc w:val="center"/>
              <w:rPr>
                <w:rFonts w:cs="宋体"/>
                <w:szCs w:val="24"/>
              </w:rPr>
            </w:pPr>
            <w:r>
              <w:rPr>
                <w:rFonts w:cs="宋体"/>
                <w:szCs w:val="24"/>
              </w:rPr>
              <w:t>平均涂层厚度</w:t>
            </w:r>
            <w:r>
              <w:rPr>
                <w:rFonts w:hint="eastAsia" w:cs="宋体"/>
                <w:szCs w:val="24"/>
              </w:rPr>
              <w:t>（µm）</w:t>
            </w:r>
          </w:p>
        </w:tc>
      </w:tr>
      <w:tr w14:paraId="4E6F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59" w:type="pct"/>
            <w:vMerge w:val="restart"/>
          </w:tcPr>
          <w:p w14:paraId="033A930C">
            <w:pPr>
              <w:jc w:val="center"/>
              <w:rPr>
                <w:rFonts w:cs="宋体"/>
                <w:szCs w:val="24"/>
              </w:rPr>
            </w:pPr>
            <w:r>
              <w:rPr>
                <w:rFonts w:hint="eastAsia" w:cs="宋体"/>
                <w:szCs w:val="24"/>
              </w:rPr>
              <w:t>10~20</w:t>
            </w:r>
          </w:p>
        </w:tc>
        <w:tc>
          <w:tcPr>
            <w:tcW w:w="360" w:type="pct"/>
            <w:vMerge w:val="restart"/>
          </w:tcPr>
          <w:p w14:paraId="7927F43E">
            <w:pPr>
              <w:jc w:val="center"/>
              <w:rPr>
                <w:rFonts w:cs="宋体"/>
                <w:szCs w:val="24"/>
              </w:rPr>
            </w:pPr>
            <w:r>
              <w:rPr>
                <w:rFonts w:hint="eastAsia" w:cs="宋体"/>
                <w:szCs w:val="24"/>
              </w:rPr>
              <w:t>组合配套</w:t>
            </w:r>
          </w:p>
        </w:tc>
        <w:tc>
          <w:tcPr>
            <w:tcW w:w="480" w:type="pct"/>
          </w:tcPr>
          <w:p w14:paraId="0CD1FA45">
            <w:pPr>
              <w:jc w:val="center"/>
              <w:rPr>
                <w:rFonts w:cs="宋体"/>
                <w:szCs w:val="24"/>
              </w:rPr>
            </w:pPr>
            <w:r>
              <w:rPr>
                <w:rFonts w:cs="宋体"/>
                <w:szCs w:val="24"/>
              </w:rPr>
              <w:t>底层</w:t>
            </w:r>
          </w:p>
        </w:tc>
        <w:tc>
          <w:tcPr>
            <w:tcW w:w="2631" w:type="pct"/>
          </w:tcPr>
          <w:p w14:paraId="6E7AEA54">
            <w:pPr>
              <w:jc w:val="center"/>
              <w:rPr>
                <w:rFonts w:cs="宋体"/>
                <w:szCs w:val="24"/>
              </w:rPr>
            </w:pPr>
            <w:r>
              <w:rPr>
                <w:rFonts w:cs="宋体"/>
                <w:szCs w:val="24"/>
              </w:rPr>
              <w:t>富锌漆</w:t>
            </w:r>
          </w:p>
        </w:tc>
        <w:tc>
          <w:tcPr>
            <w:tcW w:w="768" w:type="pct"/>
          </w:tcPr>
          <w:p w14:paraId="7C7C7A5E">
            <w:pPr>
              <w:jc w:val="center"/>
              <w:rPr>
                <w:rFonts w:cs="宋体"/>
                <w:szCs w:val="24"/>
              </w:rPr>
            </w:pPr>
            <w:r>
              <w:rPr>
                <w:rFonts w:hint="eastAsia" w:cs="宋体"/>
                <w:szCs w:val="24"/>
              </w:rPr>
              <w:t>75</w:t>
            </w:r>
          </w:p>
        </w:tc>
      </w:tr>
      <w:tr w14:paraId="560C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continue"/>
          </w:tcPr>
          <w:p w14:paraId="24508771">
            <w:pPr>
              <w:jc w:val="center"/>
              <w:rPr>
                <w:rFonts w:cs="宋体"/>
                <w:szCs w:val="24"/>
              </w:rPr>
            </w:pPr>
          </w:p>
        </w:tc>
        <w:tc>
          <w:tcPr>
            <w:tcW w:w="360" w:type="pct"/>
            <w:vMerge w:val="continue"/>
          </w:tcPr>
          <w:p w14:paraId="4068C8BA">
            <w:pPr>
              <w:jc w:val="center"/>
              <w:rPr>
                <w:rFonts w:cs="宋体"/>
                <w:szCs w:val="24"/>
              </w:rPr>
            </w:pPr>
          </w:p>
        </w:tc>
        <w:tc>
          <w:tcPr>
            <w:tcW w:w="480" w:type="pct"/>
          </w:tcPr>
          <w:p w14:paraId="0EE956C6">
            <w:pPr>
              <w:jc w:val="center"/>
              <w:rPr>
                <w:rFonts w:cs="宋体"/>
                <w:szCs w:val="24"/>
              </w:rPr>
            </w:pPr>
            <w:r>
              <w:rPr>
                <w:rFonts w:cs="宋体"/>
                <w:szCs w:val="24"/>
              </w:rPr>
              <w:t>中间层</w:t>
            </w:r>
          </w:p>
        </w:tc>
        <w:tc>
          <w:tcPr>
            <w:tcW w:w="2631" w:type="pct"/>
          </w:tcPr>
          <w:p w14:paraId="28B29D2F">
            <w:pPr>
              <w:jc w:val="center"/>
              <w:rPr>
                <w:rFonts w:cs="宋体"/>
                <w:szCs w:val="24"/>
              </w:rPr>
            </w:pPr>
            <w:r>
              <w:rPr>
                <w:rFonts w:hint="eastAsia" w:cs="宋体"/>
                <w:szCs w:val="24"/>
              </w:rPr>
              <w:t>环氧树脂漆、</w:t>
            </w:r>
            <w:r>
              <w:rPr>
                <w:rFonts w:cs="宋体"/>
                <w:szCs w:val="24"/>
              </w:rPr>
              <w:t>环氧云铁防锈漆</w:t>
            </w:r>
          </w:p>
        </w:tc>
        <w:tc>
          <w:tcPr>
            <w:tcW w:w="768" w:type="pct"/>
          </w:tcPr>
          <w:p w14:paraId="6744D0D7">
            <w:pPr>
              <w:jc w:val="center"/>
              <w:rPr>
                <w:rFonts w:cs="宋体"/>
                <w:szCs w:val="24"/>
              </w:rPr>
            </w:pPr>
            <w:r>
              <w:rPr>
                <w:rFonts w:hint="eastAsia" w:cs="宋体"/>
                <w:szCs w:val="24"/>
              </w:rPr>
              <w:t>300</w:t>
            </w:r>
          </w:p>
        </w:tc>
      </w:tr>
      <w:tr w14:paraId="4340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59" w:type="pct"/>
            <w:vMerge w:val="continue"/>
          </w:tcPr>
          <w:p w14:paraId="3F769E06">
            <w:pPr>
              <w:jc w:val="center"/>
              <w:rPr>
                <w:rFonts w:cs="宋体"/>
                <w:szCs w:val="24"/>
              </w:rPr>
            </w:pPr>
          </w:p>
        </w:tc>
        <w:tc>
          <w:tcPr>
            <w:tcW w:w="360" w:type="pct"/>
            <w:vMerge w:val="continue"/>
          </w:tcPr>
          <w:p w14:paraId="4499227F">
            <w:pPr>
              <w:jc w:val="center"/>
              <w:rPr>
                <w:rFonts w:cs="宋体"/>
                <w:szCs w:val="24"/>
              </w:rPr>
            </w:pPr>
          </w:p>
        </w:tc>
        <w:tc>
          <w:tcPr>
            <w:tcW w:w="480" w:type="pct"/>
          </w:tcPr>
          <w:p w14:paraId="41CD4591">
            <w:pPr>
              <w:jc w:val="center"/>
              <w:rPr>
                <w:rFonts w:cs="宋体"/>
                <w:szCs w:val="24"/>
              </w:rPr>
            </w:pPr>
            <w:r>
              <w:rPr>
                <w:rFonts w:cs="宋体"/>
                <w:szCs w:val="24"/>
              </w:rPr>
              <w:t>面层</w:t>
            </w:r>
          </w:p>
        </w:tc>
        <w:tc>
          <w:tcPr>
            <w:tcW w:w="2631" w:type="pct"/>
          </w:tcPr>
          <w:p w14:paraId="7AF2A6EF">
            <w:pPr>
              <w:jc w:val="center"/>
              <w:rPr>
                <w:rFonts w:cs="宋体"/>
                <w:szCs w:val="24"/>
              </w:rPr>
            </w:pPr>
            <w:r>
              <w:rPr>
                <w:rFonts w:ascii="宋体" w:hAnsi="宋体" w:cs="宋体"/>
              </w:rPr>
              <w:t>厚浆型环氧漆、聚氨酯漆、丙烯酸树脂漆</w:t>
            </w:r>
          </w:p>
        </w:tc>
        <w:tc>
          <w:tcPr>
            <w:tcW w:w="768" w:type="pct"/>
          </w:tcPr>
          <w:p w14:paraId="49FB282B">
            <w:pPr>
              <w:jc w:val="center"/>
              <w:rPr>
                <w:rFonts w:cs="宋体"/>
                <w:szCs w:val="24"/>
              </w:rPr>
            </w:pPr>
            <w:r>
              <w:rPr>
                <w:rFonts w:hint="eastAsia" w:cs="宋体"/>
                <w:szCs w:val="24"/>
              </w:rPr>
              <w:t>100~125</w:t>
            </w:r>
          </w:p>
        </w:tc>
      </w:tr>
      <w:tr w14:paraId="117B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continue"/>
          </w:tcPr>
          <w:p w14:paraId="28B26AE7">
            <w:pPr>
              <w:jc w:val="center"/>
              <w:rPr>
                <w:rFonts w:cs="宋体"/>
                <w:szCs w:val="24"/>
              </w:rPr>
            </w:pPr>
          </w:p>
        </w:tc>
        <w:tc>
          <w:tcPr>
            <w:tcW w:w="841" w:type="pct"/>
            <w:gridSpan w:val="2"/>
          </w:tcPr>
          <w:p w14:paraId="5FBBF15D">
            <w:pPr>
              <w:jc w:val="center"/>
              <w:rPr>
                <w:rFonts w:cs="宋体"/>
                <w:szCs w:val="24"/>
              </w:rPr>
            </w:pPr>
            <w:r>
              <w:rPr>
                <w:rFonts w:cs="宋体"/>
                <w:szCs w:val="24"/>
              </w:rPr>
              <w:t>同品种配套</w:t>
            </w:r>
          </w:p>
        </w:tc>
        <w:tc>
          <w:tcPr>
            <w:tcW w:w="2631" w:type="pct"/>
          </w:tcPr>
          <w:p w14:paraId="482767A2">
            <w:pPr>
              <w:jc w:val="center"/>
              <w:rPr>
                <w:rFonts w:cs="宋体"/>
                <w:szCs w:val="24"/>
              </w:rPr>
            </w:pPr>
            <w:r>
              <w:rPr>
                <w:rFonts w:ascii="宋体" w:hAnsi="宋体" w:cs="宋体"/>
              </w:rPr>
              <w:t>厚浆型环氧漆、聚氨酯漆、丙烯酸树脂漆</w:t>
            </w:r>
            <w:r>
              <w:rPr>
                <w:rFonts w:hint="eastAsia" w:ascii="宋体" w:hAnsi="宋体" w:cs="宋体"/>
              </w:rPr>
              <w:t>、环氧沥青</w:t>
            </w:r>
            <w:r>
              <w:rPr>
                <w:rFonts w:ascii="宋体" w:hAnsi="宋体" w:cs="宋体"/>
              </w:rPr>
              <w:t>漆</w:t>
            </w:r>
          </w:p>
        </w:tc>
        <w:tc>
          <w:tcPr>
            <w:tcW w:w="768" w:type="pct"/>
          </w:tcPr>
          <w:p w14:paraId="2ABF8C71">
            <w:pPr>
              <w:jc w:val="center"/>
              <w:rPr>
                <w:rFonts w:cs="宋体"/>
                <w:szCs w:val="24"/>
              </w:rPr>
            </w:pPr>
            <w:r>
              <w:rPr>
                <w:rFonts w:hint="eastAsia" w:cs="宋体"/>
                <w:szCs w:val="24"/>
              </w:rPr>
              <w:t>450~500</w:t>
            </w:r>
          </w:p>
        </w:tc>
      </w:tr>
      <w:tr w14:paraId="17DF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restart"/>
          </w:tcPr>
          <w:p w14:paraId="4D2A0AC1">
            <w:pPr>
              <w:jc w:val="center"/>
              <w:rPr>
                <w:rFonts w:cs="宋体"/>
                <w:szCs w:val="24"/>
              </w:rPr>
            </w:pPr>
            <w:r>
              <w:rPr>
                <w:rFonts w:hint="eastAsia" w:cs="宋体"/>
                <w:szCs w:val="24"/>
              </w:rPr>
              <w:t>5~10</w:t>
            </w:r>
          </w:p>
        </w:tc>
        <w:tc>
          <w:tcPr>
            <w:tcW w:w="360" w:type="pct"/>
            <w:vMerge w:val="restart"/>
          </w:tcPr>
          <w:p w14:paraId="60EB6015">
            <w:pPr>
              <w:jc w:val="center"/>
              <w:rPr>
                <w:rFonts w:cs="宋体"/>
                <w:szCs w:val="24"/>
              </w:rPr>
            </w:pPr>
            <w:r>
              <w:rPr>
                <w:rFonts w:hint="eastAsia" w:cs="宋体"/>
                <w:szCs w:val="24"/>
              </w:rPr>
              <w:t>组合配套</w:t>
            </w:r>
          </w:p>
        </w:tc>
        <w:tc>
          <w:tcPr>
            <w:tcW w:w="480" w:type="pct"/>
            <w:tcBorders>
              <w:right w:val="single" w:color="auto" w:sz="4" w:space="0"/>
            </w:tcBorders>
          </w:tcPr>
          <w:p w14:paraId="40D1FAE4">
            <w:pPr>
              <w:jc w:val="center"/>
              <w:rPr>
                <w:rFonts w:cs="宋体"/>
                <w:szCs w:val="24"/>
              </w:rPr>
            </w:pPr>
            <w:r>
              <w:rPr>
                <w:rFonts w:cs="宋体"/>
                <w:szCs w:val="24"/>
              </w:rPr>
              <w:t>底层</w:t>
            </w:r>
          </w:p>
        </w:tc>
        <w:tc>
          <w:tcPr>
            <w:tcW w:w="2631" w:type="pct"/>
            <w:tcBorders>
              <w:left w:val="single" w:color="auto" w:sz="4" w:space="0"/>
            </w:tcBorders>
          </w:tcPr>
          <w:p w14:paraId="5292E0EE">
            <w:pPr>
              <w:jc w:val="center"/>
              <w:rPr>
                <w:rFonts w:cs="宋体"/>
                <w:szCs w:val="24"/>
              </w:rPr>
            </w:pPr>
            <w:r>
              <w:rPr>
                <w:rFonts w:cs="宋体"/>
                <w:szCs w:val="24"/>
              </w:rPr>
              <w:t>富锌漆</w:t>
            </w:r>
          </w:p>
        </w:tc>
        <w:tc>
          <w:tcPr>
            <w:tcW w:w="768" w:type="pct"/>
          </w:tcPr>
          <w:p w14:paraId="67CBFE13">
            <w:pPr>
              <w:jc w:val="center"/>
              <w:rPr>
                <w:rFonts w:cs="宋体"/>
                <w:szCs w:val="24"/>
              </w:rPr>
            </w:pPr>
            <w:r>
              <w:rPr>
                <w:rFonts w:hint="eastAsia" w:cs="宋体"/>
                <w:szCs w:val="24"/>
              </w:rPr>
              <w:t>40</w:t>
            </w:r>
          </w:p>
        </w:tc>
      </w:tr>
      <w:tr w14:paraId="21AE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continue"/>
          </w:tcPr>
          <w:p w14:paraId="6188F0B8">
            <w:pPr>
              <w:jc w:val="center"/>
              <w:rPr>
                <w:rFonts w:cs="宋体"/>
                <w:szCs w:val="24"/>
              </w:rPr>
            </w:pPr>
          </w:p>
        </w:tc>
        <w:tc>
          <w:tcPr>
            <w:tcW w:w="360" w:type="pct"/>
            <w:vMerge w:val="continue"/>
          </w:tcPr>
          <w:p w14:paraId="5D879EDB">
            <w:pPr>
              <w:jc w:val="center"/>
              <w:rPr>
                <w:rFonts w:cs="宋体"/>
                <w:szCs w:val="24"/>
              </w:rPr>
            </w:pPr>
          </w:p>
        </w:tc>
        <w:tc>
          <w:tcPr>
            <w:tcW w:w="480" w:type="pct"/>
            <w:tcBorders>
              <w:right w:val="single" w:color="auto" w:sz="4" w:space="0"/>
            </w:tcBorders>
          </w:tcPr>
          <w:p w14:paraId="36E6137F">
            <w:pPr>
              <w:jc w:val="center"/>
              <w:rPr>
                <w:rFonts w:cs="宋体"/>
                <w:szCs w:val="24"/>
              </w:rPr>
            </w:pPr>
            <w:r>
              <w:rPr>
                <w:rFonts w:cs="宋体"/>
                <w:szCs w:val="24"/>
              </w:rPr>
              <w:t>中间层</w:t>
            </w:r>
          </w:p>
        </w:tc>
        <w:tc>
          <w:tcPr>
            <w:tcW w:w="2631" w:type="pct"/>
            <w:tcBorders>
              <w:left w:val="single" w:color="auto" w:sz="4" w:space="0"/>
            </w:tcBorders>
          </w:tcPr>
          <w:p w14:paraId="3386C41B">
            <w:pPr>
              <w:jc w:val="center"/>
              <w:rPr>
                <w:rFonts w:cs="宋体"/>
                <w:szCs w:val="24"/>
              </w:rPr>
            </w:pPr>
            <w:r>
              <w:rPr>
                <w:rFonts w:hint="eastAsia" w:cs="宋体"/>
                <w:szCs w:val="24"/>
              </w:rPr>
              <w:t>环氧树脂漆、</w:t>
            </w:r>
            <w:r>
              <w:rPr>
                <w:rFonts w:cs="宋体"/>
                <w:szCs w:val="24"/>
              </w:rPr>
              <w:t>聚氨酯漆</w:t>
            </w:r>
            <w:r>
              <w:rPr>
                <w:rFonts w:hint="eastAsia" w:cs="宋体"/>
                <w:szCs w:val="24"/>
              </w:rPr>
              <w:t>、氯化橡胶漆</w:t>
            </w:r>
          </w:p>
        </w:tc>
        <w:tc>
          <w:tcPr>
            <w:tcW w:w="768" w:type="pct"/>
          </w:tcPr>
          <w:p w14:paraId="541E18E6">
            <w:pPr>
              <w:jc w:val="center"/>
              <w:rPr>
                <w:rFonts w:cs="宋体"/>
                <w:szCs w:val="24"/>
              </w:rPr>
            </w:pPr>
            <w:r>
              <w:rPr>
                <w:rFonts w:hint="eastAsia" w:cs="宋体"/>
                <w:szCs w:val="24"/>
              </w:rPr>
              <w:t>200</w:t>
            </w:r>
          </w:p>
        </w:tc>
      </w:tr>
      <w:tr w14:paraId="04B5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continue"/>
          </w:tcPr>
          <w:p w14:paraId="2C801B4E">
            <w:pPr>
              <w:jc w:val="center"/>
              <w:rPr>
                <w:rFonts w:cs="宋体"/>
                <w:szCs w:val="24"/>
              </w:rPr>
            </w:pPr>
          </w:p>
        </w:tc>
        <w:tc>
          <w:tcPr>
            <w:tcW w:w="360" w:type="pct"/>
            <w:vMerge w:val="continue"/>
          </w:tcPr>
          <w:p w14:paraId="49A449D0">
            <w:pPr>
              <w:jc w:val="center"/>
              <w:rPr>
                <w:rFonts w:cs="宋体"/>
                <w:szCs w:val="24"/>
              </w:rPr>
            </w:pPr>
          </w:p>
        </w:tc>
        <w:tc>
          <w:tcPr>
            <w:tcW w:w="480" w:type="pct"/>
            <w:tcBorders>
              <w:right w:val="single" w:color="auto" w:sz="4" w:space="0"/>
            </w:tcBorders>
          </w:tcPr>
          <w:p w14:paraId="3EB09F88">
            <w:pPr>
              <w:jc w:val="center"/>
              <w:rPr>
                <w:rFonts w:cs="宋体"/>
                <w:szCs w:val="24"/>
              </w:rPr>
            </w:pPr>
            <w:r>
              <w:rPr>
                <w:rFonts w:cs="宋体"/>
                <w:szCs w:val="24"/>
              </w:rPr>
              <w:t>面层</w:t>
            </w:r>
          </w:p>
        </w:tc>
        <w:tc>
          <w:tcPr>
            <w:tcW w:w="2631" w:type="pct"/>
            <w:tcBorders>
              <w:left w:val="single" w:color="auto" w:sz="4" w:space="0"/>
            </w:tcBorders>
          </w:tcPr>
          <w:p w14:paraId="18E4FE9F">
            <w:pPr>
              <w:jc w:val="center"/>
              <w:rPr>
                <w:rFonts w:cs="宋体"/>
                <w:szCs w:val="24"/>
              </w:rPr>
            </w:pPr>
            <w:r>
              <w:rPr>
                <w:rFonts w:ascii="宋体" w:hAnsi="宋体" w:cs="宋体"/>
              </w:rPr>
              <w:t>厚浆型环氧漆</w:t>
            </w:r>
            <w:r>
              <w:rPr>
                <w:rFonts w:cs="宋体"/>
                <w:szCs w:val="24"/>
              </w:rPr>
              <w:t>、</w:t>
            </w:r>
            <w:r>
              <w:rPr>
                <w:rFonts w:hint="eastAsia" w:cs="宋体"/>
                <w:szCs w:val="24"/>
              </w:rPr>
              <w:t>氯化橡胶漆</w:t>
            </w:r>
            <w:r>
              <w:rPr>
                <w:rFonts w:cs="宋体"/>
                <w:szCs w:val="24"/>
              </w:rPr>
              <w:t>、</w:t>
            </w:r>
            <w:r>
              <w:rPr>
                <w:rFonts w:ascii="宋体" w:hAnsi="宋体" w:cs="宋体"/>
              </w:rPr>
              <w:t>聚氨酯漆</w:t>
            </w:r>
            <w:r>
              <w:rPr>
                <w:rFonts w:hint="eastAsia" w:ascii="宋体" w:hAnsi="宋体" w:cs="宋体"/>
              </w:rPr>
              <w:t>、</w:t>
            </w:r>
            <w:r>
              <w:rPr>
                <w:rFonts w:cs="宋体"/>
                <w:szCs w:val="24"/>
              </w:rPr>
              <w:t>丙烯酸树脂漆</w:t>
            </w:r>
          </w:p>
        </w:tc>
        <w:tc>
          <w:tcPr>
            <w:tcW w:w="768" w:type="pct"/>
          </w:tcPr>
          <w:p w14:paraId="2408E7EA">
            <w:pPr>
              <w:jc w:val="center"/>
              <w:rPr>
                <w:rFonts w:cs="宋体"/>
                <w:szCs w:val="24"/>
              </w:rPr>
            </w:pPr>
            <w:r>
              <w:rPr>
                <w:rFonts w:hint="eastAsia" w:cs="宋体"/>
                <w:szCs w:val="24"/>
              </w:rPr>
              <w:t>75~100</w:t>
            </w:r>
          </w:p>
        </w:tc>
      </w:tr>
      <w:tr w14:paraId="3CFC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vMerge w:val="continue"/>
          </w:tcPr>
          <w:p w14:paraId="4BB1FBD8">
            <w:pPr>
              <w:jc w:val="center"/>
              <w:rPr>
                <w:rFonts w:cs="宋体"/>
                <w:szCs w:val="24"/>
              </w:rPr>
            </w:pPr>
          </w:p>
        </w:tc>
        <w:tc>
          <w:tcPr>
            <w:tcW w:w="841" w:type="pct"/>
            <w:gridSpan w:val="2"/>
          </w:tcPr>
          <w:p w14:paraId="06176DFB">
            <w:pPr>
              <w:jc w:val="center"/>
              <w:rPr>
                <w:rFonts w:cs="宋体"/>
                <w:szCs w:val="24"/>
              </w:rPr>
            </w:pPr>
            <w:r>
              <w:rPr>
                <w:rFonts w:cs="宋体"/>
                <w:szCs w:val="24"/>
              </w:rPr>
              <w:t>同品种配套</w:t>
            </w:r>
          </w:p>
        </w:tc>
        <w:tc>
          <w:tcPr>
            <w:tcW w:w="2631" w:type="pct"/>
          </w:tcPr>
          <w:p w14:paraId="4BE2E7DC">
            <w:pPr>
              <w:jc w:val="center"/>
              <w:rPr>
                <w:rFonts w:cs="宋体"/>
                <w:szCs w:val="24"/>
              </w:rPr>
            </w:pPr>
            <w:r>
              <w:rPr>
                <w:rFonts w:ascii="宋体" w:hAnsi="宋体" w:cs="宋体"/>
              </w:rPr>
              <w:t>厚浆型环氧漆</w:t>
            </w:r>
            <w:r>
              <w:rPr>
                <w:rFonts w:hint="eastAsia" w:ascii="宋体" w:hAnsi="宋体" w:cs="宋体"/>
              </w:rPr>
              <w:t>、</w:t>
            </w:r>
            <w:r>
              <w:rPr>
                <w:rFonts w:cs="宋体"/>
                <w:szCs w:val="24"/>
              </w:rPr>
              <w:t>聚氨酯漆、</w:t>
            </w:r>
            <w:r>
              <w:rPr>
                <w:rFonts w:hint="eastAsia" w:cs="宋体"/>
                <w:szCs w:val="24"/>
              </w:rPr>
              <w:t>氯化橡胶漆</w:t>
            </w:r>
            <w:r>
              <w:rPr>
                <w:rFonts w:cs="宋体"/>
                <w:szCs w:val="24"/>
              </w:rPr>
              <w:t>、</w:t>
            </w:r>
            <w:r>
              <w:rPr>
                <w:rFonts w:hint="eastAsia" w:ascii="宋体" w:hAnsi="宋体" w:cs="宋体"/>
              </w:rPr>
              <w:t>环氧沥青</w:t>
            </w:r>
            <w:r>
              <w:rPr>
                <w:rFonts w:ascii="宋体" w:hAnsi="宋体" w:cs="宋体"/>
              </w:rPr>
              <w:t>漆</w:t>
            </w:r>
          </w:p>
        </w:tc>
        <w:tc>
          <w:tcPr>
            <w:tcW w:w="768" w:type="pct"/>
          </w:tcPr>
          <w:p w14:paraId="5AE5CD2B">
            <w:pPr>
              <w:jc w:val="center"/>
              <w:rPr>
                <w:rFonts w:cs="宋体"/>
                <w:szCs w:val="24"/>
              </w:rPr>
            </w:pPr>
            <w:r>
              <w:rPr>
                <w:rFonts w:hint="eastAsia" w:cs="宋体"/>
                <w:szCs w:val="24"/>
              </w:rPr>
              <w:t>300~350</w:t>
            </w:r>
          </w:p>
        </w:tc>
      </w:tr>
    </w:tbl>
    <w:p w14:paraId="4B4B4F09">
      <w:pPr>
        <w:spacing w:line="240" w:lineRule="auto"/>
        <w:jc w:val="left"/>
      </w:pPr>
    </w:p>
    <w:p w14:paraId="2323DFD1">
      <w:pPr>
        <w:spacing w:line="240" w:lineRule="auto"/>
        <w:jc w:val="left"/>
      </w:pPr>
      <w:r>
        <w:rPr>
          <w:rFonts w:hint="eastAsia"/>
        </w:rPr>
        <w:br w:type="page"/>
      </w:r>
    </w:p>
    <w:p w14:paraId="324E1CB5">
      <w:pPr>
        <w:jc w:val="center"/>
        <w:rPr>
          <w:rFonts w:cs="宋体"/>
          <w:szCs w:val="24"/>
        </w:rPr>
      </w:pPr>
      <w:r>
        <w:rPr>
          <w:rFonts w:cs="宋体"/>
          <w:szCs w:val="24"/>
        </w:rPr>
        <w:t>表</w:t>
      </w:r>
      <w:r>
        <w:rPr>
          <w:rFonts w:hint="eastAsia" w:cs="宋体"/>
          <w:szCs w:val="24"/>
        </w:rPr>
        <w:t>C</w:t>
      </w:r>
      <w:r>
        <w:rPr>
          <w:rFonts w:cs="宋体"/>
          <w:szCs w:val="24"/>
        </w:rPr>
        <w:t>.0.</w:t>
      </w:r>
      <w:r>
        <w:rPr>
          <w:rFonts w:hint="eastAsia" w:cs="宋体"/>
          <w:szCs w:val="24"/>
        </w:rPr>
        <w:t>3  浪溅区和水位变动</w:t>
      </w:r>
      <w:r>
        <w:rPr>
          <w:rFonts w:cs="宋体"/>
          <w:szCs w:val="24"/>
        </w:rPr>
        <w:t>区涂层系统</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768"/>
        <w:gridCol w:w="912"/>
        <w:gridCol w:w="4500"/>
        <w:gridCol w:w="1574"/>
      </w:tblGrid>
      <w:tr w14:paraId="040E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Pr>
          <w:p w14:paraId="79B0260A">
            <w:pPr>
              <w:jc w:val="center"/>
              <w:rPr>
                <w:rFonts w:cs="宋体"/>
                <w:szCs w:val="24"/>
              </w:rPr>
            </w:pPr>
            <w:r>
              <w:rPr>
                <w:rFonts w:hint="eastAsia" w:cs="宋体"/>
                <w:szCs w:val="24"/>
              </w:rPr>
              <w:t>设计使用年限（a）</w:t>
            </w:r>
          </w:p>
        </w:tc>
        <w:tc>
          <w:tcPr>
            <w:tcW w:w="6180" w:type="dxa"/>
            <w:gridSpan w:val="3"/>
          </w:tcPr>
          <w:p w14:paraId="75B0491D">
            <w:pPr>
              <w:jc w:val="center"/>
              <w:rPr>
                <w:rFonts w:cs="宋体"/>
                <w:szCs w:val="24"/>
              </w:rPr>
            </w:pPr>
            <w:r>
              <w:rPr>
                <w:rFonts w:cs="宋体"/>
                <w:szCs w:val="24"/>
              </w:rPr>
              <w:t>配套涂料名称</w:t>
            </w:r>
          </w:p>
        </w:tc>
        <w:tc>
          <w:tcPr>
            <w:tcW w:w="1574" w:type="dxa"/>
          </w:tcPr>
          <w:p w14:paraId="06F1C491">
            <w:pPr>
              <w:jc w:val="center"/>
              <w:rPr>
                <w:rFonts w:cs="宋体"/>
                <w:szCs w:val="24"/>
              </w:rPr>
            </w:pPr>
            <w:r>
              <w:rPr>
                <w:rFonts w:cs="宋体"/>
                <w:szCs w:val="24"/>
              </w:rPr>
              <w:t>平均涂层厚度</w:t>
            </w:r>
            <w:r>
              <w:rPr>
                <w:rFonts w:hint="eastAsia" w:cs="宋体"/>
                <w:szCs w:val="24"/>
              </w:rPr>
              <w:t>（µm）</w:t>
            </w:r>
          </w:p>
        </w:tc>
      </w:tr>
      <w:tr w14:paraId="2936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23" w:type="dxa"/>
            <w:vMerge w:val="restart"/>
          </w:tcPr>
          <w:p w14:paraId="3F0B13E0">
            <w:pPr>
              <w:jc w:val="center"/>
              <w:rPr>
                <w:rFonts w:cs="宋体"/>
                <w:szCs w:val="24"/>
              </w:rPr>
            </w:pPr>
            <w:r>
              <w:rPr>
                <w:rFonts w:hint="eastAsia" w:cs="宋体"/>
                <w:szCs w:val="24"/>
              </w:rPr>
              <w:t>10~20</w:t>
            </w:r>
          </w:p>
        </w:tc>
        <w:tc>
          <w:tcPr>
            <w:tcW w:w="768" w:type="dxa"/>
            <w:vMerge w:val="restart"/>
          </w:tcPr>
          <w:p w14:paraId="27065E0E">
            <w:pPr>
              <w:jc w:val="center"/>
              <w:rPr>
                <w:rFonts w:cs="宋体"/>
                <w:szCs w:val="24"/>
              </w:rPr>
            </w:pPr>
            <w:r>
              <w:rPr>
                <w:rFonts w:hint="eastAsia" w:cs="宋体"/>
                <w:szCs w:val="24"/>
              </w:rPr>
              <w:t>组合配套</w:t>
            </w:r>
          </w:p>
        </w:tc>
        <w:tc>
          <w:tcPr>
            <w:tcW w:w="912" w:type="dxa"/>
          </w:tcPr>
          <w:p w14:paraId="3A530538">
            <w:pPr>
              <w:jc w:val="center"/>
              <w:rPr>
                <w:rFonts w:cs="宋体"/>
                <w:szCs w:val="24"/>
              </w:rPr>
            </w:pPr>
            <w:r>
              <w:rPr>
                <w:rFonts w:cs="宋体"/>
                <w:szCs w:val="24"/>
              </w:rPr>
              <w:t>底层</w:t>
            </w:r>
          </w:p>
        </w:tc>
        <w:tc>
          <w:tcPr>
            <w:tcW w:w="4500" w:type="dxa"/>
          </w:tcPr>
          <w:p w14:paraId="1DFC0FC9">
            <w:pPr>
              <w:jc w:val="center"/>
              <w:rPr>
                <w:rFonts w:cs="宋体"/>
                <w:szCs w:val="24"/>
              </w:rPr>
            </w:pPr>
            <w:r>
              <w:rPr>
                <w:rFonts w:cs="宋体"/>
                <w:szCs w:val="24"/>
              </w:rPr>
              <w:t>富锌漆</w:t>
            </w:r>
          </w:p>
        </w:tc>
        <w:tc>
          <w:tcPr>
            <w:tcW w:w="1574" w:type="dxa"/>
          </w:tcPr>
          <w:p w14:paraId="69F64EB6">
            <w:pPr>
              <w:jc w:val="center"/>
              <w:rPr>
                <w:rFonts w:cs="宋体"/>
                <w:szCs w:val="24"/>
              </w:rPr>
            </w:pPr>
            <w:r>
              <w:rPr>
                <w:rFonts w:hint="eastAsia" w:cs="宋体"/>
                <w:szCs w:val="24"/>
              </w:rPr>
              <w:t>75</w:t>
            </w:r>
          </w:p>
        </w:tc>
      </w:tr>
      <w:tr w14:paraId="319E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Pr>
          <w:p w14:paraId="2A15C124">
            <w:pPr>
              <w:jc w:val="center"/>
              <w:rPr>
                <w:rFonts w:cs="宋体"/>
                <w:szCs w:val="24"/>
              </w:rPr>
            </w:pPr>
          </w:p>
        </w:tc>
        <w:tc>
          <w:tcPr>
            <w:tcW w:w="768" w:type="dxa"/>
            <w:vMerge w:val="continue"/>
          </w:tcPr>
          <w:p w14:paraId="1F9F5806">
            <w:pPr>
              <w:jc w:val="center"/>
              <w:rPr>
                <w:rFonts w:cs="宋体"/>
                <w:szCs w:val="24"/>
              </w:rPr>
            </w:pPr>
          </w:p>
        </w:tc>
        <w:tc>
          <w:tcPr>
            <w:tcW w:w="912" w:type="dxa"/>
          </w:tcPr>
          <w:p w14:paraId="3F009EC5">
            <w:pPr>
              <w:jc w:val="center"/>
              <w:rPr>
                <w:rFonts w:cs="宋体"/>
                <w:szCs w:val="24"/>
              </w:rPr>
            </w:pPr>
            <w:r>
              <w:rPr>
                <w:rFonts w:cs="宋体"/>
                <w:szCs w:val="24"/>
              </w:rPr>
              <w:t>中间层</w:t>
            </w:r>
          </w:p>
        </w:tc>
        <w:tc>
          <w:tcPr>
            <w:tcW w:w="4500" w:type="dxa"/>
          </w:tcPr>
          <w:p w14:paraId="15D7B513">
            <w:pPr>
              <w:jc w:val="center"/>
              <w:rPr>
                <w:rFonts w:cs="宋体"/>
                <w:szCs w:val="24"/>
              </w:rPr>
            </w:pPr>
            <w:r>
              <w:rPr>
                <w:rFonts w:hint="eastAsia" w:cs="宋体"/>
                <w:szCs w:val="24"/>
              </w:rPr>
              <w:t>环氧树脂漆、</w:t>
            </w:r>
            <w:r>
              <w:rPr>
                <w:rFonts w:ascii="宋体" w:hAnsi="宋体" w:cs="宋体"/>
              </w:rPr>
              <w:t>聚氨酯漆</w:t>
            </w:r>
          </w:p>
        </w:tc>
        <w:tc>
          <w:tcPr>
            <w:tcW w:w="1574" w:type="dxa"/>
          </w:tcPr>
          <w:p w14:paraId="0F4A54A6">
            <w:pPr>
              <w:jc w:val="center"/>
              <w:rPr>
                <w:rFonts w:cs="宋体"/>
                <w:szCs w:val="24"/>
              </w:rPr>
            </w:pPr>
            <w:r>
              <w:rPr>
                <w:rFonts w:hint="eastAsia" w:cs="宋体"/>
                <w:szCs w:val="24"/>
              </w:rPr>
              <w:t>250~300</w:t>
            </w:r>
          </w:p>
        </w:tc>
      </w:tr>
      <w:tr w14:paraId="335C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523" w:type="dxa"/>
            <w:vMerge w:val="continue"/>
          </w:tcPr>
          <w:p w14:paraId="1B590A6E">
            <w:pPr>
              <w:jc w:val="center"/>
              <w:rPr>
                <w:rFonts w:cs="宋体"/>
                <w:szCs w:val="24"/>
              </w:rPr>
            </w:pPr>
          </w:p>
        </w:tc>
        <w:tc>
          <w:tcPr>
            <w:tcW w:w="768" w:type="dxa"/>
            <w:vMerge w:val="continue"/>
          </w:tcPr>
          <w:p w14:paraId="41F1EA2A">
            <w:pPr>
              <w:jc w:val="center"/>
              <w:rPr>
                <w:rFonts w:cs="宋体"/>
                <w:szCs w:val="24"/>
              </w:rPr>
            </w:pPr>
          </w:p>
        </w:tc>
        <w:tc>
          <w:tcPr>
            <w:tcW w:w="912" w:type="dxa"/>
          </w:tcPr>
          <w:p w14:paraId="78B11CAE">
            <w:pPr>
              <w:jc w:val="center"/>
              <w:rPr>
                <w:rFonts w:cs="宋体"/>
                <w:szCs w:val="24"/>
              </w:rPr>
            </w:pPr>
            <w:r>
              <w:rPr>
                <w:rFonts w:cs="宋体"/>
                <w:szCs w:val="24"/>
              </w:rPr>
              <w:t>面层</w:t>
            </w:r>
          </w:p>
        </w:tc>
        <w:tc>
          <w:tcPr>
            <w:tcW w:w="4500" w:type="dxa"/>
          </w:tcPr>
          <w:p w14:paraId="3DA62DBB">
            <w:pPr>
              <w:jc w:val="center"/>
              <w:rPr>
                <w:rFonts w:cs="宋体"/>
                <w:szCs w:val="24"/>
              </w:rPr>
            </w:pPr>
            <w:r>
              <w:rPr>
                <w:rFonts w:ascii="宋体" w:hAnsi="宋体" w:cs="宋体"/>
              </w:rPr>
              <w:t>厚浆型环氧漆、聚氨酯漆、</w:t>
            </w:r>
            <w:r>
              <w:rPr>
                <w:rFonts w:hint="eastAsia" w:cs="宋体"/>
                <w:szCs w:val="24"/>
              </w:rPr>
              <w:t>氯化橡胶漆</w:t>
            </w:r>
          </w:p>
        </w:tc>
        <w:tc>
          <w:tcPr>
            <w:tcW w:w="1574" w:type="dxa"/>
          </w:tcPr>
          <w:p w14:paraId="2B3535C7">
            <w:pPr>
              <w:jc w:val="center"/>
              <w:rPr>
                <w:rFonts w:cs="宋体"/>
                <w:szCs w:val="24"/>
              </w:rPr>
            </w:pPr>
            <w:r>
              <w:rPr>
                <w:rFonts w:hint="eastAsia" w:cs="宋体"/>
                <w:szCs w:val="24"/>
              </w:rPr>
              <w:t>125</w:t>
            </w:r>
          </w:p>
        </w:tc>
      </w:tr>
      <w:tr w14:paraId="2DC6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Pr>
          <w:p w14:paraId="0C41C2B6">
            <w:pPr>
              <w:jc w:val="center"/>
              <w:rPr>
                <w:rFonts w:cs="宋体"/>
                <w:szCs w:val="24"/>
              </w:rPr>
            </w:pPr>
          </w:p>
        </w:tc>
        <w:tc>
          <w:tcPr>
            <w:tcW w:w="1680" w:type="dxa"/>
            <w:gridSpan w:val="2"/>
          </w:tcPr>
          <w:p w14:paraId="51D77F5B">
            <w:pPr>
              <w:jc w:val="center"/>
              <w:rPr>
                <w:rFonts w:cs="宋体"/>
                <w:szCs w:val="24"/>
              </w:rPr>
            </w:pPr>
            <w:r>
              <w:rPr>
                <w:rFonts w:cs="宋体"/>
                <w:szCs w:val="24"/>
              </w:rPr>
              <w:t>同品种配套</w:t>
            </w:r>
          </w:p>
        </w:tc>
        <w:tc>
          <w:tcPr>
            <w:tcW w:w="4500" w:type="dxa"/>
          </w:tcPr>
          <w:p w14:paraId="533DAB96">
            <w:pPr>
              <w:jc w:val="center"/>
              <w:rPr>
                <w:rFonts w:cs="宋体"/>
                <w:szCs w:val="24"/>
              </w:rPr>
            </w:pPr>
            <w:r>
              <w:rPr>
                <w:rFonts w:ascii="宋体" w:hAnsi="宋体" w:cs="宋体"/>
              </w:rPr>
              <w:t>厚浆型环氧漆、聚氨酯漆、</w:t>
            </w:r>
            <w:r>
              <w:rPr>
                <w:rFonts w:hint="eastAsia" w:ascii="宋体" w:hAnsi="宋体" w:cs="宋体"/>
              </w:rPr>
              <w:t>环氧沥青</w:t>
            </w:r>
            <w:r>
              <w:rPr>
                <w:rFonts w:ascii="宋体" w:hAnsi="宋体" w:cs="宋体"/>
              </w:rPr>
              <w:t>漆</w:t>
            </w:r>
          </w:p>
        </w:tc>
        <w:tc>
          <w:tcPr>
            <w:tcW w:w="1574" w:type="dxa"/>
          </w:tcPr>
          <w:p w14:paraId="7FEC780C">
            <w:pPr>
              <w:jc w:val="center"/>
              <w:rPr>
                <w:rFonts w:cs="宋体"/>
                <w:szCs w:val="24"/>
              </w:rPr>
            </w:pPr>
            <w:r>
              <w:rPr>
                <w:rFonts w:hint="eastAsia" w:cs="宋体"/>
                <w:szCs w:val="24"/>
              </w:rPr>
              <w:t>450~500</w:t>
            </w:r>
          </w:p>
        </w:tc>
      </w:tr>
      <w:tr w14:paraId="58AE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23" w:type="dxa"/>
            <w:vMerge w:val="restart"/>
          </w:tcPr>
          <w:p w14:paraId="305FEACD">
            <w:pPr>
              <w:jc w:val="center"/>
              <w:rPr>
                <w:rFonts w:cs="宋体"/>
                <w:szCs w:val="24"/>
              </w:rPr>
            </w:pPr>
            <w:r>
              <w:rPr>
                <w:rFonts w:hint="eastAsia" w:cs="宋体"/>
                <w:szCs w:val="24"/>
              </w:rPr>
              <w:t>5~10</w:t>
            </w:r>
          </w:p>
        </w:tc>
        <w:tc>
          <w:tcPr>
            <w:tcW w:w="768" w:type="dxa"/>
            <w:vMerge w:val="restart"/>
          </w:tcPr>
          <w:p w14:paraId="6ABF80E7">
            <w:pPr>
              <w:jc w:val="center"/>
              <w:rPr>
                <w:rFonts w:cs="宋体"/>
                <w:szCs w:val="24"/>
              </w:rPr>
            </w:pPr>
            <w:r>
              <w:rPr>
                <w:rFonts w:hint="eastAsia" w:cs="宋体"/>
                <w:szCs w:val="24"/>
              </w:rPr>
              <w:t>组合配套</w:t>
            </w:r>
          </w:p>
        </w:tc>
        <w:tc>
          <w:tcPr>
            <w:tcW w:w="912" w:type="dxa"/>
            <w:tcBorders>
              <w:right w:val="single" w:color="auto" w:sz="4" w:space="0"/>
            </w:tcBorders>
          </w:tcPr>
          <w:p w14:paraId="4FC1143B">
            <w:pPr>
              <w:jc w:val="center"/>
              <w:rPr>
                <w:rFonts w:cs="宋体"/>
                <w:szCs w:val="24"/>
              </w:rPr>
            </w:pPr>
            <w:r>
              <w:rPr>
                <w:rFonts w:cs="宋体"/>
                <w:szCs w:val="24"/>
              </w:rPr>
              <w:t>底层</w:t>
            </w:r>
          </w:p>
        </w:tc>
        <w:tc>
          <w:tcPr>
            <w:tcW w:w="4500" w:type="dxa"/>
            <w:tcBorders>
              <w:left w:val="single" w:color="auto" w:sz="4" w:space="0"/>
            </w:tcBorders>
          </w:tcPr>
          <w:p w14:paraId="3D31EE01">
            <w:pPr>
              <w:jc w:val="center"/>
              <w:rPr>
                <w:rFonts w:cs="宋体"/>
                <w:szCs w:val="24"/>
              </w:rPr>
            </w:pPr>
            <w:r>
              <w:rPr>
                <w:rFonts w:cs="宋体"/>
                <w:szCs w:val="24"/>
              </w:rPr>
              <w:t>富锌漆</w:t>
            </w:r>
          </w:p>
        </w:tc>
        <w:tc>
          <w:tcPr>
            <w:tcW w:w="1574" w:type="dxa"/>
          </w:tcPr>
          <w:p w14:paraId="3F847CA6">
            <w:pPr>
              <w:jc w:val="center"/>
              <w:rPr>
                <w:rFonts w:cs="宋体"/>
                <w:szCs w:val="24"/>
              </w:rPr>
            </w:pPr>
            <w:r>
              <w:rPr>
                <w:rFonts w:hint="eastAsia" w:cs="宋体"/>
                <w:szCs w:val="24"/>
              </w:rPr>
              <w:t>75</w:t>
            </w:r>
          </w:p>
        </w:tc>
      </w:tr>
      <w:tr w14:paraId="158C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Pr>
          <w:p w14:paraId="408D524D">
            <w:pPr>
              <w:jc w:val="center"/>
              <w:rPr>
                <w:rFonts w:cs="宋体"/>
                <w:szCs w:val="24"/>
              </w:rPr>
            </w:pPr>
          </w:p>
        </w:tc>
        <w:tc>
          <w:tcPr>
            <w:tcW w:w="768" w:type="dxa"/>
            <w:vMerge w:val="continue"/>
          </w:tcPr>
          <w:p w14:paraId="089B1C0F">
            <w:pPr>
              <w:jc w:val="center"/>
              <w:rPr>
                <w:rFonts w:cs="宋体"/>
                <w:szCs w:val="24"/>
              </w:rPr>
            </w:pPr>
          </w:p>
        </w:tc>
        <w:tc>
          <w:tcPr>
            <w:tcW w:w="912" w:type="dxa"/>
            <w:tcBorders>
              <w:right w:val="single" w:color="auto" w:sz="4" w:space="0"/>
            </w:tcBorders>
          </w:tcPr>
          <w:p w14:paraId="419014E3">
            <w:pPr>
              <w:jc w:val="center"/>
              <w:rPr>
                <w:rFonts w:cs="宋体"/>
                <w:szCs w:val="24"/>
              </w:rPr>
            </w:pPr>
            <w:r>
              <w:rPr>
                <w:rFonts w:cs="宋体"/>
                <w:szCs w:val="24"/>
              </w:rPr>
              <w:t>中间层</w:t>
            </w:r>
          </w:p>
        </w:tc>
        <w:tc>
          <w:tcPr>
            <w:tcW w:w="4500" w:type="dxa"/>
            <w:tcBorders>
              <w:left w:val="single" w:color="auto" w:sz="4" w:space="0"/>
            </w:tcBorders>
          </w:tcPr>
          <w:p w14:paraId="4F7E0D19">
            <w:pPr>
              <w:jc w:val="center"/>
              <w:rPr>
                <w:rFonts w:cs="宋体"/>
                <w:szCs w:val="24"/>
              </w:rPr>
            </w:pPr>
            <w:r>
              <w:rPr>
                <w:rFonts w:hint="eastAsia" w:cs="宋体"/>
                <w:szCs w:val="24"/>
              </w:rPr>
              <w:t>环氧树脂漆、</w:t>
            </w:r>
            <w:r>
              <w:rPr>
                <w:rFonts w:cs="宋体"/>
                <w:szCs w:val="24"/>
              </w:rPr>
              <w:t>聚氨酯漆</w:t>
            </w:r>
            <w:r>
              <w:rPr>
                <w:rFonts w:hint="eastAsia" w:cs="宋体"/>
                <w:szCs w:val="24"/>
              </w:rPr>
              <w:t>、氯化橡胶漆</w:t>
            </w:r>
          </w:p>
        </w:tc>
        <w:tc>
          <w:tcPr>
            <w:tcW w:w="1574" w:type="dxa"/>
          </w:tcPr>
          <w:p w14:paraId="31C9609C">
            <w:pPr>
              <w:jc w:val="center"/>
              <w:rPr>
                <w:rFonts w:cs="宋体"/>
                <w:szCs w:val="24"/>
              </w:rPr>
            </w:pPr>
            <w:r>
              <w:rPr>
                <w:rFonts w:hint="eastAsia" w:cs="宋体"/>
                <w:szCs w:val="24"/>
              </w:rPr>
              <w:t>150</w:t>
            </w:r>
          </w:p>
        </w:tc>
      </w:tr>
      <w:tr w14:paraId="49BC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Pr>
          <w:p w14:paraId="375E2DBE">
            <w:pPr>
              <w:jc w:val="center"/>
              <w:rPr>
                <w:rFonts w:cs="宋体"/>
                <w:szCs w:val="24"/>
              </w:rPr>
            </w:pPr>
          </w:p>
        </w:tc>
        <w:tc>
          <w:tcPr>
            <w:tcW w:w="768" w:type="dxa"/>
            <w:vMerge w:val="continue"/>
          </w:tcPr>
          <w:p w14:paraId="330D9CF4">
            <w:pPr>
              <w:jc w:val="center"/>
              <w:rPr>
                <w:rFonts w:cs="宋体"/>
                <w:szCs w:val="24"/>
              </w:rPr>
            </w:pPr>
          </w:p>
        </w:tc>
        <w:tc>
          <w:tcPr>
            <w:tcW w:w="912" w:type="dxa"/>
            <w:tcBorders>
              <w:right w:val="single" w:color="auto" w:sz="4" w:space="0"/>
            </w:tcBorders>
          </w:tcPr>
          <w:p w14:paraId="2C4B08B2">
            <w:pPr>
              <w:jc w:val="center"/>
              <w:rPr>
                <w:rFonts w:cs="宋体"/>
                <w:szCs w:val="24"/>
              </w:rPr>
            </w:pPr>
            <w:r>
              <w:rPr>
                <w:rFonts w:cs="宋体"/>
                <w:szCs w:val="24"/>
              </w:rPr>
              <w:t>面层</w:t>
            </w:r>
          </w:p>
        </w:tc>
        <w:tc>
          <w:tcPr>
            <w:tcW w:w="4500" w:type="dxa"/>
            <w:tcBorders>
              <w:left w:val="single" w:color="auto" w:sz="4" w:space="0"/>
            </w:tcBorders>
          </w:tcPr>
          <w:p w14:paraId="55995627">
            <w:pPr>
              <w:jc w:val="center"/>
              <w:rPr>
                <w:rFonts w:cs="宋体"/>
                <w:szCs w:val="24"/>
              </w:rPr>
            </w:pPr>
            <w:r>
              <w:rPr>
                <w:rFonts w:ascii="宋体" w:hAnsi="宋体" w:cs="宋体"/>
              </w:rPr>
              <w:t>厚浆型环氧漆</w:t>
            </w:r>
            <w:r>
              <w:rPr>
                <w:rFonts w:cs="宋体"/>
                <w:szCs w:val="24"/>
              </w:rPr>
              <w:t>、</w:t>
            </w:r>
            <w:r>
              <w:rPr>
                <w:rFonts w:hint="eastAsia" w:cs="宋体"/>
                <w:szCs w:val="24"/>
              </w:rPr>
              <w:t>氯化橡胶漆</w:t>
            </w:r>
            <w:r>
              <w:rPr>
                <w:rFonts w:cs="宋体"/>
                <w:szCs w:val="24"/>
              </w:rPr>
              <w:t>、</w:t>
            </w:r>
            <w:r>
              <w:rPr>
                <w:rFonts w:ascii="宋体" w:hAnsi="宋体" w:cs="宋体"/>
              </w:rPr>
              <w:t>聚氨酯漆</w:t>
            </w:r>
          </w:p>
        </w:tc>
        <w:tc>
          <w:tcPr>
            <w:tcW w:w="1574" w:type="dxa"/>
          </w:tcPr>
          <w:p w14:paraId="768AE690">
            <w:pPr>
              <w:jc w:val="center"/>
              <w:rPr>
                <w:rFonts w:cs="宋体"/>
                <w:szCs w:val="24"/>
              </w:rPr>
            </w:pPr>
            <w:r>
              <w:rPr>
                <w:rFonts w:hint="eastAsia" w:cs="宋体"/>
                <w:szCs w:val="24"/>
              </w:rPr>
              <w:t>75~100</w:t>
            </w:r>
          </w:p>
        </w:tc>
      </w:tr>
      <w:tr w14:paraId="42F5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Pr>
          <w:p w14:paraId="50F25A38">
            <w:pPr>
              <w:jc w:val="center"/>
              <w:rPr>
                <w:rFonts w:cs="宋体"/>
                <w:szCs w:val="24"/>
              </w:rPr>
            </w:pPr>
          </w:p>
        </w:tc>
        <w:tc>
          <w:tcPr>
            <w:tcW w:w="1680" w:type="dxa"/>
            <w:gridSpan w:val="2"/>
          </w:tcPr>
          <w:p w14:paraId="7C7C0216">
            <w:pPr>
              <w:jc w:val="center"/>
              <w:rPr>
                <w:rFonts w:cs="宋体"/>
                <w:szCs w:val="24"/>
              </w:rPr>
            </w:pPr>
            <w:r>
              <w:rPr>
                <w:rFonts w:cs="宋体"/>
                <w:szCs w:val="24"/>
              </w:rPr>
              <w:t>同品种配套</w:t>
            </w:r>
          </w:p>
        </w:tc>
        <w:tc>
          <w:tcPr>
            <w:tcW w:w="4500" w:type="dxa"/>
          </w:tcPr>
          <w:p w14:paraId="3C690DD6">
            <w:pPr>
              <w:jc w:val="center"/>
              <w:rPr>
                <w:rFonts w:cs="宋体"/>
                <w:szCs w:val="24"/>
              </w:rPr>
            </w:pPr>
            <w:r>
              <w:rPr>
                <w:rFonts w:ascii="宋体" w:hAnsi="宋体" w:cs="宋体"/>
              </w:rPr>
              <w:t>厚浆型环氧漆</w:t>
            </w:r>
            <w:r>
              <w:rPr>
                <w:rFonts w:hint="eastAsia" w:ascii="宋体" w:hAnsi="宋体" w:cs="宋体"/>
              </w:rPr>
              <w:t>、</w:t>
            </w:r>
            <w:r>
              <w:rPr>
                <w:rFonts w:cs="宋体"/>
                <w:szCs w:val="24"/>
              </w:rPr>
              <w:t>聚氨酯漆、</w:t>
            </w:r>
            <w:r>
              <w:rPr>
                <w:rFonts w:hint="eastAsia" w:cs="宋体"/>
                <w:szCs w:val="24"/>
              </w:rPr>
              <w:t>氯化橡胶漆</w:t>
            </w:r>
            <w:r>
              <w:rPr>
                <w:rFonts w:cs="宋体"/>
                <w:szCs w:val="24"/>
              </w:rPr>
              <w:t>、</w:t>
            </w:r>
          </w:p>
          <w:p w14:paraId="2544B0B9">
            <w:pPr>
              <w:jc w:val="center"/>
              <w:rPr>
                <w:rFonts w:cs="宋体"/>
                <w:szCs w:val="24"/>
              </w:rPr>
            </w:pPr>
            <w:r>
              <w:rPr>
                <w:rFonts w:hint="eastAsia" w:ascii="宋体" w:hAnsi="宋体" w:cs="宋体"/>
              </w:rPr>
              <w:t>环氧沥青</w:t>
            </w:r>
            <w:r>
              <w:rPr>
                <w:rFonts w:ascii="宋体" w:hAnsi="宋体" w:cs="宋体"/>
              </w:rPr>
              <w:t>漆</w:t>
            </w:r>
          </w:p>
        </w:tc>
        <w:tc>
          <w:tcPr>
            <w:tcW w:w="1574" w:type="dxa"/>
          </w:tcPr>
          <w:p w14:paraId="573C64D9">
            <w:pPr>
              <w:jc w:val="center"/>
              <w:rPr>
                <w:rFonts w:cs="宋体"/>
                <w:szCs w:val="24"/>
              </w:rPr>
            </w:pPr>
            <w:r>
              <w:rPr>
                <w:rFonts w:hint="eastAsia" w:cs="宋体"/>
                <w:szCs w:val="24"/>
              </w:rPr>
              <w:t>300~350</w:t>
            </w:r>
          </w:p>
        </w:tc>
      </w:tr>
    </w:tbl>
    <w:p w14:paraId="6A329B5B">
      <w:pPr>
        <w:spacing w:line="240" w:lineRule="auto"/>
        <w:jc w:val="left"/>
      </w:pPr>
    </w:p>
    <w:p w14:paraId="327EE91F">
      <w:pPr>
        <w:pStyle w:val="2"/>
      </w:pPr>
      <w:r>
        <w:br w:type="page"/>
      </w:r>
      <w:bookmarkStart w:id="65" w:name="_Toc24022"/>
      <w:r>
        <w:t>附录</w:t>
      </w:r>
      <w:r>
        <w:rPr>
          <w:rFonts w:hint="eastAsia"/>
        </w:rPr>
        <w:t>D  常用的封闭剂、封闭涂料和涂装涂料</w:t>
      </w:r>
      <w:bookmarkEnd w:id="65"/>
    </w:p>
    <w:p w14:paraId="49C215CA">
      <w:r>
        <w:rPr>
          <w:rFonts w:hint="eastAsia"/>
        </w:rPr>
        <w:t>D.0.1  金属热喷涂常用的封闭剂、封闭涂料和涂装涂料可按表</w:t>
      </w:r>
      <w:r>
        <w:rPr>
          <w:rFonts w:hint="eastAsia" w:cs="宋体"/>
        </w:rPr>
        <w:t>D</w:t>
      </w:r>
      <w:r>
        <w:rPr>
          <w:rFonts w:cs="宋体"/>
        </w:rPr>
        <w:t>.0.1</w:t>
      </w:r>
      <w:r>
        <w:rPr>
          <w:rFonts w:hint="eastAsia" w:cs="宋体"/>
        </w:rPr>
        <w:t>选用。</w:t>
      </w:r>
    </w:p>
    <w:p w14:paraId="35CAC3D2">
      <w:pPr>
        <w:jc w:val="center"/>
        <w:rPr>
          <w:rFonts w:cs="宋体"/>
        </w:rPr>
      </w:pPr>
      <w:r>
        <w:rPr>
          <w:rFonts w:hint="eastAsia" w:cs="宋体"/>
        </w:rPr>
        <w:t>表D</w:t>
      </w:r>
      <w:r>
        <w:rPr>
          <w:rFonts w:cs="宋体"/>
        </w:rPr>
        <w:t>.0.1</w:t>
      </w:r>
      <w:r>
        <w:rPr>
          <w:rFonts w:hint="eastAsia" w:cs="宋体"/>
        </w:rPr>
        <w:t xml:space="preserve">  </w:t>
      </w:r>
      <w:r>
        <w:rPr>
          <w:rFonts w:cs="宋体"/>
        </w:rPr>
        <w:t>金属热喷涂常用的封闭剂、封闭涂料和涂装涂料</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749"/>
        <w:gridCol w:w="1728"/>
        <w:gridCol w:w="1692"/>
        <w:gridCol w:w="3552"/>
      </w:tblGrid>
      <w:tr w14:paraId="064F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14:paraId="3EC7162C">
            <w:pPr>
              <w:jc w:val="center"/>
              <w:rPr>
                <w:rFonts w:cs="宋体"/>
              </w:rPr>
            </w:pPr>
            <w:r>
              <w:rPr>
                <w:rFonts w:hint="eastAsia" w:cs="宋体"/>
              </w:rPr>
              <w:t>类型</w:t>
            </w:r>
          </w:p>
        </w:tc>
        <w:tc>
          <w:tcPr>
            <w:tcW w:w="1749" w:type="dxa"/>
          </w:tcPr>
          <w:p w14:paraId="76AA6960">
            <w:pPr>
              <w:jc w:val="center"/>
              <w:rPr>
                <w:rFonts w:cs="宋体"/>
              </w:rPr>
            </w:pPr>
            <w:r>
              <w:rPr>
                <w:rFonts w:hint="eastAsia" w:cs="宋体"/>
              </w:rPr>
              <w:t>种类</w:t>
            </w:r>
          </w:p>
        </w:tc>
        <w:tc>
          <w:tcPr>
            <w:tcW w:w="1728" w:type="dxa"/>
          </w:tcPr>
          <w:p w14:paraId="02998E73">
            <w:pPr>
              <w:jc w:val="center"/>
              <w:rPr>
                <w:rFonts w:cs="宋体"/>
              </w:rPr>
            </w:pPr>
            <w:r>
              <w:rPr>
                <w:rFonts w:cs="宋体"/>
              </w:rPr>
              <w:t>成膜物质</w:t>
            </w:r>
          </w:p>
        </w:tc>
        <w:tc>
          <w:tcPr>
            <w:tcW w:w="1692" w:type="dxa"/>
          </w:tcPr>
          <w:p w14:paraId="57FA8DF2">
            <w:pPr>
              <w:jc w:val="center"/>
              <w:rPr>
                <w:rFonts w:cs="宋体"/>
              </w:rPr>
            </w:pPr>
            <w:r>
              <w:rPr>
                <w:rFonts w:cs="宋体"/>
              </w:rPr>
              <w:t>成膜物质</w:t>
            </w:r>
          </w:p>
        </w:tc>
        <w:tc>
          <w:tcPr>
            <w:tcW w:w="3552" w:type="dxa"/>
          </w:tcPr>
          <w:p w14:paraId="42245149">
            <w:pPr>
              <w:jc w:val="center"/>
              <w:rPr>
                <w:rFonts w:cs="宋体"/>
              </w:rPr>
            </w:pPr>
            <w:r>
              <w:rPr>
                <w:rFonts w:cs="宋体"/>
              </w:rPr>
              <w:t>主要性能</w:t>
            </w:r>
          </w:p>
        </w:tc>
      </w:tr>
      <w:tr w14:paraId="799A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6" w:type="dxa"/>
            <w:vMerge w:val="restart"/>
          </w:tcPr>
          <w:p w14:paraId="28C66DB0">
            <w:pPr>
              <w:jc w:val="center"/>
              <w:rPr>
                <w:rFonts w:cs="宋体"/>
              </w:rPr>
            </w:pPr>
            <w:r>
              <w:rPr>
                <w:rFonts w:hint="eastAsia" w:cs="宋体"/>
              </w:rPr>
              <w:t>封闭剂</w:t>
            </w:r>
          </w:p>
        </w:tc>
        <w:tc>
          <w:tcPr>
            <w:tcW w:w="1749" w:type="dxa"/>
          </w:tcPr>
          <w:p w14:paraId="5F6AD300">
            <w:pPr>
              <w:jc w:val="center"/>
              <w:rPr>
                <w:rFonts w:cs="宋体"/>
              </w:rPr>
            </w:pPr>
            <w:r>
              <w:rPr>
                <w:rFonts w:cs="宋体"/>
              </w:rPr>
              <w:t>磷化底漆</w:t>
            </w:r>
          </w:p>
        </w:tc>
        <w:tc>
          <w:tcPr>
            <w:tcW w:w="1728" w:type="dxa"/>
          </w:tcPr>
          <w:p w14:paraId="202D8D94">
            <w:pPr>
              <w:jc w:val="center"/>
              <w:rPr>
                <w:rFonts w:cs="宋体"/>
              </w:rPr>
            </w:pPr>
            <w:r>
              <w:rPr>
                <w:rFonts w:cs="宋体"/>
              </w:rPr>
              <w:t>聚乙烯醇缩丁醛</w:t>
            </w:r>
          </w:p>
        </w:tc>
        <w:tc>
          <w:tcPr>
            <w:tcW w:w="1692" w:type="dxa"/>
          </w:tcPr>
          <w:p w14:paraId="0E9D33CC">
            <w:pPr>
              <w:jc w:val="center"/>
              <w:rPr>
                <w:rFonts w:cs="宋体"/>
              </w:rPr>
            </w:pPr>
            <w:r>
              <w:rPr>
                <w:rFonts w:cs="宋体"/>
              </w:rPr>
              <w:t>四盐基铬酸锌</w:t>
            </w:r>
          </w:p>
        </w:tc>
        <w:tc>
          <w:tcPr>
            <w:tcW w:w="3552" w:type="dxa"/>
          </w:tcPr>
          <w:p w14:paraId="3FD8C218">
            <w:pPr>
              <w:jc w:val="center"/>
              <w:rPr>
                <w:rFonts w:cs="宋体"/>
              </w:rPr>
            </w:pPr>
            <w:r>
              <w:rPr>
                <w:rFonts w:cs="宋体"/>
              </w:rPr>
              <w:t>能形成磷化一钝化膜，可提高封闭层、封闭涂料的相容性及防腐性能</w:t>
            </w:r>
          </w:p>
        </w:tc>
      </w:tr>
      <w:tr w14:paraId="48E9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Pr>
          <w:p w14:paraId="498003F4">
            <w:pPr>
              <w:jc w:val="center"/>
              <w:rPr>
                <w:rFonts w:cs="宋体"/>
              </w:rPr>
            </w:pPr>
          </w:p>
        </w:tc>
        <w:tc>
          <w:tcPr>
            <w:tcW w:w="1749" w:type="dxa"/>
          </w:tcPr>
          <w:p w14:paraId="4F248E38">
            <w:pPr>
              <w:jc w:val="center"/>
              <w:rPr>
                <w:rFonts w:cs="宋体"/>
              </w:rPr>
            </w:pPr>
            <w:r>
              <w:rPr>
                <w:rFonts w:cs="宋体"/>
              </w:rPr>
              <w:t>双组分环氧</w:t>
            </w:r>
            <w:r>
              <w:rPr>
                <w:rFonts w:hint="eastAsia" w:cs="宋体"/>
              </w:rPr>
              <w:t>漆</w:t>
            </w:r>
          </w:p>
        </w:tc>
        <w:tc>
          <w:tcPr>
            <w:tcW w:w="1728" w:type="dxa"/>
          </w:tcPr>
          <w:p w14:paraId="4870C75F">
            <w:pPr>
              <w:jc w:val="center"/>
              <w:rPr>
                <w:rFonts w:cs="宋体"/>
              </w:rPr>
            </w:pPr>
            <w:r>
              <w:rPr>
                <w:rFonts w:hint="eastAsia" w:cs="宋体"/>
              </w:rPr>
              <w:t>环氧</w:t>
            </w:r>
          </w:p>
        </w:tc>
        <w:tc>
          <w:tcPr>
            <w:tcW w:w="1692" w:type="dxa"/>
          </w:tcPr>
          <w:p w14:paraId="299D56DD">
            <w:pPr>
              <w:jc w:val="center"/>
              <w:rPr>
                <w:rFonts w:cs="宋体"/>
              </w:rPr>
            </w:pPr>
            <w:r>
              <w:rPr>
                <w:rFonts w:cs="宋体"/>
              </w:rPr>
              <w:t>锌铬黄</w:t>
            </w:r>
            <w:r>
              <w:rPr>
                <w:rFonts w:hint="eastAsia" w:cs="宋体"/>
              </w:rPr>
              <w:t>、</w:t>
            </w:r>
            <w:r>
              <w:rPr>
                <w:rFonts w:cs="宋体"/>
              </w:rPr>
              <w:t>磷酸锌</w:t>
            </w:r>
            <w:r>
              <w:rPr>
                <w:rFonts w:hint="eastAsia" w:cs="宋体"/>
              </w:rPr>
              <w:t>或云母氧化铁</w:t>
            </w:r>
          </w:p>
        </w:tc>
        <w:tc>
          <w:tcPr>
            <w:tcW w:w="3552" w:type="dxa"/>
          </w:tcPr>
          <w:p w14:paraId="141A1D7A">
            <w:pPr>
              <w:jc w:val="center"/>
              <w:rPr>
                <w:rFonts w:cs="宋体"/>
              </w:rPr>
            </w:pPr>
            <w:r>
              <w:rPr>
                <w:rFonts w:cs="宋体"/>
              </w:rPr>
              <w:t>能形成磷化</w:t>
            </w:r>
            <w:r>
              <w:rPr>
                <w:rFonts w:hint="eastAsia" w:cs="宋体"/>
              </w:rPr>
              <w:t>—</w:t>
            </w:r>
            <w:r>
              <w:rPr>
                <w:rFonts w:cs="宋体"/>
              </w:rPr>
              <w:t>钝化膜，可提高封闭层、封闭涂料的相容性及防腐性能，与环氧类封闭涂料或涂装涂料配套</w:t>
            </w:r>
          </w:p>
        </w:tc>
      </w:tr>
      <w:tr w14:paraId="4FA5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Pr>
          <w:p w14:paraId="41C095F9">
            <w:pPr>
              <w:jc w:val="center"/>
              <w:rPr>
                <w:rFonts w:cs="宋体"/>
              </w:rPr>
            </w:pPr>
          </w:p>
        </w:tc>
        <w:tc>
          <w:tcPr>
            <w:tcW w:w="1749" w:type="dxa"/>
          </w:tcPr>
          <w:p w14:paraId="14463785">
            <w:pPr>
              <w:jc w:val="center"/>
              <w:rPr>
                <w:rFonts w:cs="宋体"/>
              </w:rPr>
            </w:pPr>
            <w:r>
              <w:rPr>
                <w:rFonts w:cs="宋体"/>
              </w:rPr>
              <w:t>双组分聚氨酯</w:t>
            </w:r>
          </w:p>
        </w:tc>
        <w:tc>
          <w:tcPr>
            <w:tcW w:w="1728" w:type="dxa"/>
          </w:tcPr>
          <w:p w14:paraId="64CC966C">
            <w:pPr>
              <w:jc w:val="center"/>
              <w:rPr>
                <w:rFonts w:cs="宋体"/>
              </w:rPr>
            </w:pPr>
            <w:r>
              <w:rPr>
                <w:rFonts w:cs="宋体"/>
              </w:rPr>
              <w:t>聚氨基甲酸脂</w:t>
            </w:r>
          </w:p>
        </w:tc>
        <w:tc>
          <w:tcPr>
            <w:tcW w:w="1692" w:type="dxa"/>
          </w:tcPr>
          <w:p w14:paraId="17B3946A">
            <w:pPr>
              <w:jc w:val="center"/>
              <w:rPr>
                <w:rFonts w:cs="宋体"/>
              </w:rPr>
            </w:pPr>
            <w:r>
              <w:rPr>
                <w:rFonts w:cs="宋体"/>
              </w:rPr>
              <w:t>锌铬黄或磷酸锌</w:t>
            </w:r>
          </w:p>
        </w:tc>
        <w:tc>
          <w:tcPr>
            <w:tcW w:w="3552" w:type="dxa"/>
          </w:tcPr>
          <w:p w14:paraId="5F515E8D">
            <w:pPr>
              <w:jc w:val="center"/>
              <w:rPr>
                <w:rFonts w:cs="宋体"/>
              </w:rPr>
            </w:pPr>
            <w:r>
              <w:rPr>
                <w:rFonts w:cs="宋体"/>
              </w:rPr>
              <w:t>能形成磷化</w:t>
            </w:r>
            <w:r>
              <w:rPr>
                <w:rFonts w:hint="eastAsia" w:cs="宋体"/>
              </w:rPr>
              <w:t>—</w:t>
            </w:r>
            <w:r>
              <w:rPr>
                <w:rFonts w:cs="宋体"/>
              </w:rPr>
              <w:t>纯化膜，可提高封闭层、封闭涂料的相容性及防腐性能，与聚氨酯类封闭或涂装涂料配套</w:t>
            </w:r>
          </w:p>
        </w:tc>
      </w:tr>
      <w:tr w14:paraId="1EDF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restart"/>
          </w:tcPr>
          <w:p w14:paraId="11EE7B11">
            <w:pPr>
              <w:jc w:val="center"/>
              <w:rPr>
                <w:rFonts w:cs="宋体"/>
              </w:rPr>
            </w:pPr>
            <w:r>
              <w:rPr>
                <w:rFonts w:cs="宋体"/>
              </w:rPr>
              <w:t>封闭涂料或涂装涂</w:t>
            </w:r>
            <w:r>
              <w:rPr>
                <w:rFonts w:hint="eastAsia" w:cs="宋体"/>
              </w:rPr>
              <w:t>料</w:t>
            </w:r>
          </w:p>
        </w:tc>
        <w:tc>
          <w:tcPr>
            <w:tcW w:w="1749" w:type="dxa"/>
          </w:tcPr>
          <w:p w14:paraId="04F3F9E5">
            <w:pPr>
              <w:jc w:val="center"/>
              <w:rPr>
                <w:rFonts w:cs="宋体"/>
              </w:rPr>
            </w:pPr>
            <w:r>
              <w:rPr>
                <w:rFonts w:cs="宋体"/>
              </w:rPr>
              <w:t>双组分环氧</w:t>
            </w:r>
          </w:p>
          <w:p w14:paraId="1EC67AF1">
            <w:pPr>
              <w:jc w:val="center"/>
              <w:rPr>
                <w:rFonts w:cs="宋体"/>
              </w:rPr>
            </w:pPr>
            <w:r>
              <w:rPr>
                <w:rFonts w:hint="eastAsia" w:cs="宋体"/>
              </w:rPr>
              <w:t>或环氧沥青</w:t>
            </w:r>
          </w:p>
        </w:tc>
        <w:tc>
          <w:tcPr>
            <w:tcW w:w="1728" w:type="dxa"/>
          </w:tcPr>
          <w:p w14:paraId="3F674498">
            <w:pPr>
              <w:jc w:val="center"/>
              <w:rPr>
                <w:rFonts w:cs="宋体"/>
              </w:rPr>
            </w:pPr>
            <w:r>
              <w:rPr>
                <w:rFonts w:hint="eastAsia" w:cs="宋体"/>
              </w:rPr>
              <w:t>环氧沥青</w:t>
            </w:r>
          </w:p>
        </w:tc>
        <w:tc>
          <w:tcPr>
            <w:tcW w:w="1692" w:type="dxa"/>
          </w:tcPr>
          <w:p w14:paraId="77BF5B46">
            <w:pPr>
              <w:jc w:val="center"/>
              <w:rPr>
                <w:rFonts w:cs="宋体"/>
              </w:rPr>
            </w:pPr>
            <w:r>
              <w:rPr>
                <w:rFonts w:hint="eastAsia" w:cs="宋体"/>
              </w:rPr>
              <w:t>—</w:t>
            </w:r>
          </w:p>
        </w:tc>
        <w:tc>
          <w:tcPr>
            <w:tcW w:w="3552" w:type="dxa"/>
          </w:tcPr>
          <w:p w14:paraId="031D8764">
            <w:pPr>
              <w:jc w:val="center"/>
              <w:rPr>
                <w:rFonts w:cs="宋体"/>
              </w:rPr>
            </w:pPr>
            <w:r>
              <w:rPr>
                <w:rFonts w:cs="宋体"/>
              </w:rPr>
              <w:t>耐潮、耐海水、耐化学物品性能优良，但耐候性差</w:t>
            </w:r>
          </w:p>
        </w:tc>
      </w:tr>
      <w:tr w14:paraId="6470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vMerge w:val="continue"/>
          </w:tcPr>
          <w:p w14:paraId="087B7D99">
            <w:pPr>
              <w:jc w:val="center"/>
              <w:rPr>
                <w:rFonts w:cs="宋体"/>
              </w:rPr>
            </w:pPr>
          </w:p>
        </w:tc>
        <w:tc>
          <w:tcPr>
            <w:tcW w:w="1749" w:type="dxa"/>
          </w:tcPr>
          <w:p w14:paraId="048E1D78">
            <w:pPr>
              <w:jc w:val="center"/>
              <w:rPr>
                <w:rFonts w:cs="宋体"/>
              </w:rPr>
            </w:pPr>
            <w:r>
              <w:rPr>
                <w:rFonts w:cs="宋体"/>
              </w:rPr>
              <w:t>双组分聚氨酯</w:t>
            </w:r>
            <w:r>
              <w:rPr>
                <w:rFonts w:hint="eastAsia" w:cs="宋体"/>
              </w:rPr>
              <w:t>漆</w:t>
            </w:r>
          </w:p>
        </w:tc>
        <w:tc>
          <w:tcPr>
            <w:tcW w:w="1728" w:type="dxa"/>
          </w:tcPr>
          <w:p w14:paraId="5B0D31A0">
            <w:pPr>
              <w:jc w:val="center"/>
              <w:rPr>
                <w:rFonts w:cs="宋体"/>
              </w:rPr>
            </w:pPr>
            <w:r>
              <w:rPr>
                <w:rFonts w:cs="宋体"/>
              </w:rPr>
              <w:t>聚氨基甲酸脂</w:t>
            </w:r>
          </w:p>
        </w:tc>
        <w:tc>
          <w:tcPr>
            <w:tcW w:w="1692" w:type="dxa"/>
          </w:tcPr>
          <w:p w14:paraId="2435A756">
            <w:pPr>
              <w:jc w:val="center"/>
              <w:rPr>
                <w:rFonts w:cs="宋体"/>
              </w:rPr>
            </w:pPr>
            <w:r>
              <w:rPr>
                <w:rFonts w:hint="eastAsia" w:cs="宋体"/>
              </w:rPr>
              <w:t>—</w:t>
            </w:r>
          </w:p>
        </w:tc>
        <w:tc>
          <w:tcPr>
            <w:tcW w:w="3552" w:type="dxa"/>
          </w:tcPr>
          <w:p w14:paraId="39614A69">
            <w:pPr>
              <w:jc w:val="center"/>
              <w:rPr>
                <w:rFonts w:cs="宋体"/>
              </w:rPr>
            </w:pPr>
            <w:r>
              <w:rPr>
                <w:rFonts w:cs="宋体"/>
              </w:rPr>
              <w:t>综合性能优良，耐潮湿、耐海水、耐化学物品性能好，有些品种具有良好的耐候性，可用于受阳光直射的海港大气区</w:t>
            </w:r>
          </w:p>
        </w:tc>
      </w:tr>
    </w:tbl>
    <w:p w14:paraId="48E5F9A9">
      <w:pPr>
        <w:pStyle w:val="2"/>
      </w:pPr>
      <w:r>
        <w:rPr>
          <w:rFonts w:cs="宋体"/>
        </w:rPr>
        <w:br w:type="page"/>
      </w:r>
      <w:bookmarkStart w:id="66" w:name="_Toc26813"/>
      <w:r>
        <w:t>附录</w:t>
      </w:r>
      <w:r>
        <w:rPr>
          <w:rFonts w:hint="eastAsia"/>
        </w:rPr>
        <w:t>E  金属热喷涂系统的选用</w:t>
      </w:r>
      <w:bookmarkEnd w:id="66"/>
    </w:p>
    <w:p w14:paraId="39A79BB7">
      <w:pPr>
        <w:spacing w:before="117" w:line="219" w:lineRule="auto"/>
        <w:rPr>
          <w:rFonts w:cs="宋体"/>
          <w:szCs w:val="36"/>
        </w:rPr>
      </w:pPr>
      <w:r>
        <w:rPr>
          <w:rFonts w:hint="eastAsia"/>
          <w:b/>
          <w:bCs/>
          <w:spacing w:val="1"/>
          <w:szCs w:val="36"/>
        </w:rPr>
        <w:t>E</w:t>
      </w:r>
      <w:r>
        <w:rPr>
          <w:b/>
          <w:bCs/>
          <w:spacing w:val="1"/>
          <w:szCs w:val="36"/>
        </w:rPr>
        <w:t>.0.1</w:t>
      </w:r>
      <w:r>
        <w:rPr>
          <w:rFonts w:hint="eastAsia"/>
          <w:b/>
          <w:bCs/>
          <w:spacing w:val="1"/>
          <w:szCs w:val="36"/>
        </w:rPr>
        <w:t xml:space="preserve">  </w:t>
      </w:r>
      <w:r>
        <w:rPr>
          <w:rFonts w:cs="宋体"/>
          <w:spacing w:val="1"/>
          <w:szCs w:val="36"/>
        </w:rPr>
        <w:t>大气区金属热喷涂系统可</w:t>
      </w:r>
      <w:r>
        <w:rPr>
          <w:rFonts w:cs="宋体"/>
          <w:szCs w:val="36"/>
        </w:rPr>
        <w:t>按表</w:t>
      </w:r>
      <w:r>
        <w:rPr>
          <w:rFonts w:hint="eastAsia" w:cs="宋体"/>
          <w:szCs w:val="36"/>
        </w:rPr>
        <w:t>E</w:t>
      </w:r>
      <w:r>
        <w:rPr>
          <w:rFonts w:cs="宋体"/>
          <w:szCs w:val="36"/>
        </w:rPr>
        <w:t>.0.1选用。</w:t>
      </w:r>
    </w:p>
    <w:p w14:paraId="6E0D94B8">
      <w:pPr>
        <w:jc w:val="center"/>
      </w:pPr>
      <w:r>
        <w:t>表</w:t>
      </w:r>
      <w:r>
        <w:rPr>
          <w:rFonts w:hint="eastAsia"/>
        </w:rPr>
        <w:t>E</w:t>
      </w:r>
      <w:r>
        <w:t xml:space="preserve">.0.1 </w:t>
      </w:r>
      <w:r>
        <w:rPr>
          <w:rFonts w:hint="eastAsia"/>
        </w:rPr>
        <w:t xml:space="preserve"> </w:t>
      </w:r>
      <w:r>
        <w:t>大气区金属热喷涂系统</w:t>
      </w:r>
    </w:p>
    <w:tbl>
      <w:tblPr>
        <w:tblStyle w:val="17"/>
        <w:tblW w:w="4923"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8"/>
        <w:gridCol w:w="3740"/>
        <w:gridCol w:w="3711"/>
      </w:tblGrid>
      <w:tr w14:paraId="1B454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tcPr>
          <w:p w14:paraId="1A0F3D80">
            <w:pPr>
              <w:pStyle w:val="35"/>
              <w:jc w:val="center"/>
              <w:rPr>
                <w:sz w:val="21"/>
                <w:szCs w:val="21"/>
              </w:rPr>
            </w:pPr>
            <w:r>
              <w:rPr>
                <w:sz w:val="21"/>
                <w:szCs w:val="21"/>
              </w:rPr>
              <w:t>设计使用年限(a)</w:t>
            </w:r>
          </w:p>
        </w:tc>
        <w:tc>
          <w:tcPr>
            <w:tcW w:w="1968" w:type="pct"/>
          </w:tcPr>
          <w:p w14:paraId="55B70548">
            <w:pPr>
              <w:pStyle w:val="35"/>
              <w:jc w:val="center"/>
              <w:rPr>
                <w:sz w:val="21"/>
                <w:szCs w:val="21"/>
              </w:rPr>
            </w:pPr>
            <w:r>
              <w:rPr>
                <w:sz w:val="21"/>
                <w:szCs w:val="21"/>
              </w:rPr>
              <w:t>喷涂系统</w:t>
            </w:r>
          </w:p>
        </w:tc>
        <w:tc>
          <w:tcPr>
            <w:tcW w:w="1953" w:type="pct"/>
          </w:tcPr>
          <w:p w14:paraId="69527452">
            <w:pPr>
              <w:pStyle w:val="35"/>
              <w:jc w:val="center"/>
              <w:rPr>
                <w:sz w:val="21"/>
                <w:szCs w:val="21"/>
              </w:rPr>
            </w:pPr>
            <w:r>
              <w:rPr>
                <w:sz w:val="21"/>
                <w:szCs w:val="21"/>
              </w:rPr>
              <w:t>最小局部厚度(μm)</w:t>
            </w:r>
          </w:p>
        </w:tc>
      </w:tr>
      <w:tr w14:paraId="1CAFE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restart"/>
            <w:tcBorders>
              <w:bottom w:val="nil"/>
            </w:tcBorders>
          </w:tcPr>
          <w:p w14:paraId="4CB9F312">
            <w:pPr>
              <w:pStyle w:val="35"/>
              <w:jc w:val="center"/>
              <w:rPr>
                <w:sz w:val="21"/>
                <w:szCs w:val="21"/>
              </w:rPr>
            </w:pPr>
          </w:p>
          <w:p w14:paraId="14AEEAC2">
            <w:pPr>
              <w:pStyle w:val="35"/>
              <w:jc w:val="center"/>
              <w:rPr>
                <w:sz w:val="21"/>
                <w:szCs w:val="21"/>
              </w:rPr>
            </w:pPr>
            <w:r>
              <w:rPr>
                <w:sz w:val="21"/>
                <w:szCs w:val="21"/>
              </w:rPr>
              <w:t>≥20</w:t>
            </w:r>
          </w:p>
        </w:tc>
        <w:tc>
          <w:tcPr>
            <w:tcW w:w="1968" w:type="pct"/>
          </w:tcPr>
          <w:p w14:paraId="1570D990">
            <w:pPr>
              <w:pStyle w:val="35"/>
              <w:jc w:val="center"/>
              <w:rPr>
                <w:sz w:val="21"/>
                <w:szCs w:val="21"/>
              </w:rPr>
            </w:pPr>
            <w:r>
              <w:rPr>
                <w:sz w:val="21"/>
                <w:szCs w:val="21"/>
              </w:rPr>
              <w:t>喷锌+封闭</w:t>
            </w:r>
          </w:p>
        </w:tc>
        <w:tc>
          <w:tcPr>
            <w:tcW w:w="1953" w:type="pct"/>
          </w:tcPr>
          <w:p w14:paraId="25572EEC">
            <w:pPr>
              <w:pStyle w:val="35"/>
              <w:jc w:val="center"/>
              <w:rPr>
                <w:sz w:val="21"/>
                <w:szCs w:val="21"/>
              </w:rPr>
            </w:pPr>
            <w:r>
              <w:rPr>
                <w:sz w:val="21"/>
                <w:szCs w:val="21"/>
              </w:rPr>
              <w:t>250+60</w:t>
            </w:r>
          </w:p>
        </w:tc>
      </w:tr>
      <w:tr w14:paraId="341D3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22C16305">
            <w:pPr>
              <w:pStyle w:val="35"/>
              <w:jc w:val="center"/>
              <w:rPr>
                <w:sz w:val="21"/>
                <w:szCs w:val="21"/>
              </w:rPr>
            </w:pPr>
          </w:p>
        </w:tc>
        <w:tc>
          <w:tcPr>
            <w:tcW w:w="1968" w:type="pct"/>
          </w:tcPr>
          <w:p w14:paraId="70006C9D">
            <w:pPr>
              <w:pStyle w:val="35"/>
              <w:jc w:val="center"/>
              <w:rPr>
                <w:sz w:val="21"/>
                <w:szCs w:val="21"/>
              </w:rPr>
            </w:pPr>
            <w:r>
              <w:rPr>
                <w:sz w:val="21"/>
                <w:szCs w:val="21"/>
              </w:rPr>
              <w:t>喷铝+封闭</w:t>
            </w:r>
          </w:p>
        </w:tc>
        <w:tc>
          <w:tcPr>
            <w:tcW w:w="1953" w:type="pct"/>
          </w:tcPr>
          <w:p w14:paraId="5B53ACE8">
            <w:pPr>
              <w:pStyle w:val="35"/>
              <w:jc w:val="center"/>
              <w:rPr>
                <w:sz w:val="21"/>
                <w:szCs w:val="21"/>
              </w:rPr>
            </w:pPr>
            <w:r>
              <w:rPr>
                <w:sz w:val="21"/>
                <w:szCs w:val="21"/>
              </w:rPr>
              <w:t>200+60</w:t>
            </w:r>
          </w:p>
        </w:tc>
      </w:tr>
      <w:tr w14:paraId="5D557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5F4B7D38">
            <w:pPr>
              <w:pStyle w:val="35"/>
              <w:jc w:val="center"/>
              <w:rPr>
                <w:sz w:val="21"/>
                <w:szCs w:val="21"/>
              </w:rPr>
            </w:pPr>
          </w:p>
        </w:tc>
        <w:tc>
          <w:tcPr>
            <w:tcW w:w="1968" w:type="pct"/>
          </w:tcPr>
          <w:p w14:paraId="6E0FC141">
            <w:pPr>
              <w:pStyle w:val="35"/>
              <w:jc w:val="center"/>
              <w:rPr>
                <w:sz w:val="21"/>
                <w:szCs w:val="21"/>
              </w:rPr>
            </w:pPr>
            <w:r>
              <w:rPr>
                <w:sz w:val="21"/>
                <w:szCs w:val="21"/>
              </w:rPr>
              <w:t>喷Ac铝+封闭</w:t>
            </w:r>
          </w:p>
        </w:tc>
        <w:tc>
          <w:tcPr>
            <w:tcW w:w="1953" w:type="pct"/>
          </w:tcPr>
          <w:p w14:paraId="6D75DABD">
            <w:pPr>
              <w:pStyle w:val="35"/>
              <w:jc w:val="center"/>
              <w:rPr>
                <w:sz w:val="21"/>
                <w:szCs w:val="21"/>
              </w:rPr>
            </w:pPr>
            <w:r>
              <w:rPr>
                <w:sz w:val="21"/>
                <w:szCs w:val="21"/>
              </w:rPr>
              <w:t>150+60</w:t>
            </w:r>
          </w:p>
        </w:tc>
      </w:tr>
      <w:tr w14:paraId="535EC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3297FDE6">
            <w:pPr>
              <w:pStyle w:val="35"/>
              <w:jc w:val="center"/>
              <w:rPr>
                <w:sz w:val="21"/>
                <w:szCs w:val="21"/>
              </w:rPr>
            </w:pPr>
          </w:p>
        </w:tc>
        <w:tc>
          <w:tcPr>
            <w:tcW w:w="1968" w:type="pct"/>
          </w:tcPr>
          <w:p w14:paraId="0BF42D23">
            <w:pPr>
              <w:pStyle w:val="35"/>
              <w:jc w:val="center"/>
              <w:rPr>
                <w:sz w:val="21"/>
                <w:szCs w:val="21"/>
              </w:rPr>
            </w:pPr>
            <w:r>
              <w:rPr>
                <w:sz w:val="21"/>
                <w:szCs w:val="21"/>
              </w:rPr>
              <w:t>喷锌+封闭+涂装</w:t>
            </w:r>
          </w:p>
        </w:tc>
        <w:tc>
          <w:tcPr>
            <w:tcW w:w="1953" w:type="pct"/>
          </w:tcPr>
          <w:p w14:paraId="31743D41">
            <w:pPr>
              <w:pStyle w:val="35"/>
              <w:jc w:val="center"/>
              <w:rPr>
                <w:sz w:val="21"/>
                <w:szCs w:val="21"/>
              </w:rPr>
            </w:pPr>
            <w:r>
              <w:rPr>
                <w:sz w:val="21"/>
                <w:szCs w:val="21"/>
              </w:rPr>
              <w:t>250+30+100</w:t>
            </w:r>
          </w:p>
        </w:tc>
      </w:tr>
      <w:tr w14:paraId="7F44B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750CD3AE">
            <w:pPr>
              <w:pStyle w:val="35"/>
              <w:jc w:val="center"/>
              <w:rPr>
                <w:sz w:val="21"/>
                <w:szCs w:val="21"/>
              </w:rPr>
            </w:pPr>
          </w:p>
        </w:tc>
        <w:tc>
          <w:tcPr>
            <w:tcW w:w="1968" w:type="pct"/>
          </w:tcPr>
          <w:p w14:paraId="0821B5D9">
            <w:pPr>
              <w:pStyle w:val="35"/>
              <w:jc w:val="center"/>
              <w:rPr>
                <w:sz w:val="21"/>
                <w:szCs w:val="21"/>
              </w:rPr>
            </w:pPr>
            <w:r>
              <w:rPr>
                <w:sz w:val="21"/>
                <w:szCs w:val="21"/>
              </w:rPr>
              <w:t>喷铝+封闭+涂装</w:t>
            </w:r>
          </w:p>
        </w:tc>
        <w:tc>
          <w:tcPr>
            <w:tcW w:w="1953" w:type="pct"/>
          </w:tcPr>
          <w:p w14:paraId="1049EE39">
            <w:pPr>
              <w:pStyle w:val="35"/>
              <w:jc w:val="center"/>
              <w:rPr>
                <w:sz w:val="21"/>
                <w:szCs w:val="21"/>
              </w:rPr>
            </w:pPr>
            <w:r>
              <w:rPr>
                <w:sz w:val="21"/>
                <w:szCs w:val="21"/>
              </w:rPr>
              <w:t>200+30+100</w:t>
            </w:r>
          </w:p>
        </w:tc>
      </w:tr>
      <w:tr w14:paraId="5AC78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tcBorders>
          </w:tcPr>
          <w:p w14:paraId="09346716">
            <w:pPr>
              <w:pStyle w:val="35"/>
              <w:jc w:val="center"/>
              <w:rPr>
                <w:sz w:val="21"/>
                <w:szCs w:val="21"/>
              </w:rPr>
            </w:pPr>
          </w:p>
        </w:tc>
        <w:tc>
          <w:tcPr>
            <w:tcW w:w="1968" w:type="pct"/>
          </w:tcPr>
          <w:p w14:paraId="3A637436">
            <w:pPr>
              <w:pStyle w:val="35"/>
              <w:jc w:val="center"/>
              <w:rPr>
                <w:sz w:val="21"/>
                <w:szCs w:val="21"/>
              </w:rPr>
            </w:pPr>
            <w:r>
              <w:rPr>
                <w:sz w:val="21"/>
                <w:szCs w:val="21"/>
              </w:rPr>
              <w:t>喷Ac铝+封闭+涂装</w:t>
            </w:r>
          </w:p>
        </w:tc>
        <w:tc>
          <w:tcPr>
            <w:tcW w:w="1953" w:type="pct"/>
          </w:tcPr>
          <w:p w14:paraId="146DFE75">
            <w:pPr>
              <w:pStyle w:val="35"/>
              <w:jc w:val="center"/>
              <w:rPr>
                <w:sz w:val="21"/>
                <w:szCs w:val="21"/>
              </w:rPr>
            </w:pPr>
            <w:r>
              <w:rPr>
                <w:sz w:val="21"/>
                <w:szCs w:val="21"/>
              </w:rPr>
              <w:t>150+30+100</w:t>
            </w:r>
          </w:p>
        </w:tc>
      </w:tr>
      <w:tr w14:paraId="734AA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restart"/>
            <w:tcBorders>
              <w:bottom w:val="nil"/>
            </w:tcBorders>
          </w:tcPr>
          <w:p w14:paraId="32F4CA4E">
            <w:pPr>
              <w:pStyle w:val="35"/>
              <w:jc w:val="center"/>
              <w:rPr>
                <w:sz w:val="21"/>
                <w:szCs w:val="21"/>
              </w:rPr>
            </w:pPr>
          </w:p>
          <w:p w14:paraId="7401E0A2">
            <w:pPr>
              <w:spacing w:line="303" w:lineRule="auto"/>
              <w:jc w:val="center"/>
            </w:pPr>
            <w:r>
              <w:t>10~20</w:t>
            </w:r>
          </w:p>
          <w:p w14:paraId="07139FF1">
            <w:pPr>
              <w:pStyle w:val="35"/>
              <w:jc w:val="center"/>
              <w:rPr>
                <w:sz w:val="21"/>
                <w:szCs w:val="21"/>
              </w:rPr>
            </w:pPr>
          </w:p>
        </w:tc>
        <w:tc>
          <w:tcPr>
            <w:tcW w:w="1968" w:type="pct"/>
          </w:tcPr>
          <w:p w14:paraId="16EB820C">
            <w:pPr>
              <w:pStyle w:val="35"/>
              <w:jc w:val="center"/>
              <w:rPr>
                <w:sz w:val="21"/>
                <w:szCs w:val="21"/>
              </w:rPr>
            </w:pPr>
            <w:r>
              <w:rPr>
                <w:sz w:val="21"/>
                <w:szCs w:val="21"/>
              </w:rPr>
              <w:t>喷锌+封闭</w:t>
            </w:r>
          </w:p>
        </w:tc>
        <w:tc>
          <w:tcPr>
            <w:tcW w:w="1953" w:type="pct"/>
          </w:tcPr>
          <w:p w14:paraId="63E8C140">
            <w:pPr>
              <w:pStyle w:val="35"/>
              <w:jc w:val="center"/>
              <w:rPr>
                <w:sz w:val="21"/>
                <w:szCs w:val="21"/>
              </w:rPr>
            </w:pPr>
            <w:r>
              <w:rPr>
                <w:sz w:val="21"/>
                <w:szCs w:val="21"/>
              </w:rPr>
              <w:t>160+60</w:t>
            </w:r>
          </w:p>
        </w:tc>
      </w:tr>
      <w:tr w14:paraId="69490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12A66713">
            <w:pPr>
              <w:pStyle w:val="35"/>
              <w:jc w:val="center"/>
              <w:rPr>
                <w:sz w:val="21"/>
                <w:szCs w:val="21"/>
              </w:rPr>
            </w:pPr>
          </w:p>
        </w:tc>
        <w:tc>
          <w:tcPr>
            <w:tcW w:w="1968" w:type="pct"/>
          </w:tcPr>
          <w:p w14:paraId="14CD10DB">
            <w:pPr>
              <w:pStyle w:val="35"/>
              <w:jc w:val="center"/>
              <w:rPr>
                <w:sz w:val="21"/>
                <w:szCs w:val="21"/>
              </w:rPr>
            </w:pPr>
            <w:r>
              <w:rPr>
                <w:sz w:val="21"/>
                <w:szCs w:val="21"/>
              </w:rPr>
              <w:t>喷铝+封闭</w:t>
            </w:r>
          </w:p>
        </w:tc>
        <w:tc>
          <w:tcPr>
            <w:tcW w:w="1953" w:type="pct"/>
          </w:tcPr>
          <w:p w14:paraId="1A0C69F1">
            <w:pPr>
              <w:pStyle w:val="35"/>
              <w:jc w:val="center"/>
              <w:rPr>
                <w:sz w:val="21"/>
                <w:szCs w:val="21"/>
              </w:rPr>
            </w:pPr>
            <w:r>
              <w:rPr>
                <w:sz w:val="21"/>
                <w:szCs w:val="21"/>
              </w:rPr>
              <w:t>120+60</w:t>
            </w:r>
          </w:p>
        </w:tc>
      </w:tr>
      <w:tr w14:paraId="05CA3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31BF5D70">
            <w:pPr>
              <w:pStyle w:val="35"/>
              <w:jc w:val="center"/>
              <w:rPr>
                <w:sz w:val="21"/>
                <w:szCs w:val="21"/>
              </w:rPr>
            </w:pPr>
          </w:p>
        </w:tc>
        <w:tc>
          <w:tcPr>
            <w:tcW w:w="1968" w:type="pct"/>
          </w:tcPr>
          <w:p w14:paraId="1570555A">
            <w:pPr>
              <w:pStyle w:val="35"/>
              <w:jc w:val="center"/>
              <w:rPr>
                <w:sz w:val="21"/>
                <w:szCs w:val="21"/>
              </w:rPr>
            </w:pPr>
            <w:r>
              <w:rPr>
                <w:sz w:val="21"/>
                <w:szCs w:val="21"/>
              </w:rPr>
              <w:t>喷Ac铝+封闭</w:t>
            </w:r>
          </w:p>
        </w:tc>
        <w:tc>
          <w:tcPr>
            <w:tcW w:w="1953" w:type="pct"/>
          </w:tcPr>
          <w:p w14:paraId="11871200">
            <w:pPr>
              <w:pStyle w:val="35"/>
              <w:jc w:val="center"/>
              <w:rPr>
                <w:sz w:val="21"/>
                <w:szCs w:val="21"/>
              </w:rPr>
            </w:pPr>
            <w:r>
              <w:rPr>
                <w:sz w:val="21"/>
                <w:szCs w:val="21"/>
              </w:rPr>
              <w:t>100+60</w:t>
            </w:r>
          </w:p>
        </w:tc>
      </w:tr>
      <w:tr w14:paraId="3C500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39691138">
            <w:pPr>
              <w:pStyle w:val="35"/>
              <w:jc w:val="center"/>
              <w:rPr>
                <w:sz w:val="21"/>
                <w:szCs w:val="21"/>
              </w:rPr>
            </w:pPr>
          </w:p>
        </w:tc>
        <w:tc>
          <w:tcPr>
            <w:tcW w:w="1968" w:type="pct"/>
          </w:tcPr>
          <w:p w14:paraId="0EC663B1">
            <w:pPr>
              <w:pStyle w:val="35"/>
              <w:jc w:val="center"/>
              <w:rPr>
                <w:sz w:val="21"/>
                <w:szCs w:val="21"/>
              </w:rPr>
            </w:pPr>
            <w:r>
              <w:rPr>
                <w:sz w:val="21"/>
                <w:szCs w:val="21"/>
              </w:rPr>
              <w:t>喷锌+封闭+涂装</w:t>
            </w:r>
          </w:p>
        </w:tc>
        <w:tc>
          <w:tcPr>
            <w:tcW w:w="1953" w:type="pct"/>
          </w:tcPr>
          <w:p w14:paraId="6BEB48AD">
            <w:pPr>
              <w:pStyle w:val="35"/>
              <w:jc w:val="center"/>
              <w:rPr>
                <w:sz w:val="21"/>
                <w:szCs w:val="21"/>
              </w:rPr>
            </w:pPr>
            <w:r>
              <w:rPr>
                <w:sz w:val="21"/>
                <w:szCs w:val="21"/>
              </w:rPr>
              <w:t>160+30+100</w:t>
            </w:r>
          </w:p>
        </w:tc>
      </w:tr>
      <w:tr w14:paraId="66E5F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bottom w:val="nil"/>
            </w:tcBorders>
          </w:tcPr>
          <w:p w14:paraId="65B7B750">
            <w:pPr>
              <w:pStyle w:val="35"/>
              <w:jc w:val="center"/>
              <w:rPr>
                <w:sz w:val="21"/>
                <w:szCs w:val="21"/>
              </w:rPr>
            </w:pPr>
          </w:p>
        </w:tc>
        <w:tc>
          <w:tcPr>
            <w:tcW w:w="1968" w:type="pct"/>
          </w:tcPr>
          <w:p w14:paraId="5400780A">
            <w:pPr>
              <w:pStyle w:val="35"/>
              <w:jc w:val="center"/>
              <w:rPr>
                <w:sz w:val="21"/>
                <w:szCs w:val="21"/>
              </w:rPr>
            </w:pPr>
            <w:r>
              <w:rPr>
                <w:sz w:val="21"/>
                <w:szCs w:val="21"/>
              </w:rPr>
              <w:t>喷铝+封闭+涂装</w:t>
            </w:r>
          </w:p>
        </w:tc>
        <w:tc>
          <w:tcPr>
            <w:tcW w:w="1953" w:type="pct"/>
          </w:tcPr>
          <w:p w14:paraId="3109FAC4">
            <w:pPr>
              <w:pStyle w:val="35"/>
              <w:jc w:val="center"/>
              <w:rPr>
                <w:sz w:val="21"/>
                <w:szCs w:val="21"/>
              </w:rPr>
            </w:pPr>
            <w:r>
              <w:rPr>
                <w:sz w:val="21"/>
                <w:szCs w:val="21"/>
              </w:rPr>
              <w:t>120+30+100</w:t>
            </w:r>
          </w:p>
        </w:tc>
      </w:tr>
      <w:tr w14:paraId="7BABC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8" w:type="pct"/>
            <w:vMerge w:val="continue"/>
            <w:tcBorders>
              <w:top w:val="nil"/>
            </w:tcBorders>
          </w:tcPr>
          <w:p w14:paraId="1E4BC453">
            <w:pPr>
              <w:pStyle w:val="35"/>
              <w:jc w:val="center"/>
              <w:rPr>
                <w:sz w:val="21"/>
                <w:szCs w:val="21"/>
              </w:rPr>
            </w:pPr>
          </w:p>
        </w:tc>
        <w:tc>
          <w:tcPr>
            <w:tcW w:w="1968" w:type="pct"/>
          </w:tcPr>
          <w:p w14:paraId="5BB7541B">
            <w:pPr>
              <w:pStyle w:val="35"/>
              <w:jc w:val="center"/>
              <w:rPr>
                <w:sz w:val="21"/>
                <w:szCs w:val="21"/>
              </w:rPr>
            </w:pPr>
            <w:r>
              <w:rPr>
                <w:sz w:val="21"/>
                <w:szCs w:val="21"/>
              </w:rPr>
              <w:t>喷Ac铝+封闭+涂装</w:t>
            </w:r>
          </w:p>
        </w:tc>
        <w:tc>
          <w:tcPr>
            <w:tcW w:w="1953" w:type="pct"/>
          </w:tcPr>
          <w:p w14:paraId="2322733E">
            <w:pPr>
              <w:pStyle w:val="35"/>
              <w:jc w:val="center"/>
              <w:rPr>
                <w:sz w:val="21"/>
                <w:szCs w:val="21"/>
              </w:rPr>
            </w:pPr>
            <w:r>
              <w:rPr>
                <w:sz w:val="21"/>
                <w:szCs w:val="21"/>
              </w:rPr>
              <w:t>100+30+100</w:t>
            </w:r>
          </w:p>
        </w:tc>
      </w:tr>
    </w:tbl>
    <w:p w14:paraId="07E80038">
      <w:pPr>
        <w:spacing w:before="295" w:line="221" w:lineRule="auto"/>
        <w:ind w:left="249"/>
        <w:rPr>
          <w:rFonts w:cs="宋体"/>
          <w:b/>
          <w:bCs/>
          <w:spacing w:val="22"/>
          <w:szCs w:val="36"/>
        </w:rPr>
      </w:pPr>
    </w:p>
    <w:p w14:paraId="6A5D15DE">
      <w:pPr>
        <w:spacing w:before="295" w:line="221" w:lineRule="auto"/>
        <w:ind w:left="249"/>
        <w:rPr>
          <w:rFonts w:cs="宋体"/>
          <w:b/>
          <w:bCs/>
          <w:spacing w:val="22"/>
          <w:szCs w:val="36"/>
        </w:rPr>
      </w:pPr>
    </w:p>
    <w:p w14:paraId="101CE854">
      <w:pPr>
        <w:spacing w:before="295" w:line="221" w:lineRule="auto"/>
        <w:ind w:left="249"/>
        <w:rPr>
          <w:rFonts w:cs="宋体"/>
          <w:szCs w:val="36"/>
        </w:rPr>
      </w:pPr>
      <w:r>
        <w:rPr>
          <w:rFonts w:cs="宋体"/>
          <w:b/>
          <w:bCs/>
          <w:spacing w:val="22"/>
          <w:szCs w:val="36"/>
        </w:rPr>
        <w:br w:type="page"/>
      </w:r>
      <w:r>
        <w:rPr>
          <w:rFonts w:hint="eastAsia" w:cs="宋体"/>
          <w:b/>
          <w:bCs/>
          <w:spacing w:val="22"/>
          <w:szCs w:val="36"/>
        </w:rPr>
        <w:t xml:space="preserve">E.0.2  </w:t>
      </w:r>
      <w:r>
        <w:rPr>
          <w:rFonts w:hint="eastAsia" w:cs="宋体"/>
          <w:spacing w:val="22"/>
          <w:szCs w:val="36"/>
        </w:rPr>
        <w:t>浪溅区、水位变动区的金属热喷涂系统可按E.0.2选用。</w:t>
      </w:r>
    </w:p>
    <w:p w14:paraId="4009899A">
      <w:pPr>
        <w:jc w:val="center"/>
      </w:pPr>
      <w:r>
        <w:rPr>
          <w:rFonts w:hint="eastAsia"/>
        </w:rPr>
        <w:t>表E.0.2  浪溅区、水位变动区的金属热喷涂系统</w:t>
      </w:r>
    </w:p>
    <w:tbl>
      <w:tblPr>
        <w:tblStyle w:val="17"/>
        <w:tblW w:w="491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22"/>
        <w:gridCol w:w="3795"/>
        <w:gridCol w:w="3757"/>
      </w:tblGrid>
      <w:tr w14:paraId="6A437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tcPr>
          <w:p w14:paraId="48F09D6E">
            <w:pPr>
              <w:pStyle w:val="35"/>
              <w:spacing w:before="248" w:line="219" w:lineRule="auto"/>
              <w:jc w:val="center"/>
              <w:rPr>
                <w:rFonts w:ascii="Times New Roman" w:hAnsi="Times New Roman"/>
                <w:sz w:val="21"/>
              </w:rPr>
            </w:pPr>
            <w:r>
              <w:rPr>
                <w:rFonts w:ascii="Times New Roman" w:hAnsi="Times New Roman"/>
                <w:spacing w:val="7"/>
                <w:sz w:val="21"/>
              </w:rPr>
              <w:t>设计使用年限(a)</w:t>
            </w:r>
          </w:p>
        </w:tc>
        <w:tc>
          <w:tcPr>
            <w:tcW w:w="2002" w:type="pct"/>
          </w:tcPr>
          <w:p w14:paraId="51D45F8C">
            <w:pPr>
              <w:pStyle w:val="35"/>
              <w:spacing w:before="249" w:line="220" w:lineRule="auto"/>
              <w:jc w:val="center"/>
              <w:rPr>
                <w:rFonts w:ascii="Times New Roman" w:hAnsi="Times New Roman"/>
                <w:sz w:val="21"/>
              </w:rPr>
            </w:pPr>
            <w:r>
              <w:rPr>
                <w:rFonts w:ascii="Times New Roman" w:hAnsi="Times New Roman"/>
                <w:spacing w:val="3"/>
                <w:sz w:val="21"/>
              </w:rPr>
              <w:t>喷涂系统</w:t>
            </w:r>
          </w:p>
        </w:tc>
        <w:tc>
          <w:tcPr>
            <w:tcW w:w="1982" w:type="pct"/>
          </w:tcPr>
          <w:p w14:paraId="5B626EDA">
            <w:pPr>
              <w:pStyle w:val="35"/>
              <w:spacing w:before="77" w:line="211" w:lineRule="auto"/>
              <w:jc w:val="center"/>
              <w:rPr>
                <w:rFonts w:ascii="Times New Roman" w:hAnsi="Times New Roman"/>
                <w:sz w:val="21"/>
              </w:rPr>
            </w:pPr>
            <w:r>
              <w:rPr>
                <w:rFonts w:ascii="Times New Roman" w:hAnsi="Times New Roman"/>
                <w:spacing w:val="3"/>
                <w:sz w:val="21"/>
              </w:rPr>
              <w:t>最小局部厚度</w:t>
            </w:r>
            <w:r>
              <w:rPr>
                <w:rFonts w:ascii="Times New Roman" w:hAnsi="Times New Roman"/>
                <w:spacing w:val="-13"/>
                <w:sz w:val="21"/>
              </w:rPr>
              <w:t>(um)</w:t>
            </w:r>
          </w:p>
        </w:tc>
      </w:tr>
      <w:tr w14:paraId="733F5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restart"/>
            <w:tcBorders>
              <w:bottom w:val="nil"/>
            </w:tcBorders>
          </w:tcPr>
          <w:p w14:paraId="39555FA2">
            <w:pPr>
              <w:spacing w:line="318" w:lineRule="auto"/>
              <w:jc w:val="center"/>
            </w:pPr>
          </w:p>
          <w:p w14:paraId="1B4298C1">
            <w:pPr>
              <w:spacing w:line="318" w:lineRule="auto"/>
              <w:jc w:val="center"/>
            </w:pPr>
          </w:p>
          <w:p w14:paraId="64EAE1DA">
            <w:pPr>
              <w:spacing w:line="319" w:lineRule="auto"/>
              <w:jc w:val="center"/>
            </w:pPr>
            <w:r>
              <w:t>≥20</w:t>
            </w:r>
          </w:p>
          <w:p w14:paraId="21E75BD0">
            <w:pPr>
              <w:pStyle w:val="35"/>
              <w:spacing w:before="104" w:line="237" w:lineRule="auto"/>
              <w:ind w:left="1734"/>
              <w:jc w:val="center"/>
              <w:rPr>
                <w:rFonts w:ascii="Times New Roman" w:hAnsi="Times New Roman"/>
                <w:sz w:val="21"/>
              </w:rPr>
            </w:pPr>
          </w:p>
        </w:tc>
        <w:tc>
          <w:tcPr>
            <w:tcW w:w="2002" w:type="pct"/>
          </w:tcPr>
          <w:p w14:paraId="43B9F874">
            <w:pPr>
              <w:pStyle w:val="35"/>
              <w:spacing w:before="145" w:line="220" w:lineRule="auto"/>
              <w:jc w:val="center"/>
              <w:rPr>
                <w:rFonts w:ascii="Times New Roman" w:hAnsi="Times New Roman"/>
                <w:sz w:val="21"/>
              </w:rPr>
            </w:pPr>
            <w:r>
              <w:rPr>
                <w:rFonts w:ascii="Times New Roman" w:hAnsi="Times New Roman"/>
                <w:spacing w:val="5"/>
                <w:sz w:val="21"/>
              </w:rPr>
              <w:t>喷铝+封闭</w:t>
            </w:r>
          </w:p>
        </w:tc>
        <w:tc>
          <w:tcPr>
            <w:tcW w:w="1982" w:type="pct"/>
          </w:tcPr>
          <w:p w14:paraId="507D5554">
            <w:pPr>
              <w:pStyle w:val="35"/>
              <w:spacing w:before="176" w:line="232" w:lineRule="auto"/>
              <w:jc w:val="center"/>
              <w:rPr>
                <w:rFonts w:ascii="Times New Roman" w:hAnsi="Times New Roman"/>
                <w:sz w:val="21"/>
              </w:rPr>
            </w:pPr>
            <w:r>
              <w:rPr>
                <w:rFonts w:ascii="Times New Roman" w:hAnsi="Times New Roman"/>
                <w:spacing w:val="-3"/>
                <w:sz w:val="21"/>
              </w:rPr>
              <w:t>250+60</w:t>
            </w:r>
          </w:p>
        </w:tc>
      </w:tr>
      <w:tr w14:paraId="40202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bottom w:val="nil"/>
            </w:tcBorders>
          </w:tcPr>
          <w:p w14:paraId="5F743DFA">
            <w:pPr>
              <w:jc w:val="center"/>
            </w:pPr>
          </w:p>
        </w:tc>
        <w:tc>
          <w:tcPr>
            <w:tcW w:w="2002" w:type="pct"/>
          </w:tcPr>
          <w:p w14:paraId="097A9B3B">
            <w:pPr>
              <w:pStyle w:val="35"/>
              <w:spacing w:before="146" w:line="220" w:lineRule="auto"/>
              <w:jc w:val="center"/>
              <w:rPr>
                <w:rFonts w:ascii="Times New Roman" w:hAnsi="Times New Roman"/>
                <w:sz w:val="21"/>
              </w:rPr>
            </w:pPr>
            <w:r>
              <w:rPr>
                <w:rFonts w:ascii="Times New Roman" w:hAnsi="Times New Roman"/>
                <w:spacing w:val="5"/>
                <w:sz w:val="21"/>
              </w:rPr>
              <w:t>喷</w:t>
            </w:r>
            <w:r>
              <w:rPr>
                <w:rFonts w:ascii="Times New Roman" w:hAnsi="Times New Roman"/>
                <w:sz w:val="21"/>
              </w:rPr>
              <w:t>Ac</w:t>
            </w:r>
            <w:r>
              <w:rPr>
                <w:rFonts w:ascii="Times New Roman" w:hAnsi="Times New Roman"/>
                <w:spacing w:val="5"/>
                <w:sz w:val="21"/>
              </w:rPr>
              <w:t>铝+封闭</w:t>
            </w:r>
          </w:p>
        </w:tc>
        <w:tc>
          <w:tcPr>
            <w:tcW w:w="1982" w:type="pct"/>
          </w:tcPr>
          <w:p w14:paraId="3FA1E021">
            <w:pPr>
              <w:pStyle w:val="35"/>
              <w:spacing w:before="176" w:line="238" w:lineRule="auto"/>
              <w:jc w:val="center"/>
              <w:rPr>
                <w:rFonts w:ascii="Times New Roman" w:hAnsi="Times New Roman"/>
                <w:sz w:val="21"/>
              </w:rPr>
            </w:pPr>
            <w:r>
              <w:rPr>
                <w:rFonts w:ascii="Times New Roman" w:hAnsi="Times New Roman"/>
                <w:spacing w:val="-3"/>
                <w:sz w:val="21"/>
              </w:rPr>
              <w:t>200+60</w:t>
            </w:r>
          </w:p>
        </w:tc>
      </w:tr>
      <w:tr w14:paraId="60BF7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bottom w:val="nil"/>
            </w:tcBorders>
          </w:tcPr>
          <w:p w14:paraId="2C74FEBE">
            <w:pPr>
              <w:jc w:val="center"/>
            </w:pPr>
          </w:p>
        </w:tc>
        <w:tc>
          <w:tcPr>
            <w:tcW w:w="2002" w:type="pct"/>
          </w:tcPr>
          <w:p w14:paraId="1F5D85FC">
            <w:pPr>
              <w:pStyle w:val="35"/>
              <w:spacing w:before="137" w:line="220" w:lineRule="auto"/>
              <w:jc w:val="center"/>
              <w:rPr>
                <w:rFonts w:ascii="Times New Roman" w:hAnsi="Times New Roman"/>
                <w:sz w:val="21"/>
              </w:rPr>
            </w:pPr>
            <w:r>
              <w:rPr>
                <w:rFonts w:ascii="Times New Roman" w:hAnsi="Times New Roman"/>
                <w:spacing w:val="1"/>
                <w:sz w:val="21"/>
              </w:rPr>
              <w:t>喷铝+封闭+涂装</w:t>
            </w:r>
          </w:p>
        </w:tc>
        <w:tc>
          <w:tcPr>
            <w:tcW w:w="1982" w:type="pct"/>
          </w:tcPr>
          <w:p w14:paraId="61E9C88C">
            <w:pPr>
              <w:pStyle w:val="35"/>
              <w:spacing w:before="169" w:line="225" w:lineRule="auto"/>
              <w:jc w:val="center"/>
              <w:rPr>
                <w:rFonts w:ascii="Times New Roman" w:hAnsi="Times New Roman"/>
                <w:sz w:val="21"/>
              </w:rPr>
            </w:pPr>
            <w:r>
              <w:rPr>
                <w:rFonts w:ascii="Times New Roman" w:hAnsi="Times New Roman"/>
                <w:spacing w:val="-2"/>
                <w:sz w:val="21"/>
              </w:rPr>
              <w:t>250+30+100</w:t>
            </w:r>
          </w:p>
        </w:tc>
      </w:tr>
      <w:tr w14:paraId="268E5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tcBorders>
          </w:tcPr>
          <w:p w14:paraId="2D75ECD2">
            <w:pPr>
              <w:jc w:val="center"/>
            </w:pPr>
          </w:p>
        </w:tc>
        <w:tc>
          <w:tcPr>
            <w:tcW w:w="2002" w:type="pct"/>
          </w:tcPr>
          <w:p w14:paraId="200B0524">
            <w:pPr>
              <w:pStyle w:val="35"/>
              <w:spacing w:before="138" w:line="220" w:lineRule="auto"/>
              <w:jc w:val="center"/>
              <w:rPr>
                <w:rFonts w:ascii="Times New Roman" w:hAnsi="Times New Roman"/>
                <w:sz w:val="21"/>
              </w:rPr>
            </w:pPr>
            <w:r>
              <w:rPr>
                <w:rFonts w:ascii="Times New Roman" w:hAnsi="Times New Roman"/>
                <w:spacing w:val="5"/>
                <w:sz w:val="21"/>
              </w:rPr>
              <w:t>喷</w:t>
            </w:r>
            <w:r>
              <w:rPr>
                <w:rFonts w:ascii="Times New Roman" w:hAnsi="Times New Roman"/>
                <w:sz w:val="21"/>
              </w:rPr>
              <w:t>Ac</w:t>
            </w:r>
            <w:r>
              <w:rPr>
                <w:rFonts w:ascii="Times New Roman" w:hAnsi="Times New Roman"/>
                <w:spacing w:val="5"/>
                <w:sz w:val="21"/>
              </w:rPr>
              <w:t>铝+封闭</w:t>
            </w:r>
          </w:p>
        </w:tc>
        <w:tc>
          <w:tcPr>
            <w:tcW w:w="1982" w:type="pct"/>
          </w:tcPr>
          <w:p w14:paraId="61D0E92D">
            <w:pPr>
              <w:pStyle w:val="35"/>
              <w:spacing w:before="168" w:line="231" w:lineRule="auto"/>
              <w:jc w:val="center"/>
              <w:rPr>
                <w:rFonts w:ascii="Times New Roman" w:hAnsi="Times New Roman"/>
                <w:sz w:val="21"/>
              </w:rPr>
            </w:pPr>
            <w:r>
              <w:rPr>
                <w:rFonts w:ascii="Times New Roman" w:hAnsi="Times New Roman"/>
                <w:spacing w:val="-2"/>
                <w:sz w:val="21"/>
              </w:rPr>
              <w:t>200+30+100</w:t>
            </w:r>
          </w:p>
        </w:tc>
      </w:tr>
      <w:tr w14:paraId="220A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restart"/>
            <w:tcBorders>
              <w:bottom w:val="nil"/>
            </w:tcBorders>
          </w:tcPr>
          <w:p w14:paraId="3EDBB1EA">
            <w:pPr>
              <w:spacing w:line="303" w:lineRule="auto"/>
              <w:jc w:val="center"/>
            </w:pPr>
          </w:p>
          <w:p w14:paraId="0D452A5D">
            <w:pPr>
              <w:spacing w:line="303" w:lineRule="auto"/>
              <w:jc w:val="center"/>
            </w:pPr>
            <w:r>
              <w:t>10~20</w:t>
            </w:r>
          </w:p>
          <w:p w14:paraId="3176E8C9">
            <w:pPr>
              <w:spacing w:line="303" w:lineRule="auto"/>
              <w:jc w:val="center"/>
            </w:pPr>
          </w:p>
          <w:p w14:paraId="39CD26EF">
            <w:pPr>
              <w:pStyle w:val="35"/>
              <w:spacing w:before="104"/>
              <w:ind w:left="1654"/>
              <w:jc w:val="center"/>
              <w:rPr>
                <w:rFonts w:ascii="Times New Roman" w:hAnsi="Times New Roman"/>
                <w:sz w:val="21"/>
              </w:rPr>
            </w:pPr>
          </w:p>
        </w:tc>
        <w:tc>
          <w:tcPr>
            <w:tcW w:w="2002" w:type="pct"/>
          </w:tcPr>
          <w:p w14:paraId="0E5B7658">
            <w:pPr>
              <w:pStyle w:val="35"/>
              <w:spacing w:before="139" w:line="220" w:lineRule="auto"/>
              <w:jc w:val="center"/>
              <w:rPr>
                <w:rFonts w:ascii="Times New Roman" w:hAnsi="Times New Roman"/>
                <w:sz w:val="21"/>
              </w:rPr>
            </w:pPr>
            <w:r>
              <w:rPr>
                <w:rFonts w:ascii="Times New Roman" w:hAnsi="Times New Roman"/>
                <w:spacing w:val="5"/>
                <w:sz w:val="21"/>
              </w:rPr>
              <w:t>喷铝+封闭</w:t>
            </w:r>
          </w:p>
        </w:tc>
        <w:tc>
          <w:tcPr>
            <w:tcW w:w="1982" w:type="pct"/>
          </w:tcPr>
          <w:p w14:paraId="65D7C770">
            <w:pPr>
              <w:pStyle w:val="35"/>
              <w:spacing w:before="170" w:line="230" w:lineRule="auto"/>
              <w:jc w:val="center"/>
              <w:rPr>
                <w:rFonts w:ascii="Times New Roman" w:hAnsi="Times New Roman"/>
                <w:sz w:val="21"/>
              </w:rPr>
            </w:pPr>
            <w:r>
              <w:rPr>
                <w:rFonts w:ascii="Times New Roman" w:hAnsi="Times New Roman"/>
                <w:spacing w:val="-6"/>
                <w:sz w:val="21"/>
              </w:rPr>
              <w:t>150+60</w:t>
            </w:r>
          </w:p>
        </w:tc>
      </w:tr>
      <w:tr w14:paraId="259AA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bottom w:val="nil"/>
            </w:tcBorders>
          </w:tcPr>
          <w:p w14:paraId="1A1BB0A3">
            <w:pPr>
              <w:jc w:val="center"/>
            </w:pPr>
          </w:p>
        </w:tc>
        <w:tc>
          <w:tcPr>
            <w:tcW w:w="2002" w:type="pct"/>
          </w:tcPr>
          <w:p w14:paraId="3354230D">
            <w:pPr>
              <w:pStyle w:val="35"/>
              <w:spacing w:before="130" w:line="220" w:lineRule="auto"/>
              <w:jc w:val="center"/>
              <w:rPr>
                <w:rFonts w:ascii="Times New Roman" w:hAnsi="Times New Roman"/>
                <w:sz w:val="21"/>
              </w:rPr>
            </w:pPr>
            <w:r>
              <w:rPr>
                <w:rFonts w:ascii="Times New Roman" w:hAnsi="Times New Roman"/>
                <w:spacing w:val="5"/>
                <w:sz w:val="21"/>
              </w:rPr>
              <w:t>喷</w:t>
            </w:r>
            <w:r>
              <w:rPr>
                <w:rFonts w:ascii="Times New Roman" w:hAnsi="Times New Roman"/>
                <w:sz w:val="21"/>
              </w:rPr>
              <w:t>Ac</w:t>
            </w:r>
            <w:r>
              <w:rPr>
                <w:rFonts w:ascii="Times New Roman" w:hAnsi="Times New Roman"/>
                <w:spacing w:val="5"/>
                <w:sz w:val="21"/>
              </w:rPr>
              <w:t>铝+封闭</w:t>
            </w:r>
          </w:p>
        </w:tc>
        <w:tc>
          <w:tcPr>
            <w:tcW w:w="1982" w:type="pct"/>
          </w:tcPr>
          <w:p w14:paraId="3DD1684A">
            <w:pPr>
              <w:pStyle w:val="35"/>
              <w:spacing w:before="160" w:line="219" w:lineRule="auto"/>
              <w:jc w:val="center"/>
              <w:rPr>
                <w:rFonts w:ascii="Times New Roman" w:hAnsi="Times New Roman"/>
                <w:sz w:val="21"/>
              </w:rPr>
            </w:pPr>
            <w:r>
              <w:rPr>
                <w:rFonts w:ascii="Times New Roman" w:hAnsi="Times New Roman"/>
                <w:spacing w:val="-6"/>
                <w:sz w:val="21"/>
              </w:rPr>
              <w:t>150+60</w:t>
            </w:r>
          </w:p>
        </w:tc>
      </w:tr>
      <w:tr w14:paraId="7F695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bottom w:val="nil"/>
            </w:tcBorders>
          </w:tcPr>
          <w:p w14:paraId="39C798BC">
            <w:pPr>
              <w:jc w:val="center"/>
            </w:pPr>
          </w:p>
        </w:tc>
        <w:tc>
          <w:tcPr>
            <w:tcW w:w="2002" w:type="pct"/>
          </w:tcPr>
          <w:p w14:paraId="393B439B">
            <w:pPr>
              <w:pStyle w:val="35"/>
              <w:spacing w:before="140" w:line="220" w:lineRule="auto"/>
              <w:jc w:val="center"/>
              <w:rPr>
                <w:rFonts w:ascii="Times New Roman" w:hAnsi="Times New Roman"/>
                <w:sz w:val="21"/>
              </w:rPr>
            </w:pPr>
            <w:r>
              <w:rPr>
                <w:rFonts w:ascii="Times New Roman" w:hAnsi="Times New Roman"/>
                <w:spacing w:val="1"/>
                <w:sz w:val="21"/>
              </w:rPr>
              <w:t>喷</w:t>
            </w:r>
            <w:r>
              <w:rPr>
                <w:rFonts w:ascii="Times New Roman" w:hAnsi="Times New Roman"/>
                <w:sz w:val="21"/>
              </w:rPr>
              <w:t>Ac</w:t>
            </w:r>
            <w:r>
              <w:rPr>
                <w:rFonts w:ascii="Times New Roman" w:hAnsi="Times New Roman"/>
                <w:spacing w:val="1"/>
                <w:sz w:val="21"/>
              </w:rPr>
              <w:t>铝+封闭+涂装</w:t>
            </w:r>
          </w:p>
        </w:tc>
        <w:tc>
          <w:tcPr>
            <w:tcW w:w="1982" w:type="pct"/>
          </w:tcPr>
          <w:p w14:paraId="319D6CF2">
            <w:pPr>
              <w:pStyle w:val="35"/>
              <w:spacing w:before="170" w:line="224" w:lineRule="auto"/>
              <w:jc w:val="center"/>
              <w:rPr>
                <w:rFonts w:ascii="Times New Roman" w:hAnsi="Times New Roman"/>
                <w:sz w:val="21"/>
              </w:rPr>
            </w:pPr>
            <w:r>
              <w:rPr>
                <w:rFonts w:ascii="Times New Roman" w:hAnsi="Times New Roman"/>
                <w:spacing w:val="-4"/>
                <w:sz w:val="21"/>
              </w:rPr>
              <w:t>150+60+100</w:t>
            </w:r>
          </w:p>
        </w:tc>
      </w:tr>
      <w:tr w14:paraId="1878B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tcBorders>
          </w:tcPr>
          <w:p w14:paraId="087CA917">
            <w:pPr>
              <w:jc w:val="center"/>
            </w:pPr>
          </w:p>
        </w:tc>
        <w:tc>
          <w:tcPr>
            <w:tcW w:w="2002" w:type="pct"/>
          </w:tcPr>
          <w:p w14:paraId="316F8849">
            <w:pPr>
              <w:pStyle w:val="35"/>
              <w:spacing w:before="131" w:line="220" w:lineRule="auto"/>
              <w:jc w:val="center"/>
              <w:rPr>
                <w:rFonts w:ascii="Times New Roman" w:hAnsi="Times New Roman"/>
                <w:sz w:val="21"/>
              </w:rPr>
            </w:pPr>
            <w:r>
              <w:rPr>
                <w:rFonts w:ascii="Times New Roman" w:hAnsi="Times New Roman"/>
                <w:spacing w:val="1"/>
                <w:sz w:val="21"/>
              </w:rPr>
              <w:t>喷铝+封闭+涂装</w:t>
            </w:r>
          </w:p>
        </w:tc>
        <w:tc>
          <w:tcPr>
            <w:tcW w:w="1982" w:type="pct"/>
          </w:tcPr>
          <w:p w14:paraId="1ECC2373">
            <w:pPr>
              <w:pStyle w:val="35"/>
              <w:spacing w:before="162" w:line="217" w:lineRule="auto"/>
              <w:jc w:val="center"/>
              <w:rPr>
                <w:rFonts w:ascii="Times New Roman" w:hAnsi="Times New Roman"/>
                <w:sz w:val="21"/>
              </w:rPr>
            </w:pPr>
            <w:r>
              <w:rPr>
                <w:rFonts w:ascii="Times New Roman" w:hAnsi="Times New Roman"/>
                <w:spacing w:val="-4"/>
                <w:sz w:val="21"/>
              </w:rPr>
              <w:t>150+30+100</w:t>
            </w:r>
          </w:p>
        </w:tc>
      </w:tr>
      <w:tr w14:paraId="535A4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restart"/>
            <w:tcBorders>
              <w:bottom w:val="nil"/>
            </w:tcBorders>
          </w:tcPr>
          <w:p w14:paraId="6B3DB2DD">
            <w:pPr>
              <w:spacing w:line="294" w:lineRule="auto"/>
              <w:jc w:val="center"/>
            </w:pPr>
          </w:p>
          <w:p w14:paraId="3903BF0C">
            <w:pPr>
              <w:spacing w:line="294" w:lineRule="auto"/>
              <w:jc w:val="center"/>
            </w:pPr>
          </w:p>
          <w:p w14:paraId="5FC50573">
            <w:pPr>
              <w:spacing w:line="294" w:lineRule="auto"/>
              <w:jc w:val="center"/>
            </w:pPr>
            <w:r>
              <w:rPr>
                <w:rFonts w:hint="eastAsia"/>
              </w:rPr>
              <w:t>5</w:t>
            </w:r>
            <w:r>
              <w:t>~</w:t>
            </w:r>
            <w:r>
              <w:rPr>
                <w:rFonts w:hint="eastAsia"/>
              </w:rPr>
              <w:t>10</w:t>
            </w:r>
          </w:p>
          <w:p w14:paraId="246F01AB">
            <w:pPr>
              <w:pStyle w:val="35"/>
              <w:spacing w:before="104"/>
              <w:ind w:left="1734"/>
              <w:jc w:val="center"/>
              <w:rPr>
                <w:rFonts w:ascii="Times New Roman" w:hAnsi="Times New Roman"/>
                <w:sz w:val="21"/>
              </w:rPr>
            </w:pPr>
          </w:p>
        </w:tc>
        <w:tc>
          <w:tcPr>
            <w:tcW w:w="2002" w:type="pct"/>
          </w:tcPr>
          <w:p w14:paraId="519FBE62">
            <w:pPr>
              <w:pStyle w:val="35"/>
              <w:spacing w:before="122" w:line="220" w:lineRule="auto"/>
              <w:jc w:val="center"/>
              <w:rPr>
                <w:rFonts w:ascii="Times New Roman" w:hAnsi="Times New Roman"/>
                <w:sz w:val="21"/>
              </w:rPr>
            </w:pPr>
            <w:r>
              <w:rPr>
                <w:rFonts w:ascii="Times New Roman" w:hAnsi="Times New Roman"/>
                <w:spacing w:val="5"/>
                <w:sz w:val="21"/>
              </w:rPr>
              <w:t>喷铝+封闭</w:t>
            </w:r>
          </w:p>
        </w:tc>
        <w:tc>
          <w:tcPr>
            <w:tcW w:w="1982" w:type="pct"/>
          </w:tcPr>
          <w:p w14:paraId="78579774">
            <w:pPr>
              <w:pStyle w:val="35"/>
              <w:spacing w:before="152" w:line="217" w:lineRule="auto"/>
              <w:jc w:val="center"/>
              <w:rPr>
                <w:rFonts w:ascii="Times New Roman" w:hAnsi="Times New Roman"/>
                <w:sz w:val="21"/>
              </w:rPr>
            </w:pPr>
            <w:r>
              <w:rPr>
                <w:rFonts w:ascii="Times New Roman" w:hAnsi="Times New Roman"/>
                <w:spacing w:val="-6"/>
                <w:sz w:val="21"/>
              </w:rPr>
              <w:t>100+30</w:t>
            </w:r>
          </w:p>
        </w:tc>
      </w:tr>
      <w:tr w14:paraId="099B0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bottom w:val="nil"/>
            </w:tcBorders>
          </w:tcPr>
          <w:p w14:paraId="4937DBF9">
            <w:pPr>
              <w:jc w:val="center"/>
            </w:pPr>
          </w:p>
        </w:tc>
        <w:tc>
          <w:tcPr>
            <w:tcW w:w="2002" w:type="pct"/>
          </w:tcPr>
          <w:p w14:paraId="7EFEB65F">
            <w:pPr>
              <w:pStyle w:val="35"/>
              <w:spacing w:before="133" w:line="220" w:lineRule="auto"/>
              <w:jc w:val="center"/>
              <w:rPr>
                <w:rFonts w:ascii="Times New Roman" w:hAnsi="Times New Roman"/>
                <w:sz w:val="21"/>
              </w:rPr>
            </w:pPr>
            <w:r>
              <w:rPr>
                <w:rFonts w:ascii="Times New Roman" w:hAnsi="Times New Roman"/>
                <w:spacing w:val="5"/>
                <w:sz w:val="21"/>
              </w:rPr>
              <w:t>喷</w:t>
            </w:r>
            <w:r>
              <w:rPr>
                <w:rFonts w:ascii="Times New Roman" w:hAnsi="Times New Roman"/>
                <w:sz w:val="21"/>
              </w:rPr>
              <w:t>Ac</w:t>
            </w:r>
            <w:r>
              <w:rPr>
                <w:rFonts w:ascii="Times New Roman" w:hAnsi="Times New Roman"/>
                <w:spacing w:val="5"/>
                <w:sz w:val="21"/>
              </w:rPr>
              <w:t>铝+封闭</w:t>
            </w:r>
          </w:p>
        </w:tc>
        <w:tc>
          <w:tcPr>
            <w:tcW w:w="1982" w:type="pct"/>
          </w:tcPr>
          <w:p w14:paraId="0CA74F54">
            <w:pPr>
              <w:pStyle w:val="35"/>
              <w:spacing w:before="163" w:line="223" w:lineRule="auto"/>
              <w:jc w:val="center"/>
              <w:rPr>
                <w:rFonts w:ascii="Times New Roman" w:hAnsi="Times New Roman"/>
                <w:sz w:val="21"/>
              </w:rPr>
            </w:pPr>
            <w:r>
              <w:rPr>
                <w:rFonts w:ascii="Times New Roman" w:hAnsi="Times New Roman"/>
                <w:spacing w:val="-6"/>
                <w:sz w:val="21"/>
              </w:rPr>
              <w:t>100+30</w:t>
            </w:r>
          </w:p>
        </w:tc>
      </w:tr>
      <w:tr w14:paraId="24347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bottom w:val="nil"/>
            </w:tcBorders>
          </w:tcPr>
          <w:p w14:paraId="1AF0E20D">
            <w:pPr>
              <w:jc w:val="center"/>
            </w:pPr>
          </w:p>
        </w:tc>
        <w:tc>
          <w:tcPr>
            <w:tcW w:w="2002" w:type="pct"/>
          </w:tcPr>
          <w:p w14:paraId="261CC43F">
            <w:pPr>
              <w:pStyle w:val="35"/>
              <w:spacing w:before="123" w:line="220" w:lineRule="auto"/>
              <w:jc w:val="center"/>
              <w:rPr>
                <w:rFonts w:ascii="Times New Roman" w:hAnsi="Times New Roman"/>
                <w:sz w:val="21"/>
              </w:rPr>
            </w:pPr>
            <w:r>
              <w:rPr>
                <w:rFonts w:ascii="Times New Roman" w:hAnsi="Times New Roman"/>
                <w:spacing w:val="1"/>
                <w:sz w:val="21"/>
              </w:rPr>
              <w:t>喷铝+封闭+涂装</w:t>
            </w:r>
          </w:p>
        </w:tc>
        <w:tc>
          <w:tcPr>
            <w:tcW w:w="1982" w:type="pct"/>
          </w:tcPr>
          <w:p w14:paraId="38A16F37">
            <w:pPr>
              <w:pStyle w:val="35"/>
              <w:spacing w:before="154" w:line="210" w:lineRule="auto"/>
              <w:jc w:val="center"/>
              <w:rPr>
                <w:rFonts w:ascii="Times New Roman" w:hAnsi="Times New Roman"/>
                <w:sz w:val="21"/>
              </w:rPr>
            </w:pPr>
            <w:r>
              <w:rPr>
                <w:rFonts w:ascii="Times New Roman" w:hAnsi="Times New Roman"/>
                <w:spacing w:val="-4"/>
                <w:sz w:val="21"/>
              </w:rPr>
              <w:t>100+30+60</w:t>
            </w:r>
          </w:p>
        </w:tc>
      </w:tr>
      <w:tr w14:paraId="35AAC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4" w:type="pct"/>
            <w:vMerge w:val="continue"/>
            <w:tcBorders>
              <w:top w:val="nil"/>
            </w:tcBorders>
          </w:tcPr>
          <w:p w14:paraId="0B06BF8D">
            <w:pPr>
              <w:jc w:val="center"/>
            </w:pPr>
          </w:p>
        </w:tc>
        <w:tc>
          <w:tcPr>
            <w:tcW w:w="2002" w:type="pct"/>
          </w:tcPr>
          <w:p w14:paraId="1CEF2B43">
            <w:pPr>
              <w:pStyle w:val="35"/>
              <w:spacing w:before="134" w:line="220" w:lineRule="auto"/>
              <w:jc w:val="center"/>
              <w:rPr>
                <w:rFonts w:ascii="Times New Roman" w:hAnsi="Times New Roman"/>
                <w:sz w:val="21"/>
              </w:rPr>
            </w:pPr>
            <w:r>
              <w:rPr>
                <w:rFonts w:ascii="Times New Roman" w:hAnsi="Times New Roman"/>
                <w:spacing w:val="1"/>
                <w:sz w:val="21"/>
              </w:rPr>
              <w:t>喷</w:t>
            </w:r>
            <w:r>
              <w:rPr>
                <w:rFonts w:ascii="Times New Roman" w:hAnsi="Times New Roman"/>
                <w:sz w:val="21"/>
              </w:rPr>
              <w:t>Ac</w:t>
            </w:r>
            <w:r>
              <w:rPr>
                <w:rFonts w:ascii="Times New Roman" w:hAnsi="Times New Roman"/>
                <w:spacing w:val="1"/>
                <w:sz w:val="21"/>
              </w:rPr>
              <w:t>铝+封闭+涂装</w:t>
            </w:r>
          </w:p>
        </w:tc>
        <w:tc>
          <w:tcPr>
            <w:tcW w:w="1982" w:type="pct"/>
          </w:tcPr>
          <w:p w14:paraId="1E5B752B">
            <w:pPr>
              <w:pStyle w:val="35"/>
              <w:spacing w:before="164" w:line="219" w:lineRule="auto"/>
              <w:jc w:val="center"/>
              <w:rPr>
                <w:rFonts w:ascii="Times New Roman" w:hAnsi="Times New Roman"/>
                <w:sz w:val="21"/>
              </w:rPr>
            </w:pPr>
            <w:r>
              <w:rPr>
                <w:rFonts w:ascii="Times New Roman" w:hAnsi="Times New Roman"/>
                <w:spacing w:val="-4"/>
                <w:sz w:val="21"/>
              </w:rPr>
              <w:t>100+30+60</w:t>
            </w:r>
          </w:p>
        </w:tc>
      </w:tr>
    </w:tbl>
    <w:p w14:paraId="736A286F">
      <w:pPr>
        <w:spacing w:line="240" w:lineRule="auto"/>
        <w:jc w:val="center"/>
      </w:pPr>
    </w:p>
    <w:p w14:paraId="4A9E2595">
      <w:pPr>
        <w:pStyle w:val="2"/>
      </w:pPr>
      <w:r>
        <w:rPr>
          <w:rFonts w:hint="eastAsia"/>
        </w:rPr>
        <w:br w:type="page"/>
      </w:r>
      <w:bookmarkStart w:id="67" w:name="_Toc11279"/>
      <w:r>
        <w:t>附录</w:t>
      </w:r>
      <w:r>
        <w:rPr>
          <w:rFonts w:hint="eastAsia"/>
        </w:rPr>
        <w:t>F  钢板桩压桩记录表</w:t>
      </w:r>
      <w:bookmarkEnd w:id="67"/>
    </w:p>
    <w:p w14:paraId="30149754">
      <w:r>
        <w:rPr>
          <w:rFonts w:hint="eastAsia"/>
        </w:rPr>
        <w:t>F</w:t>
      </w:r>
      <w:r>
        <w:t xml:space="preserve">.0.1 </w:t>
      </w:r>
      <w:r>
        <w:rPr>
          <w:rFonts w:hint="eastAsia"/>
        </w:rPr>
        <w:t>钢板桩压桩记录可按表F.0.1选用。</w:t>
      </w:r>
    </w:p>
    <w:p w14:paraId="20FE2EF6">
      <w:r>
        <w:rPr>
          <w:rFonts w:hint="eastAsia"/>
        </w:rPr>
        <w:t xml:space="preserve"> </w:t>
      </w:r>
      <w:r>
        <w:t xml:space="preserve">                          </w:t>
      </w:r>
      <w:r>
        <w:rPr>
          <w:rFonts w:hint="eastAsia"/>
        </w:rPr>
        <w:t>表F</w:t>
      </w:r>
      <w:r>
        <w:t xml:space="preserve">.0.1  </w:t>
      </w:r>
      <w:r>
        <w:rPr>
          <w:rFonts w:hint="eastAsia"/>
        </w:rPr>
        <w:t>钢板桩压桩记录表</w:t>
      </w:r>
    </w:p>
    <w:p w14:paraId="525C44BF">
      <w:r>
        <w:rPr>
          <w:rFonts w:hint="eastAsia"/>
        </w:rPr>
        <w:t xml:space="preserve">工程名称：           施工单位：：             压桩方法：     </w:t>
      </w:r>
    </w:p>
    <w:p w14:paraId="38C621C3">
      <w:r>
        <w:rPr>
          <w:rFonts w:hint="eastAsia"/>
        </w:rPr>
        <w:t xml:space="preserve">设备型号：           地面标高：               压桩日期：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36"/>
        <w:gridCol w:w="707"/>
        <w:gridCol w:w="690"/>
        <w:gridCol w:w="1045"/>
        <w:gridCol w:w="1004"/>
        <w:gridCol w:w="528"/>
        <w:gridCol w:w="573"/>
        <w:gridCol w:w="878"/>
        <w:gridCol w:w="962"/>
        <w:gridCol w:w="1497"/>
      </w:tblGrid>
      <w:tr w14:paraId="6DA9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Pr>
          <w:p w14:paraId="240A0F88">
            <w:pPr>
              <w:jc w:val="center"/>
            </w:pPr>
            <w:r>
              <w:rPr>
                <w:rFonts w:hint="eastAsia"/>
              </w:rPr>
              <w:t>桩号</w:t>
            </w:r>
          </w:p>
        </w:tc>
        <w:tc>
          <w:tcPr>
            <w:tcW w:w="636" w:type="dxa"/>
            <w:vMerge w:val="restart"/>
          </w:tcPr>
          <w:p w14:paraId="31029825">
            <w:pPr>
              <w:jc w:val="center"/>
            </w:pPr>
            <w:r>
              <w:rPr>
                <w:rFonts w:hint="eastAsia"/>
              </w:rPr>
              <w:t>规格</w:t>
            </w:r>
          </w:p>
        </w:tc>
        <w:tc>
          <w:tcPr>
            <w:tcW w:w="1397" w:type="dxa"/>
            <w:gridSpan w:val="2"/>
          </w:tcPr>
          <w:p w14:paraId="4B937EB6">
            <w:pPr>
              <w:jc w:val="center"/>
            </w:pPr>
            <w:r>
              <w:rPr>
                <w:rFonts w:hint="eastAsia"/>
              </w:rPr>
              <w:t>桩长（m）</w:t>
            </w:r>
          </w:p>
        </w:tc>
        <w:tc>
          <w:tcPr>
            <w:tcW w:w="1045" w:type="dxa"/>
            <w:vMerge w:val="restart"/>
          </w:tcPr>
          <w:p w14:paraId="7470D997">
            <w:pPr>
              <w:jc w:val="center"/>
            </w:pPr>
            <w:r>
              <w:rPr>
                <w:rFonts w:hint="eastAsia"/>
              </w:rPr>
              <w:t>累计压入时间</w:t>
            </w:r>
          </w:p>
        </w:tc>
        <w:tc>
          <w:tcPr>
            <w:tcW w:w="1004" w:type="dxa"/>
            <w:vMerge w:val="restart"/>
          </w:tcPr>
          <w:p w14:paraId="28586F04">
            <w:pPr>
              <w:jc w:val="center"/>
            </w:pPr>
            <w:r>
              <w:rPr>
                <w:rFonts w:hint="eastAsia"/>
              </w:rPr>
              <w:t>累计压入量（m）</w:t>
            </w:r>
          </w:p>
        </w:tc>
        <w:tc>
          <w:tcPr>
            <w:tcW w:w="1101" w:type="dxa"/>
            <w:gridSpan w:val="2"/>
          </w:tcPr>
          <w:p w14:paraId="63A7BB5A">
            <w:pPr>
              <w:jc w:val="center"/>
            </w:pPr>
            <w:r>
              <w:rPr>
                <w:rFonts w:hint="eastAsia"/>
              </w:rPr>
              <w:t>桩顶标高</w:t>
            </w:r>
          </w:p>
        </w:tc>
        <w:tc>
          <w:tcPr>
            <w:tcW w:w="1840" w:type="dxa"/>
            <w:gridSpan w:val="2"/>
          </w:tcPr>
          <w:p w14:paraId="34CB4FCD">
            <w:pPr>
              <w:jc w:val="center"/>
            </w:pPr>
            <w:r>
              <w:rPr>
                <w:rFonts w:hint="eastAsia"/>
              </w:rPr>
              <w:t>桩位偏差</w:t>
            </w:r>
          </w:p>
        </w:tc>
        <w:tc>
          <w:tcPr>
            <w:tcW w:w="1497" w:type="dxa"/>
            <w:vMerge w:val="restart"/>
          </w:tcPr>
          <w:p w14:paraId="76C138B9">
            <w:pPr>
              <w:jc w:val="center"/>
            </w:pPr>
            <w:r>
              <w:rPr>
                <w:rFonts w:hint="eastAsia"/>
              </w:rPr>
              <w:t>备注</w:t>
            </w:r>
          </w:p>
        </w:tc>
      </w:tr>
      <w:tr w14:paraId="59EA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Pr>
          <w:p w14:paraId="2C3A8B35">
            <w:pPr>
              <w:jc w:val="center"/>
            </w:pPr>
          </w:p>
        </w:tc>
        <w:tc>
          <w:tcPr>
            <w:tcW w:w="636" w:type="dxa"/>
            <w:vMerge w:val="continue"/>
          </w:tcPr>
          <w:p w14:paraId="5CFB33EA">
            <w:pPr>
              <w:jc w:val="center"/>
            </w:pPr>
          </w:p>
        </w:tc>
        <w:tc>
          <w:tcPr>
            <w:tcW w:w="707" w:type="dxa"/>
          </w:tcPr>
          <w:p w14:paraId="2C0372AC">
            <w:pPr>
              <w:jc w:val="center"/>
            </w:pPr>
            <w:r>
              <w:rPr>
                <w:rFonts w:hint="eastAsia"/>
              </w:rPr>
              <w:t>设计</w:t>
            </w:r>
          </w:p>
        </w:tc>
        <w:tc>
          <w:tcPr>
            <w:tcW w:w="690" w:type="dxa"/>
          </w:tcPr>
          <w:p w14:paraId="1B530215">
            <w:pPr>
              <w:jc w:val="center"/>
            </w:pPr>
            <w:r>
              <w:rPr>
                <w:rFonts w:hint="eastAsia"/>
              </w:rPr>
              <w:t>实际</w:t>
            </w:r>
          </w:p>
        </w:tc>
        <w:tc>
          <w:tcPr>
            <w:tcW w:w="1045" w:type="dxa"/>
            <w:vMerge w:val="continue"/>
          </w:tcPr>
          <w:p w14:paraId="5A83B20C">
            <w:pPr>
              <w:jc w:val="center"/>
            </w:pPr>
          </w:p>
        </w:tc>
        <w:tc>
          <w:tcPr>
            <w:tcW w:w="1004" w:type="dxa"/>
            <w:vMerge w:val="continue"/>
          </w:tcPr>
          <w:p w14:paraId="09526F13">
            <w:pPr>
              <w:jc w:val="center"/>
            </w:pPr>
          </w:p>
        </w:tc>
        <w:tc>
          <w:tcPr>
            <w:tcW w:w="528" w:type="dxa"/>
          </w:tcPr>
          <w:p w14:paraId="3A7BD0EB">
            <w:pPr>
              <w:jc w:val="center"/>
            </w:pPr>
            <w:r>
              <w:rPr>
                <w:rFonts w:hint="eastAsia"/>
              </w:rPr>
              <w:t>设计</w:t>
            </w:r>
          </w:p>
        </w:tc>
        <w:tc>
          <w:tcPr>
            <w:tcW w:w="573" w:type="dxa"/>
          </w:tcPr>
          <w:p w14:paraId="3B0A96DF">
            <w:pPr>
              <w:jc w:val="center"/>
            </w:pPr>
            <w:r>
              <w:rPr>
                <w:rFonts w:hint="eastAsia"/>
              </w:rPr>
              <w:t>实际</w:t>
            </w:r>
          </w:p>
        </w:tc>
        <w:tc>
          <w:tcPr>
            <w:tcW w:w="878" w:type="dxa"/>
          </w:tcPr>
          <w:p w14:paraId="204AB823">
            <w:pPr>
              <w:jc w:val="center"/>
            </w:pPr>
            <w:r>
              <w:rPr>
                <w:rFonts w:hint="eastAsia"/>
              </w:rPr>
              <w:t>偏差（mm）</w:t>
            </w:r>
          </w:p>
        </w:tc>
        <w:tc>
          <w:tcPr>
            <w:tcW w:w="962" w:type="dxa"/>
          </w:tcPr>
          <w:p w14:paraId="6D86E95C">
            <w:pPr>
              <w:jc w:val="center"/>
            </w:pPr>
            <w:r>
              <w:rPr>
                <w:rFonts w:hint="eastAsia"/>
              </w:rPr>
              <w:t>倾斜（</w:t>
            </w:r>
            <w:r>
              <w:rPr>
                <w:rFonts w:hint="eastAsia" w:ascii="宋体" w:hAnsi="宋体" w:cs="宋体"/>
              </w:rPr>
              <w:t>％</w:t>
            </w:r>
            <w:r>
              <w:rPr>
                <w:rFonts w:hint="eastAsia"/>
              </w:rPr>
              <w:t>）</w:t>
            </w:r>
          </w:p>
        </w:tc>
        <w:tc>
          <w:tcPr>
            <w:tcW w:w="1497" w:type="dxa"/>
            <w:vMerge w:val="continue"/>
          </w:tcPr>
          <w:p w14:paraId="6BB355AC">
            <w:pPr>
              <w:jc w:val="center"/>
            </w:pPr>
          </w:p>
        </w:tc>
      </w:tr>
      <w:tr w14:paraId="2914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16308ABA">
            <w:pPr>
              <w:jc w:val="center"/>
            </w:pPr>
          </w:p>
        </w:tc>
        <w:tc>
          <w:tcPr>
            <w:tcW w:w="636" w:type="dxa"/>
          </w:tcPr>
          <w:p w14:paraId="5F46C4DB">
            <w:pPr>
              <w:jc w:val="center"/>
            </w:pPr>
          </w:p>
        </w:tc>
        <w:tc>
          <w:tcPr>
            <w:tcW w:w="1397" w:type="dxa"/>
            <w:gridSpan w:val="2"/>
          </w:tcPr>
          <w:p w14:paraId="38FAE3BF">
            <w:pPr>
              <w:jc w:val="center"/>
            </w:pPr>
          </w:p>
        </w:tc>
        <w:tc>
          <w:tcPr>
            <w:tcW w:w="1045" w:type="dxa"/>
          </w:tcPr>
          <w:p w14:paraId="0BFFD63B">
            <w:pPr>
              <w:jc w:val="center"/>
            </w:pPr>
          </w:p>
        </w:tc>
        <w:tc>
          <w:tcPr>
            <w:tcW w:w="1004" w:type="dxa"/>
          </w:tcPr>
          <w:p w14:paraId="70CA3F9E">
            <w:pPr>
              <w:jc w:val="center"/>
            </w:pPr>
          </w:p>
        </w:tc>
        <w:tc>
          <w:tcPr>
            <w:tcW w:w="1101" w:type="dxa"/>
            <w:gridSpan w:val="2"/>
          </w:tcPr>
          <w:p w14:paraId="19F7745B">
            <w:pPr>
              <w:jc w:val="center"/>
            </w:pPr>
          </w:p>
        </w:tc>
        <w:tc>
          <w:tcPr>
            <w:tcW w:w="1840" w:type="dxa"/>
            <w:gridSpan w:val="2"/>
          </w:tcPr>
          <w:p w14:paraId="45378686">
            <w:pPr>
              <w:jc w:val="center"/>
            </w:pPr>
          </w:p>
        </w:tc>
        <w:tc>
          <w:tcPr>
            <w:tcW w:w="1497" w:type="dxa"/>
          </w:tcPr>
          <w:p w14:paraId="7E3096BF">
            <w:pPr>
              <w:jc w:val="center"/>
            </w:pPr>
          </w:p>
        </w:tc>
      </w:tr>
      <w:tr w14:paraId="20C2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029AC8CC">
            <w:pPr>
              <w:jc w:val="center"/>
            </w:pPr>
          </w:p>
        </w:tc>
        <w:tc>
          <w:tcPr>
            <w:tcW w:w="636" w:type="dxa"/>
          </w:tcPr>
          <w:p w14:paraId="0715F276">
            <w:pPr>
              <w:jc w:val="center"/>
            </w:pPr>
          </w:p>
        </w:tc>
        <w:tc>
          <w:tcPr>
            <w:tcW w:w="1397" w:type="dxa"/>
            <w:gridSpan w:val="2"/>
          </w:tcPr>
          <w:p w14:paraId="70033CC2">
            <w:pPr>
              <w:jc w:val="center"/>
            </w:pPr>
          </w:p>
        </w:tc>
        <w:tc>
          <w:tcPr>
            <w:tcW w:w="1045" w:type="dxa"/>
          </w:tcPr>
          <w:p w14:paraId="473ECF89">
            <w:pPr>
              <w:jc w:val="center"/>
            </w:pPr>
          </w:p>
        </w:tc>
        <w:tc>
          <w:tcPr>
            <w:tcW w:w="1004" w:type="dxa"/>
          </w:tcPr>
          <w:p w14:paraId="4FAC8912">
            <w:pPr>
              <w:jc w:val="center"/>
            </w:pPr>
          </w:p>
        </w:tc>
        <w:tc>
          <w:tcPr>
            <w:tcW w:w="1101" w:type="dxa"/>
            <w:gridSpan w:val="2"/>
          </w:tcPr>
          <w:p w14:paraId="29134A43">
            <w:pPr>
              <w:jc w:val="center"/>
            </w:pPr>
          </w:p>
        </w:tc>
        <w:tc>
          <w:tcPr>
            <w:tcW w:w="1840" w:type="dxa"/>
            <w:gridSpan w:val="2"/>
          </w:tcPr>
          <w:p w14:paraId="6414B432">
            <w:pPr>
              <w:jc w:val="center"/>
            </w:pPr>
          </w:p>
        </w:tc>
        <w:tc>
          <w:tcPr>
            <w:tcW w:w="1497" w:type="dxa"/>
          </w:tcPr>
          <w:p w14:paraId="0951C36D">
            <w:pPr>
              <w:jc w:val="center"/>
            </w:pPr>
          </w:p>
        </w:tc>
      </w:tr>
      <w:tr w14:paraId="4026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tcPr>
          <w:p w14:paraId="6DC7D9D5">
            <w:pPr>
              <w:jc w:val="center"/>
            </w:pPr>
          </w:p>
        </w:tc>
        <w:tc>
          <w:tcPr>
            <w:tcW w:w="636" w:type="dxa"/>
          </w:tcPr>
          <w:p w14:paraId="26FCB3B2">
            <w:pPr>
              <w:jc w:val="center"/>
            </w:pPr>
          </w:p>
        </w:tc>
        <w:tc>
          <w:tcPr>
            <w:tcW w:w="1397" w:type="dxa"/>
            <w:gridSpan w:val="2"/>
          </w:tcPr>
          <w:p w14:paraId="47867C1F">
            <w:pPr>
              <w:jc w:val="center"/>
            </w:pPr>
          </w:p>
        </w:tc>
        <w:tc>
          <w:tcPr>
            <w:tcW w:w="1045" w:type="dxa"/>
          </w:tcPr>
          <w:p w14:paraId="0D547D8B">
            <w:pPr>
              <w:jc w:val="center"/>
            </w:pPr>
          </w:p>
        </w:tc>
        <w:tc>
          <w:tcPr>
            <w:tcW w:w="1004" w:type="dxa"/>
          </w:tcPr>
          <w:p w14:paraId="7D60ED86">
            <w:pPr>
              <w:jc w:val="center"/>
            </w:pPr>
          </w:p>
        </w:tc>
        <w:tc>
          <w:tcPr>
            <w:tcW w:w="1101" w:type="dxa"/>
            <w:gridSpan w:val="2"/>
          </w:tcPr>
          <w:p w14:paraId="0A851815">
            <w:pPr>
              <w:jc w:val="center"/>
            </w:pPr>
          </w:p>
        </w:tc>
        <w:tc>
          <w:tcPr>
            <w:tcW w:w="1840" w:type="dxa"/>
            <w:gridSpan w:val="2"/>
          </w:tcPr>
          <w:p w14:paraId="2EF98E69">
            <w:pPr>
              <w:jc w:val="center"/>
            </w:pPr>
          </w:p>
        </w:tc>
        <w:tc>
          <w:tcPr>
            <w:tcW w:w="1497" w:type="dxa"/>
          </w:tcPr>
          <w:p w14:paraId="36D90F23">
            <w:pPr>
              <w:jc w:val="center"/>
            </w:pPr>
          </w:p>
        </w:tc>
      </w:tr>
      <w:tr w14:paraId="547E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tcPr>
          <w:p w14:paraId="20EFE1D5">
            <w:pPr>
              <w:jc w:val="center"/>
            </w:pPr>
          </w:p>
        </w:tc>
        <w:tc>
          <w:tcPr>
            <w:tcW w:w="636" w:type="dxa"/>
          </w:tcPr>
          <w:p w14:paraId="2DB75975">
            <w:pPr>
              <w:jc w:val="center"/>
            </w:pPr>
          </w:p>
        </w:tc>
        <w:tc>
          <w:tcPr>
            <w:tcW w:w="1397" w:type="dxa"/>
            <w:gridSpan w:val="2"/>
          </w:tcPr>
          <w:p w14:paraId="6DEFB65E">
            <w:pPr>
              <w:jc w:val="center"/>
            </w:pPr>
          </w:p>
        </w:tc>
        <w:tc>
          <w:tcPr>
            <w:tcW w:w="1045" w:type="dxa"/>
          </w:tcPr>
          <w:p w14:paraId="20341E53">
            <w:pPr>
              <w:jc w:val="center"/>
            </w:pPr>
          </w:p>
        </w:tc>
        <w:tc>
          <w:tcPr>
            <w:tcW w:w="1004" w:type="dxa"/>
          </w:tcPr>
          <w:p w14:paraId="0A7C1878">
            <w:pPr>
              <w:jc w:val="center"/>
            </w:pPr>
          </w:p>
        </w:tc>
        <w:tc>
          <w:tcPr>
            <w:tcW w:w="1101" w:type="dxa"/>
            <w:gridSpan w:val="2"/>
          </w:tcPr>
          <w:p w14:paraId="55C35D8D">
            <w:pPr>
              <w:jc w:val="center"/>
            </w:pPr>
          </w:p>
        </w:tc>
        <w:tc>
          <w:tcPr>
            <w:tcW w:w="1840" w:type="dxa"/>
            <w:gridSpan w:val="2"/>
          </w:tcPr>
          <w:p w14:paraId="42E8DFA3">
            <w:pPr>
              <w:jc w:val="center"/>
            </w:pPr>
          </w:p>
        </w:tc>
        <w:tc>
          <w:tcPr>
            <w:tcW w:w="1497" w:type="dxa"/>
          </w:tcPr>
          <w:p w14:paraId="7AD83BE4">
            <w:pPr>
              <w:jc w:val="center"/>
            </w:pPr>
          </w:p>
        </w:tc>
      </w:tr>
      <w:tr w14:paraId="77CF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14C8DA9C">
            <w:pPr>
              <w:jc w:val="center"/>
            </w:pPr>
          </w:p>
        </w:tc>
        <w:tc>
          <w:tcPr>
            <w:tcW w:w="636" w:type="dxa"/>
          </w:tcPr>
          <w:p w14:paraId="7877476B">
            <w:pPr>
              <w:jc w:val="center"/>
            </w:pPr>
          </w:p>
        </w:tc>
        <w:tc>
          <w:tcPr>
            <w:tcW w:w="1397" w:type="dxa"/>
            <w:gridSpan w:val="2"/>
          </w:tcPr>
          <w:p w14:paraId="12FBCF48">
            <w:pPr>
              <w:jc w:val="center"/>
            </w:pPr>
          </w:p>
        </w:tc>
        <w:tc>
          <w:tcPr>
            <w:tcW w:w="1045" w:type="dxa"/>
          </w:tcPr>
          <w:p w14:paraId="614BB6ED">
            <w:pPr>
              <w:jc w:val="center"/>
            </w:pPr>
          </w:p>
        </w:tc>
        <w:tc>
          <w:tcPr>
            <w:tcW w:w="1004" w:type="dxa"/>
          </w:tcPr>
          <w:p w14:paraId="30B57DA9">
            <w:pPr>
              <w:jc w:val="center"/>
            </w:pPr>
          </w:p>
        </w:tc>
        <w:tc>
          <w:tcPr>
            <w:tcW w:w="1101" w:type="dxa"/>
            <w:gridSpan w:val="2"/>
          </w:tcPr>
          <w:p w14:paraId="3DA294E3">
            <w:pPr>
              <w:jc w:val="center"/>
            </w:pPr>
          </w:p>
        </w:tc>
        <w:tc>
          <w:tcPr>
            <w:tcW w:w="1840" w:type="dxa"/>
            <w:gridSpan w:val="2"/>
          </w:tcPr>
          <w:p w14:paraId="21368FCC">
            <w:pPr>
              <w:jc w:val="center"/>
            </w:pPr>
          </w:p>
        </w:tc>
        <w:tc>
          <w:tcPr>
            <w:tcW w:w="1497" w:type="dxa"/>
          </w:tcPr>
          <w:p w14:paraId="45375BF4">
            <w:pPr>
              <w:jc w:val="center"/>
            </w:pPr>
          </w:p>
        </w:tc>
      </w:tr>
      <w:tr w14:paraId="0BB3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6AB3F50A">
            <w:pPr>
              <w:jc w:val="center"/>
            </w:pPr>
          </w:p>
        </w:tc>
        <w:tc>
          <w:tcPr>
            <w:tcW w:w="636" w:type="dxa"/>
          </w:tcPr>
          <w:p w14:paraId="14CC6650">
            <w:pPr>
              <w:jc w:val="center"/>
            </w:pPr>
          </w:p>
        </w:tc>
        <w:tc>
          <w:tcPr>
            <w:tcW w:w="1397" w:type="dxa"/>
            <w:gridSpan w:val="2"/>
          </w:tcPr>
          <w:p w14:paraId="007DD133">
            <w:pPr>
              <w:jc w:val="center"/>
            </w:pPr>
          </w:p>
        </w:tc>
        <w:tc>
          <w:tcPr>
            <w:tcW w:w="1045" w:type="dxa"/>
          </w:tcPr>
          <w:p w14:paraId="75CF4599">
            <w:pPr>
              <w:jc w:val="center"/>
            </w:pPr>
          </w:p>
        </w:tc>
        <w:tc>
          <w:tcPr>
            <w:tcW w:w="1004" w:type="dxa"/>
          </w:tcPr>
          <w:p w14:paraId="2BAE0801">
            <w:pPr>
              <w:jc w:val="center"/>
            </w:pPr>
          </w:p>
        </w:tc>
        <w:tc>
          <w:tcPr>
            <w:tcW w:w="1101" w:type="dxa"/>
            <w:gridSpan w:val="2"/>
          </w:tcPr>
          <w:p w14:paraId="4E75D253">
            <w:pPr>
              <w:jc w:val="center"/>
            </w:pPr>
          </w:p>
        </w:tc>
        <w:tc>
          <w:tcPr>
            <w:tcW w:w="1840" w:type="dxa"/>
            <w:gridSpan w:val="2"/>
          </w:tcPr>
          <w:p w14:paraId="19128A54">
            <w:pPr>
              <w:jc w:val="center"/>
            </w:pPr>
          </w:p>
        </w:tc>
        <w:tc>
          <w:tcPr>
            <w:tcW w:w="1497" w:type="dxa"/>
          </w:tcPr>
          <w:p w14:paraId="775179A0">
            <w:pPr>
              <w:jc w:val="center"/>
            </w:pPr>
          </w:p>
        </w:tc>
      </w:tr>
      <w:tr w14:paraId="176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100E2568">
            <w:pPr>
              <w:jc w:val="center"/>
            </w:pPr>
          </w:p>
        </w:tc>
        <w:tc>
          <w:tcPr>
            <w:tcW w:w="636" w:type="dxa"/>
          </w:tcPr>
          <w:p w14:paraId="09BDCC78">
            <w:pPr>
              <w:jc w:val="center"/>
            </w:pPr>
          </w:p>
        </w:tc>
        <w:tc>
          <w:tcPr>
            <w:tcW w:w="1397" w:type="dxa"/>
            <w:gridSpan w:val="2"/>
          </w:tcPr>
          <w:p w14:paraId="5159C839">
            <w:pPr>
              <w:jc w:val="center"/>
            </w:pPr>
          </w:p>
        </w:tc>
        <w:tc>
          <w:tcPr>
            <w:tcW w:w="1045" w:type="dxa"/>
          </w:tcPr>
          <w:p w14:paraId="7C63081F">
            <w:pPr>
              <w:jc w:val="center"/>
            </w:pPr>
          </w:p>
        </w:tc>
        <w:tc>
          <w:tcPr>
            <w:tcW w:w="1004" w:type="dxa"/>
          </w:tcPr>
          <w:p w14:paraId="7E3B9028">
            <w:pPr>
              <w:jc w:val="center"/>
            </w:pPr>
          </w:p>
        </w:tc>
        <w:tc>
          <w:tcPr>
            <w:tcW w:w="1101" w:type="dxa"/>
            <w:gridSpan w:val="2"/>
          </w:tcPr>
          <w:p w14:paraId="4E165B52">
            <w:pPr>
              <w:jc w:val="center"/>
            </w:pPr>
          </w:p>
        </w:tc>
        <w:tc>
          <w:tcPr>
            <w:tcW w:w="1840" w:type="dxa"/>
            <w:gridSpan w:val="2"/>
          </w:tcPr>
          <w:p w14:paraId="4ABA3E51">
            <w:pPr>
              <w:jc w:val="center"/>
            </w:pPr>
          </w:p>
        </w:tc>
        <w:tc>
          <w:tcPr>
            <w:tcW w:w="1497" w:type="dxa"/>
          </w:tcPr>
          <w:p w14:paraId="65F587FC">
            <w:pPr>
              <w:jc w:val="center"/>
            </w:pPr>
          </w:p>
        </w:tc>
      </w:tr>
      <w:tr w14:paraId="6BF8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tcPr>
          <w:p w14:paraId="0C91E061">
            <w:pPr>
              <w:jc w:val="center"/>
            </w:pPr>
          </w:p>
        </w:tc>
        <w:tc>
          <w:tcPr>
            <w:tcW w:w="636" w:type="dxa"/>
          </w:tcPr>
          <w:p w14:paraId="5359A8B4">
            <w:pPr>
              <w:jc w:val="center"/>
            </w:pPr>
          </w:p>
        </w:tc>
        <w:tc>
          <w:tcPr>
            <w:tcW w:w="1397" w:type="dxa"/>
            <w:gridSpan w:val="2"/>
          </w:tcPr>
          <w:p w14:paraId="31A9D576">
            <w:pPr>
              <w:jc w:val="center"/>
            </w:pPr>
          </w:p>
        </w:tc>
        <w:tc>
          <w:tcPr>
            <w:tcW w:w="1045" w:type="dxa"/>
          </w:tcPr>
          <w:p w14:paraId="5B6EE210">
            <w:pPr>
              <w:jc w:val="center"/>
            </w:pPr>
          </w:p>
        </w:tc>
        <w:tc>
          <w:tcPr>
            <w:tcW w:w="1004" w:type="dxa"/>
          </w:tcPr>
          <w:p w14:paraId="47E3639E">
            <w:pPr>
              <w:jc w:val="center"/>
            </w:pPr>
          </w:p>
        </w:tc>
        <w:tc>
          <w:tcPr>
            <w:tcW w:w="1101" w:type="dxa"/>
            <w:gridSpan w:val="2"/>
          </w:tcPr>
          <w:p w14:paraId="79717C23">
            <w:pPr>
              <w:jc w:val="center"/>
            </w:pPr>
          </w:p>
        </w:tc>
        <w:tc>
          <w:tcPr>
            <w:tcW w:w="1840" w:type="dxa"/>
            <w:gridSpan w:val="2"/>
          </w:tcPr>
          <w:p w14:paraId="11B43F75">
            <w:pPr>
              <w:jc w:val="center"/>
            </w:pPr>
          </w:p>
        </w:tc>
        <w:tc>
          <w:tcPr>
            <w:tcW w:w="1497" w:type="dxa"/>
          </w:tcPr>
          <w:p w14:paraId="4AF31EFB">
            <w:pPr>
              <w:jc w:val="center"/>
            </w:pPr>
          </w:p>
        </w:tc>
      </w:tr>
      <w:tr w14:paraId="3C4B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30DC2EF3">
            <w:pPr>
              <w:jc w:val="center"/>
            </w:pPr>
          </w:p>
        </w:tc>
        <w:tc>
          <w:tcPr>
            <w:tcW w:w="636" w:type="dxa"/>
          </w:tcPr>
          <w:p w14:paraId="0A01EE95">
            <w:pPr>
              <w:jc w:val="center"/>
            </w:pPr>
          </w:p>
        </w:tc>
        <w:tc>
          <w:tcPr>
            <w:tcW w:w="1397" w:type="dxa"/>
            <w:gridSpan w:val="2"/>
          </w:tcPr>
          <w:p w14:paraId="072A767E">
            <w:pPr>
              <w:jc w:val="center"/>
            </w:pPr>
          </w:p>
        </w:tc>
        <w:tc>
          <w:tcPr>
            <w:tcW w:w="1045" w:type="dxa"/>
          </w:tcPr>
          <w:p w14:paraId="03106145">
            <w:pPr>
              <w:jc w:val="center"/>
            </w:pPr>
          </w:p>
        </w:tc>
        <w:tc>
          <w:tcPr>
            <w:tcW w:w="1004" w:type="dxa"/>
          </w:tcPr>
          <w:p w14:paraId="26704EF6">
            <w:pPr>
              <w:jc w:val="center"/>
            </w:pPr>
          </w:p>
        </w:tc>
        <w:tc>
          <w:tcPr>
            <w:tcW w:w="1101" w:type="dxa"/>
            <w:gridSpan w:val="2"/>
          </w:tcPr>
          <w:p w14:paraId="3D92045E">
            <w:pPr>
              <w:jc w:val="center"/>
            </w:pPr>
          </w:p>
        </w:tc>
        <w:tc>
          <w:tcPr>
            <w:tcW w:w="1840" w:type="dxa"/>
            <w:gridSpan w:val="2"/>
          </w:tcPr>
          <w:p w14:paraId="25BE6231">
            <w:pPr>
              <w:jc w:val="center"/>
            </w:pPr>
          </w:p>
        </w:tc>
        <w:tc>
          <w:tcPr>
            <w:tcW w:w="1497" w:type="dxa"/>
          </w:tcPr>
          <w:p w14:paraId="13C9B5B0">
            <w:pPr>
              <w:jc w:val="center"/>
            </w:pPr>
          </w:p>
        </w:tc>
      </w:tr>
      <w:tr w14:paraId="4E55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76252AD">
            <w:pPr>
              <w:jc w:val="center"/>
            </w:pPr>
          </w:p>
        </w:tc>
        <w:tc>
          <w:tcPr>
            <w:tcW w:w="636" w:type="dxa"/>
          </w:tcPr>
          <w:p w14:paraId="220A8A65">
            <w:pPr>
              <w:jc w:val="center"/>
            </w:pPr>
          </w:p>
        </w:tc>
        <w:tc>
          <w:tcPr>
            <w:tcW w:w="1397" w:type="dxa"/>
            <w:gridSpan w:val="2"/>
          </w:tcPr>
          <w:p w14:paraId="096C0C7A">
            <w:pPr>
              <w:jc w:val="center"/>
            </w:pPr>
          </w:p>
        </w:tc>
        <w:tc>
          <w:tcPr>
            <w:tcW w:w="1045" w:type="dxa"/>
          </w:tcPr>
          <w:p w14:paraId="11275840">
            <w:pPr>
              <w:jc w:val="center"/>
            </w:pPr>
          </w:p>
        </w:tc>
        <w:tc>
          <w:tcPr>
            <w:tcW w:w="1004" w:type="dxa"/>
          </w:tcPr>
          <w:p w14:paraId="2D713E02">
            <w:pPr>
              <w:jc w:val="center"/>
            </w:pPr>
          </w:p>
        </w:tc>
        <w:tc>
          <w:tcPr>
            <w:tcW w:w="1101" w:type="dxa"/>
            <w:gridSpan w:val="2"/>
          </w:tcPr>
          <w:p w14:paraId="6C649363">
            <w:pPr>
              <w:jc w:val="center"/>
            </w:pPr>
          </w:p>
        </w:tc>
        <w:tc>
          <w:tcPr>
            <w:tcW w:w="1840" w:type="dxa"/>
            <w:gridSpan w:val="2"/>
          </w:tcPr>
          <w:p w14:paraId="697733CD">
            <w:pPr>
              <w:jc w:val="center"/>
            </w:pPr>
          </w:p>
        </w:tc>
        <w:tc>
          <w:tcPr>
            <w:tcW w:w="1497" w:type="dxa"/>
          </w:tcPr>
          <w:p w14:paraId="1D0B1C9C">
            <w:pPr>
              <w:jc w:val="center"/>
            </w:pPr>
          </w:p>
        </w:tc>
      </w:tr>
      <w:tr w14:paraId="438A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3C05AFE0">
            <w:pPr>
              <w:jc w:val="center"/>
            </w:pPr>
          </w:p>
        </w:tc>
        <w:tc>
          <w:tcPr>
            <w:tcW w:w="636" w:type="dxa"/>
          </w:tcPr>
          <w:p w14:paraId="41390316">
            <w:pPr>
              <w:jc w:val="center"/>
            </w:pPr>
          </w:p>
        </w:tc>
        <w:tc>
          <w:tcPr>
            <w:tcW w:w="1397" w:type="dxa"/>
            <w:gridSpan w:val="2"/>
          </w:tcPr>
          <w:p w14:paraId="43382D3F">
            <w:pPr>
              <w:jc w:val="center"/>
            </w:pPr>
          </w:p>
        </w:tc>
        <w:tc>
          <w:tcPr>
            <w:tcW w:w="1045" w:type="dxa"/>
          </w:tcPr>
          <w:p w14:paraId="5D2CA3F3">
            <w:pPr>
              <w:jc w:val="center"/>
            </w:pPr>
          </w:p>
        </w:tc>
        <w:tc>
          <w:tcPr>
            <w:tcW w:w="1004" w:type="dxa"/>
          </w:tcPr>
          <w:p w14:paraId="149A87DB">
            <w:pPr>
              <w:jc w:val="center"/>
            </w:pPr>
          </w:p>
        </w:tc>
        <w:tc>
          <w:tcPr>
            <w:tcW w:w="1101" w:type="dxa"/>
            <w:gridSpan w:val="2"/>
          </w:tcPr>
          <w:p w14:paraId="075AA997">
            <w:pPr>
              <w:jc w:val="center"/>
            </w:pPr>
          </w:p>
        </w:tc>
        <w:tc>
          <w:tcPr>
            <w:tcW w:w="1840" w:type="dxa"/>
            <w:gridSpan w:val="2"/>
          </w:tcPr>
          <w:p w14:paraId="3C28AED8">
            <w:pPr>
              <w:jc w:val="center"/>
            </w:pPr>
          </w:p>
        </w:tc>
        <w:tc>
          <w:tcPr>
            <w:tcW w:w="1497" w:type="dxa"/>
          </w:tcPr>
          <w:p w14:paraId="7FC855A7">
            <w:pPr>
              <w:jc w:val="center"/>
            </w:pPr>
          </w:p>
        </w:tc>
      </w:tr>
      <w:tr w14:paraId="35D5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31665F3">
            <w:pPr>
              <w:jc w:val="center"/>
            </w:pPr>
          </w:p>
        </w:tc>
        <w:tc>
          <w:tcPr>
            <w:tcW w:w="636" w:type="dxa"/>
          </w:tcPr>
          <w:p w14:paraId="4D51E84E">
            <w:pPr>
              <w:jc w:val="center"/>
            </w:pPr>
          </w:p>
        </w:tc>
        <w:tc>
          <w:tcPr>
            <w:tcW w:w="1397" w:type="dxa"/>
            <w:gridSpan w:val="2"/>
          </w:tcPr>
          <w:p w14:paraId="5A49C7AF">
            <w:pPr>
              <w:jc w:val="center"/>
            </w:pPr>
          </w:p>
        </w:tc>
        <w:tc>
          <w:tcPr>
            <w:tcW w:w="1045" w:type="dxa"/>
          </w:tcPr>
          <w:p w14:paraId="5B7E6C20">
            <w:pPr>
              <w:jc w:val="center"/>
            </w:pPr>
          </w:p>
        </w:tc>
        <w:tc>
          <w:tcPr>
            <w:tcW w:w="1004" w:type="dxa"/>
          </w:tcPr>
          <w:p w14:paraId="1C06E284">
            <w:pPr>
              <w:jc w:val="center"/>
            </w:pPr>
          </w:p>
        </w:tc>
        <w:tc>
          <w:tcPr>
            <w:tcW w:w="1101" w:type="dxa"/>
            <w:gridSpan w:val="2"/>
          </w:tcPr>
          <w:p w14:paraId="4F2CA217">
            <w:pPr>
              <w:jc w:val="center"/>
            </w:pPr>
          </w:p>
        </w:tc>
        <w:tc>
          <w:tcPr>
            <w:tcW w:w="1840" w:type="dxa"/>
            <w:gridSpan w:val="2"/>
          </w:tcPr>
          <w:p w14:paraId="7E5338C6">
            <w:pPr>
              <w:jc w:val="center"/>
            </w:pPr>
          </w:p>
        </w:tc>
        <w:tc>
          <w:tcPr>
            <w:tcW w:w="1497" w:type="dxa"/>
          </w:tcPr>
          <w:p w14:paraId="59B5FDC3">
            <w:pPr>
              <w:jc w:val="center"/>
            </w:pPr>
          </w:p>
        </w:tc>
      </w:tr>
      <w:tr w14:paraId="7412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8CD7C9B">
            <w:pPr>
              <w:jc w:val="center"/>
            </w:pPr>
          </w:p>
        </w:tc>
        <w:tc>
          <w:tcPr>
            <w:tcW w:w="636" w:type="dxa"/>
          </w:tcPr>
          <w:p w14:paraId="0E3212D0">
            <w:pPr>
              <w:jc w:val="center"/>
            </w:pPr>
          </w:p>
        </w:tc>
        <w:tc>
          <w:tcPr>
            <w:tcW w:w="1397" w:type="dxa"/>
            <w:gridSpan w:val="2"/>
          </w:tcPr>
          <w:p w14:paraId="32087A7F">
            <w:pPr>
              <w:jc w:val="center"/>
            </w:pPr>
          </w:p>
        </w:tc>
        <w:tc>
          <w:tcPr>
            <w:tcW w:w="1045" w:type="dxa"/>
          </w:tcPr>
          <w:p w14:paraId="0A50382D">
            <w:pPr>
              <w:jc w:val="center"/>
            </w:pPr>
          </w:p>
        </w:tc>
        <w:tc>
          <w:tcPr>
            <w:tcW w:w="1004" w:type="dxa"/>
          </w:tcPr>
          <w:p w14:paraId="4287C840">
            <w:pPr>
              <w:jc w:val="center"/>
            </w:pPr>
          </w:p>
        </w:tc>
        <w:tc>
          <w:tcPr>
            <w:tcW w:w="1101" w:type="dxa"/>
            <w:gridSpan w:val="2"/>
          </w:tcPr>
          <w:p w14:paraId="6E1A180A">
            <w:pPr>
              <w:jc w:val="center"/>
            </w:pPr>
          </w:p>
        </w:tc>
        <w:tc>
          <w:tcPr>
            <w:tcW w:w="1840" w:type="dxa"/>
            <w:gridSpan w:val="2"/>
          </w:tcPr>
          <w:p w14:paraId="7A191AD6">
            <w:pPr>
              <w:jc w:val="center"/>
            </w:pPr>
          </w:p>
        </w:tc>
        <w:tc>
          <w:tcPr>
            <w:tcW w:w="1497" w:type="dxa"/>
          </w:tcPr>
          <w:p w14:paraId="30277077">
            <w:pPr>
              <w:jc w:val="center"/>
            </w:pPr>
          </w:p>
        </w:tc>
      </w:tr>
      <w:tr w14:paraId="5CFC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7D52242D">
            <w:pPr>
              <w:jc w:val="center"/>
            </w:pPr>
          </w:p>
        </w:tc>
        <w:tc>
          <w:tcPr>
            <w:tcW w:w="636" w:type="dxa"/>
          </w:tcPr>
          <w:p w14:paraId="5342D4A6">
            <w:pPr>
              <w:jc w:val="center"/>
            </w:pPr>
          </w:p>
        </w:tc>
        <w:tc>
          <w:tcPr>
            <w:tcW w:w="1397" w:type="dxa"/>
            <w:gridSpan w:val="2"/>
          </w:tcPr>
          <w:p w14:paraId="45E4B959">
            <w:pPr>
              <w:jc w:val="center"/>
            </w:pPr>
          </w:p>
        </w:tc>
        <w:tc>
          <w:tcPr>
            <w:tcW w:w="1045" w:type="dxa"/>
          </w:tcPr>
          <w:p w14:paraId="72A76B63">
            <w:pPr>
              <w:jc w:val="center"/>
            </w:pPr>
          </w:p>
        </w:tc>
        <w:tc>
          <w:tcPr>
            <w:tcW w:w="1004" w:type="dxa"/>
          </w:tcPr>
          <w:p w14:paraId="1BCFAFED">
            <w:pPr>
              <w:jc w:val="center"/>
            </w:pPr>
          </w:p>
        </w:tc>
        <w:tc>
          <w:tcPr>
            <w:tcW w:w="1101" w:type="dxa"/>
            <w:gridSpan w:val="2"/>
          </w:tcPr>
          <w:p w14:paraId="099CCD6D">
            <w:pPr>
              <w:jc w:val="center"/>
            </w:pPr>
          </w:p>
        </w:tc>
        <w:tc>
          <w:tcPr>
            <w:tcW w:w="1840" w:type="dxa"/>
            <w:gridSpan w:val="2"/>
          </w:tcPr>
          <w:p w14:paraId="5F817628">
            <w:pPr>
              <w:jc w:val="center"/>
            </w:pPr>
          </w:p>
        </w:tc>
        <w:tc>
          <w:tcPr>
            <w:tcW w:w="1497" w:type="dxa"/>
          </w:tcPr>
          <w:p w14:paraId="049ED924">
            <w:pPr>
              <w:jc w:val="center"/>
            </w:pPr>
          </w:p>
        </w:tc>
      </w:tr>
      <w:tr w14:paraId="2A9D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6E96CDBB">
            <w:pPr>
              <w:jc w:val="center"/>
            </w:pPr>
          </w:p>
        </w:tc>
        <w:tc>
          <w:tcPr>
            <w:tcW w:w="636" w:type="dxa"/>
          </w:tcPr>
          <w:p w14:paraId="2A5F618A">
            <w:pPr>
              <w:jc w:val="center"/>
            </w:pPr>
          </w:p>
        </w:tc>
        <w:tc>
          <w:tcPr>
            <w:tcW w:w="1397" w:type="dxa"/>
            <w:gridSpan w:val="2"/>
          </w:tcPr>
          <w:p w14:paraId="282DC679">
            <w:pPr>
              <w:jc w:val="center"/>
            </w:pPr>
          </w:p>
        </w:tc>
        <w:tc>
          <w:tcPr>
            <w:tcW w:w="1045" w:type="dxa"/>
          </w:tcPr>
          <w:p w14:paraId="7F23D38A">
            <w:pPr>
              <w:jc w:val="center"/>
            </w:pPr>
          </w:p>
        </w:tc>
        <w:tc>
          <w:tcPr>
            <w:tcW w:w="1004" w:type="dxa"/>
          </w:tcPr>
          <w:p w14:paraId="1C774F32">
            <w:pPr>
              <w:jc w:val="center"/>
            </w:pPr>
          </w:p>
        </w:tc>
        <w:tc>
          <w:tcPr>
            <w:tcW w:w="1101" w:type="dxa"/>
            <w:gridSpan w:val="2"/>
          </w:tcPr>
          <w:p w14:paraId="2825E098">
            <w:pPr>
              <w:jc w:val="center"/>
            </w:pPr>
          </w:p>
        </w:tc>
        <w:tc>
          <w:tcPr>
            <w:tcW w:w="1840" w:type="dxa"/>
            <w:gridSpan w:val="2"/>
          </w:tcPr>
          <w:p w14:paraId="5026003C">
            <w:pPr>
              <w:jc w:val="center"/>
            </w:pPr>
          </w:p>
        </w:tc>
        <w:tc>
          <w:tcPr>
            <w:tcW w:w="1497" w:type="dxa"/>
          </w:tcPr>
          <w:p w14:paraId="5CE3CF8B">
            <w:pPr>
              <w:jc w:val="center"/>
            </w:pPr>
          </w:p>
        </w:tc>
      </w:tr>
      <w:tr w14:paraId="3FE4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06D486AB">
            <w:pPr>
              <w:jc w:val="center"/>
            </w:pPr>
          </w:p>
        </w:tc>
        <w:tc>
          <w:tcPr>
            <w:tcW w:w="636" w:type="dxa"/>
          </w:tcPr>
          <w:p w14:paraId="223EF3E3">
            <w:pPr>
              <w:jc w:val="center"/>
            </w:pPr>
          </w:p>
        </w:tc>
        <w:tc>
          <w:tcPr>
            <w:tcW w:w="1397" w:type="dxa"/>
            <w:gridSpan w:val="2"/>
          </w:tcPr>
          <w:p w14:paraId="641F13EB">
            <w:pPr>
              <w:jc w:val="center"/>
            </w:pPr>
          </w:p>
        </w:tc>
        <w:tc>
          <w:tcPr>
            <w:tcW w:w="1045" w:type="dxa"/>
          </w:tcPr>
          <w:p w14:paraId="174C1104">
            <w:pPr>
              <w:jc w:val="center"/>
            </w:pPr>
          </w:p>
        </w:tc>
        <w:tc>
          <w:tcPr>
            <w:tcW w:w="1004" w:type="dxa"/>
          </w:tcPr>
          <w:p w14:paraId="5C35767B">
            <w:pPr>
              <w:jc w:val="center"/>
            </w:pPr>
          </w:p>
        </w:tc>
        <w:tc>
          <w:tcPr>
            <w:tcW w:w="1101" w:type="dxa"/>
            <w:gridSpan w:val="2"/>
          </w:tcPr>
          <w:p w14:paraId="0A0F3716">
            <w:pPr>
              <w:jc w:val="center"/>
            </w:pPr>
          </w:p>
        </w:tc>
        <w:tc>
          <w:tcPr>
            <w:tcW w:w="1840" w:type="dxa"/>
            <w:gridSpan w:val="2"/>
          </w:tcPr>
          <w:p w14:paraId="04C0F7C6">
            <w:pPr>
              <w:jc w:val="center"/>
            </w:pPr>
          </w:p>
        </w:tc>
        <w:tc>
          <w:tcPr>
            <w:tcW w:w="1497" w:type="dxa"/>
          </w:tcPr>
          <w:p w14:paraId="79EE23EB">
            <w:pPr>
              <w:jc w:val="center"/>
            </w:pPr>
          </w:p>
        </w:tc>
      </w:tr>
      <w:tr w14:paraId="6C76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BCC98B8">
            <w:pPr>
              <w:jc w:val="center"/>
            </w:pPr>
          </w:p>
        </w:tc>
        <w:tc>
          <w:tcPr>
            <w:tcW w:w="636" w:type="dxa"/>
          </w:tcPr>
          <w:p w14:paraId="030BA942">
            <w:pPr>
              <w:jc w:val="center"/>
            </w:pPr>
          </w:p>
        </w:tc>
        <w:tc>
          <w:tcPr>
            <w:tcW w:w="1397" w:type="dxa"/>
            <w:gridSpan w:val="2"/>
          </w:tcPr>
          <w:p w14:paraId="7168F75B">
            <w:pPr>
              <w:jc w:val="center"/>
            </w:pPr>
          </w:p>
        </w:tc>
        <w:tc>
          <w:tcPr>
            <w:tcW w:w="1045" w:type="dxa"/>
          </w:tcPr>
          <w:p w14:paraId="62E6489B">
            <w:pPr>
              <w:jc w:val="center"/>
            </w:pPr>
          </w:p>
        </w:tc>
        <w:tc>
          <w:tcPr>
            <w:tcW w:w="1004" w:type="dxa"/>
          </w:tcPr>
          <w:p w14:paraId="377C5E77">
            <w:pPr>
              <w:jc w:val="center"/>
            </w:pPr>
          </w:p>
        </w:tc>
        <w:tc>
          <w:tcPr>
            <w:tcW w:w="1101" w:type="dxa"/>
            <w:gridSpan w:val="2"/>
          </w:tcPr>
          <w:p w14:paraId="3940D43F">
            <w:pPr>
              <w:jc w:val="center"/>
            </w:pPr>
          </w:p>
        </w:tc>
        <w:tc>
          <w:tcPr>
            <w:tcW w:w="1840" w:type="dxa"/>
            <w:gridSpan w:val="2"/>
          </w:tcPr>
          <w:p w14:paraId="071B46A3">
            <w:pPr>
              <w:jc w:val="center"/>
            </w:pPr>
          </w:p>
        </w:tc>
        <w:tc>
          <w:tcPr>
            <w:tcW w:w="1497" w:type="dxa"/>
          </w:tcPr>
          <w:p w14:paraId="3C719536">
            <w:pPr>
              <w:jc w:val="center"/>
            </w:pPr>
          </w:p>
        </w:tc>
      </w:tr>
      <w:tr w14:paraId="0434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06533F57">
            <w:pPr>
              <w:jc w:val="center"/>
            </w:pPr>
          </w:p>
        </w:tc>
        <w:tc>
          <w:tcPr>
            <w:tcW w:w="636" w:type="dxa"/>
          </w:tcPr>
          <w:p w14:paraId="42B18EB3">
            <w:pPr>
              <w:jc w:val="center"/>
            </w:pPr>
          </w:p>
        </w:tc>
        <w:tc>
          <w:tcPr>
            <w:tcW w:w="1397" w:type="dxa"/>
            <w:gridSpan w:val="2"/>
          </w:tcPr>
          <w:p w14:paraId="30BC354E">
            <w:pPr>
              <w:jc w:val="center"/>
            </w:pPr>
          </w:p>
        </w:tc>
        <w:tc>
          <w:tcPr>
            <w:tcW w:w="1045" w:type="dxa"/>
          </w:tcPr>
          <w:p w14:paraId="3F55C7BB">
            <w:pPr>
              <w:jc w:val="center"/>
            </w:pPr>
          </w:p>
        </w:tc>
        <w:tc>
          <w:tcPr>
            <w:tcW w:w="1004" w:type="dxa"/>
          </w:tcPr>
          <w:p w14:paraId="58DC14F8">
            <w:pPr>
              <w:jc w:val="center"/>
            </w:pPr>
          </w:p>
        </w:tc>
        <w:tc>
          <w:tcPr>
            <w:tcW w:w="1101" w:type="dxa"/>
            <w:gridSpan w:val="2"/>
          </w:tcPr>
          <w:p w14:paraId="0E1D453D">
            <w:pPr>
              <w:jc w:val="center"/>
            </w:pPr>
          </w:p>
        </w:tc>
        <w:tc>
          <w:tcPr>
            <w:tcW w:w="1840" w:type="dxa"/>
            <w:gridSpan w:val="2"/>
          </w:tcPr>
          <w:p w14:paraId="13F5F228">
            <w:pPr>
              <w:jc w:val="center"/>
            </w:pPr>
          </w:p>
        </w:tc>
        <w:tc>
          <w:tcPr>
            <w:tcW w:w="1497" w:type="dxa"/>
          </w:tcPr>
          <w:p w14:paraId="5D579676">
            <w:pPr>
              <w:jc w:val="center"/>
            </w:pPr>
          </w:p>
        </w:tc>
      </w:tr>
      <w:tr w14:paraId="0900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5CEEE889">
            <w:pPr>
              <w:jc w:val="center"/>
            </w:pPr>
          </w:p>
        </w:tc>
        <w:tc>
          <w:tcPr>
            <w:tcW w:w="636" w:type="dxa"/>
          </w:tcPr>
          <w:p w14:paraId="545BA8A2">
            <w:pPr>
              <w:jc w:val="center"/>
            </w:pPr>
          </w:p>
        </w:tc>
        <w:tc>
          <w:tcPr>
            <w:tcW w:w="1397" w:type="dxa"/>
            <w:gridSpan w:val="2"/>
          </w:tcPr>
          <w:p w14:paraId="5B613906">
            <w:pPr>
              <w:jc w:val="center"/>
            </w:pPr>
          </w:p>
        </w:tc>
        <w:tc>
          <w:tcPr>
            <w:tcW w:w="1045" w:type="dxa"/>
          </w:tcPr>
          <w:p w14:paraId="3BD583C8">
            <w:pPr>
              <w:jc w:val="center"/>
            </w:pPr>
          </w:p>
        </w:tc>
        <w:tc>
          <w:tcPr>
            <w:tcW w:w="1004" w:type="dxa"/>
          </w:tcPr>
          <w:p w14:paraId="092D5904">
            <w:pPr>
              <w:jc w:val="center"/>
            </w:pPr>
          </w:p>
        </w:tc>
        <w:tc>
          <w:tcPr>
            <w:tcW w:w="1101" w:type="dxa"/>
            <w:gridSpan w:val="2"/>
          </w:tcPr>
          <w:p w14:paraId="2BBC9B43">
            <w:pPr>
              <w:jc w:val="center"/>
            </w:pPr>
          </w:p>
        </w:tc>
        <w:tc>
          <w:tcPr>
            <w:tcW w:w="1840" w:type="dxa"/>
            <w:gridSpan w:val="2"/>
          </w:tcPr>
          <w:p w14:paraId="7D9D24A4">
            <w:pPr>
              <w:jc w:val="center"/>
            </w:pPr>
          </w:p>
        </w:tc>
        <w:tc>
          <w:tcPr>
            <w:tcW w:w="1497" w:type="dxa"/>
          </w:tcPr>
          <w:p w14:paraId="1093967A">
            <w:pPr>
              <w:jc w:val="center"/>
            </w:pPr>
          </w:p>
        </w:tc>
      </w:tr>
      <w:tr w14:paraId="03F8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71506429">
            <w:pPr>
              <w:jc w:val="center"/>
            </w:pPr>
          </w:p>
        </w:tc>
        <w:tc>
          <w:tcPr>
            <w:tcW w:w="636" w:type="dxa"/>
          </w:tcPr>
          <w:p w14:paraId="341F63AB">
            <w:pPr>
              <w:jc w:val="center"/>
            </w:pPr>
          </w:p>
        </w:tc>
        <w:tc>
          <w:tcPr>
            <w:tcW w:w="1397" w:type="dxa"/>
            <w:gridSpan w:val="2"/>
          </w:tcPr>
          <w:p w14:paraId="333F6AD1">
            <w:pPr>
              <w:jc w:val="center"/>
            </w:pPr>
          </w:p>
        </w:tc>
        <w:tc>
          <w:tcPr>
            <w:tcW w:w="1045" w:type="dxa"/>
          </w:tcPr>
          <w:p w14:paraId="22F1A9A5">
            <w:pPr>
              <w:jc w:val="center"/>
            </w:pPr>
          </w:p>
        </w:tc>
        <w:tc>
          <w:tcPr>
            <w:tcW w:w="1004" w:type="dxa"/>
          </w:tcPr>
          <w:p w14:paraId="2C05F0FD">
            <w:pPr>
              <w:jc w:val="center"/>
            </w:pPr>
          </w:p>
        </w:tc>
        <w:tc>
          <w:tcPr>
            <w:tcW w:w="1101" w:type="dxa"/>
            <w:gridSpan w:val="2"/>
          </w:tcPr>
          <w:p w14:paraId="7AFAEFC6">
            <w:pPr>
              <w:jc w:val="center"/>
            </w:pPr>
          </w:p>
        </w:tc>
        <w:tc>
          <w:tcPr>
            <w:tcW w:w="1840" w:type="dxa"/>
            <w:gridSpan w:val="2"/>
          </w:tcPr>
          <w:p w14:paraId="07CD8548">
            <w:pPr>
              <w:jc w:val="center"/>
            </w:pPr>
          </w:p>
        </w:tc>
        <w:tc>
          <w:tcPr>
            <w:tcW w:w="1497" w:type="dxa"/>
          </w:tcPr>
          <w:p w14:paraId="727EC27E">
            <w:pPr>
              <w:jc w:val="center"/>
            </w:pPr>
          </w:p>
        </w:tc>
      </w:tr>
      <w:tr w14:paraId="1728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664161C8">
            <w:pPr>
              <w:jc w:val="center"/>
            </w:pPr>
          </w:p>
        </w:tc>
        <w:tc>
          <w:tcPr>
            <w:tcW w:w="636" w:type="dxa"/>
          </w:tcPr>
          <w:p w14:paraId="755113EA">
            <w:pPr>
              <w:jc w:val="center"/>
            </w:pPr>
          </w:p>
        </w:tc>
        <w:tc>
          <w:tcPr>
            <w:tcW w:w="1397" w:type="dxa"/>
            <w:gridSpan w:val="2"/>
          </w:tcPr>
          <w:p w14:paraId="4275E52E">
            <w:pPr>
              <w:jc w:val="center"/>
            </w:pPr>
          </w:p>
        </w:tc>
        <w:tc>
          <w:tcPr>
            <w:tcW w:w="1045" w:type="dxa"/>
          </w:tcPr>
          <w:p w14:paraId="3FE5E237">
            <w:pPr>
              <w:jc w:val="center"/>
            </w:pPr>
          </w:p>
        </w:tc>
        <w:tc>
          <w:tcPr>
            <w:tcW w:w="1004" w:type="dxa"/>
          </w:tcPr>
          <w:p w14:paraId="71241CE9">
            <w:pPr>
              <w:jc w:val="center"/>
            </w:pPr>
          </w:p>
        </w:tc>
        <w:tc>
          <w:tcPr>
            <w:tcW w:w="1101" w:type="dxa"/>
            <w:gridSpan w:val="2"/>
          </w:tcPr>
          <w:p w14:paraId="11761B0C">
            <w:pPr>
              <w:jc w:val="center"/>
            </w:pPr>
          </w:p>
        </w:tc>
        <w:tc>
          <w:tcPr>
            <w:tcW w:w="1840" w:type="dxa"/>
            <w:gridSpan w:val="2"/>
          </w:tcPr>
          <w:p w14:paraId="7AF84D55">
            <w:pPr>
              <w:jc w:val="center"/>
            </w:pPr>
          </w:p>
        </w:tc>
        <w:tc>
          <w:tcPr>
            <w:tcW w:w="1497" w:type="dxa"/>
          </w:tcPr>
          <w:p w14:paraId="22BBBC01">
            <w:pPr>
              <w:jc w:val="center"/>
            </w:pPr>
          </w:p>
        </w:tc>
      </w:tr>
      <w:tr w14:paraId="4493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7B0F7176">
            <w:pPr>
              <w:jc w:val="center"/>
            </w:pPr>
          </w:p>
        </w:tc>
        <w:tc>
          <w:tcPr>
            <w:tcW w:w="636" w:type="dxa"/>
          </w:tcPr>
          <w:p w14:paraId="1A80C5D0">
            <w:pPr>
              <w:jc w:val="center"/>
            </w:pPr>
          </w:p>
        </w:tc>
        <w:tc>
          <w:tcPr>
            <w:tcW w:w="1397" w:type="dxa"/>
            <w:gridSpan w:val="2"/>
          </w:tcPr>
          <w:p w14:paraId="59317F79">
            <w:pPr>
              <w:jc w:val="center"/>
            </w:pPr>
          </w:p>
        </w:tc>
        <w:tc>
          <w:tcPr>
            <w:tcW w:w="1045" w:type="dxa"/>
          </w:tcPr>
          <w:p w14:paraId="5AF426AA">
            <w:pPr>
              <w:jc w:val="center"/>
            </w:pPr>
          </w:p>
        </w:tc>
        <w:tc>
          <w:tcPr>
            <w:tcW w:w="1004" w:type="dxa"/>
          </w:tcPr>
          <w:p w14:paraId="637C1C33">
            <w:pPr>
              <w:jc w:val="center"/>
            </w:pPr>
          </w:p>
        </w:tc>
        <w:tc>
          <w:tcPr>
            <w:tcW w:w="1101" w:type="dxa"/>
            <w:gridSpan w:val="2"/>
          </w:tcPr>
          <w:p w14:paraId="2B52C591">
            <w:pPr>
              <w:jc w:val="center"/>
            </w:pPr>
          </w:p>
        </w:tc>
        <w:tc>
          <w:tcPr>
            <w:tcW w:w="1840" w:type="dxa"/>
            <w:gridSpan w:val="2"/>
          </w:tcPr>
          <w:p w14:paraId="21721AE1">
            <w:pPr>
              <w:jc w:val="center"/>
            </w:pPr>
          </w:p>
        </w:tc>
        <w:tc>
          <w:tcPr>
            <w:tcW w:w="1497" w:type="dxa"/>
          </w:tcPr>
          <w:p w14:paraId="317DDCFE">
            <w:pPr>
              <w:jc w:val="center"/>
            </w:pPr>
          </w:p>
        </w:tc>
      </w:tr>
      <w:tr w14:paraId="564C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722E9A62">
            <w:pPr>
              <w:jc w:val="center"/>
            </w:pPr>
          </w:p>
        </w:tc>
        <w:tc>
          <w:tcPr>
            <w:tcW w:w="636" w:type="dxa"/>
          </w:tcPr>
          <w:p w14:paraId="00E59512">
            <w:pPr>
              <w:jc w:val="center"/>
            </w:pPr>
          </w:p>
        </w:tc>
        <w:tc>
          <w:tcPr>
            <w:tcW w:w="1397" w:type="dxa"/>
            <w:gridSpan w:val="2"/>
          </w:tcPr>
          <w:p w14:paraId="02948392">
            <w:pPr>
              <w:jc w:val="center"/>
            </w:pPr>
          </w:p>
        </w:tc>
        <w:tc>
          <w:tcPr>
            <w:tcW w:w="1045" w:type="dxa"/>
          </w:tcPr>
          <w:p w14:paraId="16883C14">
            <w:pPr>
              <w:jc w:val="center"/>
            </w:pPr>
          </w:p>
        </w:tc>
        <w:tc>
          <w:tcPr>
            <w:tcW w:w="1004" w:type="dxa"/>
          </w:tcPr>
          <w:p w14:paraId="0375878C">
            <w:pPr>
              <w:jc w:val="center"/>
            </w:pPr>
          </w:p>
        </w:tc>
        <w:tc>
          <w:tcPr>
            <w:tcW w:w="1101" w:type="dxa"/>
            <w:gridSpan w:val="2"/>
          </w:tcPr>
          <w:p w14:paraId="4EDDBA7F">
            <w:pPr>
              <w:jc w:val="center"/>
            </w:pPr>
          </w:p>
        </w:tc>
        <w:tc>
          <w:tcPr>
            <w:tcW w:w="1840" w:type="dxa"/>
            <w:gridSpan w:val="2"/>
          </w:tcPr>
          <w:p w14:paraId="2B4877E9">
            <w:pPr>
              <w:jc w:val="center"/>
            </w:pPr>
          </w:p>
        </w:tc>
        <w:tc>
          <w:tcPr>
            <w:tcW w:w="1497" w:type="dxa"/>
          </w:tcPr>
          <w:p w14:paraId="162CF8AB">
            <w:pPr>
              <w:jc w:val="center"/>
            </w:pPr>
          </w:p>
        </w:tc>
      </w:tr>
      <w:tr w14:paraId="11FA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E440D2F">
            <w:pPr>
              <w:jc w:val="center"/>
            </w:pPr>
          </w:p>
        </w:tc>
        <w:tc>
          <w:tcPr>
            <w:tcW w:w="636" w:type="dxa"/>
          </w:tcPr>
          <w:p w14:paraId="23BA9693">
            <w:pPr>
              <w:jc w:val="center"/>
            </w:pPr>
          </w:p>
        </w:tc>
        <w:tc>
          <w:tcPr>
            <w:tcW w:w="1397" w:type="dxa"/>
            <w:gridSpan w:val="2"/>
          </w:tcPr>
          <w:p w14:paraId="482F385A">
            <w:pPr>
              <w:jc w:val="center"/>
            </w:pPr>
          </w:p>
        </w:tc>
        <w:tc>
          <w:tcPr>
            <w:tcW w:w="1045" w:type="dxa"/>
          </w:tcPr>
          <w:p w14:paraId="5691C250">
            <w:pPr>
              <w:jc w:val="center"/>
            </w:pPr>
          </w:p>
        </w:tc>
        <w:tc>
          <w:tcPr>
            <w:tcW w:w="1004" w:type="dxa"/>
          </w:tcPr>
          <w:p w14:paraId="30D86D4D">
            <w:pPr>
              <w:jc w:val="center"/>
            </w:pPr>
          </w:p>
        </w:tc>
        <w:tc>
          <w:tcPr>
            <w:tcW w:w="1101" w:type="dxa"/>
            <w:gridSpan w:val="2"/>
          </w:tcPr>
          <w:p w14:paraId="79E5EE92">
            <w:pPr>
              <w:jc w:val="center"/>
            </w:pPr>
          </w:p>
        </w:tc>
        <w:tc>
          <w:tcPr>
            <w:tcW w:w="1840" w:type="dxa"/>
            <w:gridSpan w:val="2"/>
          </w:tcPr>
          <w:p w14:paraId="04FE61CF">
            <w:pPr>
              <w:jc w:val="center"/>
            </w:pPr>
          </w:p>
        </w:tc>
        <w:tc>
          <w:tcPr>
            <w:tcW w:w="1497" w:type="dxa"/>
          </w:tcPr>
          <w:p w14:paraId="2DFB04F6">
            <w:pPr>
              <w:jc w:val="center"/>
            </w:pPr>
          </w:p>
        </w:tc>
      </w:tr>
      <w:tr w14:paraId="366B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46F8C67">
            <w:pPr>
              <w:jc w:val="center"/>
            </w:pPr>
          </w:p>
        </w:tc>
        <w:tc>
          <w:tcPr>
            <w:tcW w:w="636" w:type="dxa"/>
          </w:tcPr>
          <w:p w14:paraId="066A1959">
            <w:pPr>
              <w:jc w:val="center"/>
            </w:pPr>
          </w:p>
        </w:tc>
        <w:tc>
          <w:tcPr>
            <w:tcW w:w="1397" w:type="dxa"/>
            <w:gridSpan w:val="2"/>
          </w:tcPr>
          <w:p w14:paraId="2F5B1B36">
            <w:pPr>
              <w:jc w:val="center"/>
            </w:pPr>
          </w:p>
        </w:tc>
        <w:tc>
          <w:tcPr>
            <w:tcW w:w="1045" w:type="dxa"/>
          </w:tcPr>
          <w:p w14:paraId="552FC314">
            <w:pPr>
              <w:jc w:val="center"/>
            </w:pPr>
          </w:p>
        </w:tc>
        <w:tc>
          <w:tcPr>
            <w:tcW w:w="1004" w:type="dxa"/>
          </w:tcPr>
          <w:p w14:paraId="245BB5A7">
            <w:pPr>
              <w:jc w:val="center"/>
            </w:pPr>
          </w:p>
        </w:tc>
        <w:tc>
          <w:tcPr>
            <w:tcW w:w="1101" w:type="dxa"/>
            <w:gridSpan w:val="2"/>
          </w:tcPr>
          <w:p w14:paraId="6D5483E8">
            <w:pPr>
              <w:jc w:val="center"/>
            </w:pPr>
          </w:p>
        </w:tc>
        <w:tc>
          <w:tcPr>
            <w:tcW w:w="1840" w:type="dxa"/>
            <w:gridSpan w:val="2"/>
          </w:tcPr>
          <w:p w14:paraId="5E555CFB">
            <w:pPr>
              <w:jc w:val="center"/>
            </w:pPr>
          </w:p>
        </w:tc>
        <w:tc>
          <w:tcPr>
            <w:tcW w:w="1497" w:type="dxa"/>
          </w:tcPr>
          <w:p w14:paraId="0BDCF336">
            <w:pPr>
              <w:jc w:val="center"/>
            </w:pPr>
          </w:p>
        </w:tc>
      </w:tr>
      <w:tr w14:paraId="11EA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Pr>
          <w:p w14:paraId="44C192F8">
            <w:pPr>
              <w:jc w:val="center"/>
            </w:pPr>
          </w:p>
        </w:tc>
        <w:tc>
          <w:tcPr>
            <w:tcW w:w="636" w:type="dxa"/>
          </w:tcPr>
          <w:p w14:paraId="51300684">
            <w:pPr>
              <w:jc w:val="center"/>
            </w:pPr>
          </w:p>
        </w:tc>
        <w:tc>
          <w:tcPr>
            <w:tcW w:w="1397" w:type="dxa"/>
            <w:gridSpan w:val="2"/>
          </w:tcPr>
          <w:p w14:paraId="3A76C84D">
            <w:pPr>
              <w:jc w:val="center"/>
            </w:pPr>
          </w:p>
        </w:tc>
        <w:tc>
          <w:tcPr>
            <w:tcW w:w="1045" w:type="dxa"/>
          </w:tcPr>
          <w:p w14:paraId="79EEFD59">
            <w:pPr>
              <w:jc w:val="center"/>
            </w:pPr>
          </w:p>
        </w:tc>
        <w:tc>
          <w:tcPr>
            <w:tcW w:w="1004" w:type="dxa"/>
          </w:tcPr>
          <w:p w14:paraId="607A3531">
            <w:pPr>
              <w:jc w:val="center"/>
            </w:pPr>
          </w:p>
        </w:tc>
        <w:tc>
          <w:tcPr>
            <w:tcW w:w="1101" w:type="dxa"/>
            <w:gridSpan w:val="2"/>
          </w:tcPr>
          <w:p w14:paraId="4B578E5D">
            <w:pPr>
              <w:jc w:val="center"/>
            </w:pPr>
          </w:p>
        </w:tc>
        <w:tc>
          <w:tcPr>
            <w:tcW w:w="1840" w:type="dxa"/>
            <w:gridSpan w:val="2"/>
          </w:tcPr>
          <w:p w14:paraId="78FD5F65">
            <w:pPr>
              <w:jc w:val="center"/>
            </w:pPr>
          </w:p>
        </w:tc>
        <w:tc>
          <w:tcPr>
            <w:tcW w:w="1497" w:type="dxa"/>
          </w:tcPr>
          <w:p w14:paraId="2B41AF30">
            <w:pPr>
              <w:jc w:val="center"/>
            </w:pPr>
          </w:p>
        </w:tc>
      </w:tr>
    </w:tbl>
    <w:p w14:paraId="6CD308FC">
      <w:r>
        <w:rPr>
          <w:rFonts w:hint="eastAsia"/>
        </w:rPr>
        <w:t xml:space="preserve">记录：          </w:t>
      </w:r>
      <w:r>
        <w:t xml:space="preserve">           </w:t>
      </w:r>
      <w:r>
        <w:rPr>
          <w:rFonts w:hint="eastAsia"/>
        </w:rPr>
        <w:t xml:space="preserve">校核：         </w:t>
      </w:r>
      <w:r>
        <w:t xml:space="preserve">            </w:t>
      </w:r>
      <w:r>
        <w:rPr>
          <w:rFonts w:hint="eastAsia"/>
        </w:rPr>
        <w:t xml:space="preserve">专业技术负责人：         </w:t>
      </w:r>
    </w:p>
    <w:p w14:paraId="770CA41A">
      <w:pPr>
        <w:pStyle w:val="2"/>
      </w:pPr>
      <w:r>
        <w:rPr>
          <w:rFonts w:hint="eastAsia"/>
        </w:rPr>
        <w:br w:type="page"/>
      </w:r>
      <w:bookmarkStart w:id="68" w:name="_Toc26676"/>
      <w:r>
        <w:t>附录</w:t>
      </w:r>
      <w:r>
        <w:rPr>
          <w:rFonts w:hint="eastAsia"/>
        </w:rPr>
        <w:t>G  钢板桩拔桩阻力</w:t>
      </w:r>
      <w:bookmarkEnd w:id="68"/>
    </w:p>
    <w:p w14:paraId="3B0083B0">
      <w:pPr>
        <w:rPr>
          <w:rFonts w:cs="宋体"/>
          <w:szCs w:val="24"/>
        </w:rPr>
      </w:pPr>
      <w:r>
        <w:rPr>
          <w:rFonts w:hint="eastAsia"/>
        </w:rPr>
        <w:t xml:space="preserve">G.0.1  </w:t>
      </w:r>
      <w:bookmarkStart w:id="69" w:name="_Hlk203036176"/>
      <w:r>
        <w:rPr>
          <w:rFonts w:cs="宋体"/>
          <w:szCs w:val="24"/>
        </w:rPr>
        <w:t>拔桩阻力</w:t>
      </w:r>
      <w:bookmarkEnd w:id="69"/>
      <w:r>
        <w:rPr>
          <w:rFonts w:cs="宋体"/>
          <w:szCs w:val="24"/>
        </w:rPr>
        <w:t>包括钢板桩与土体的吸附力</w:t>
      </w:r>
      <w:r>
        <w:rPr>
          <w:rFonts w:hint="eastAsia" w:cs="宋体"/>
          <w:szCs w:val="24"/>
        </w:rPr>
        <w:t>、</w:t>
      </w:r>
      <w:r>
        <w:rPr>
          <w:rFonts w:cs="宋体"/>
          <w:szCs w:val="24"/>
        </w:rPr>
        <w:t>钢板桩断面与土体的侧阻力</w:t>
      </w:r>
      <w:r>
        <w:rPr>
          <w:rFonts w:hint="eastAsia" w:cs="宋体"/>
          <w:szCs w:val="24"/>
        </w:rPr>
        <w:t>和钢板桩的自重</w:t>
      </w:r>
      <w:r>
        <w:rPr>
          <w:rFonts w:cs="宋体"/>
          <w:szCs w:val="24"/>
        </w:rPr>
        <w:t>，可按下式计算：</w:t>
      </w:r>
    </w:p>
    <w:p w14:paraId="1DC8D5B9">
      <w:pPr>
        <w:spacing w:line="240" w:lineRule="auto"/>
        <w:ind w:firstLine="2940" w:firstLineChars="1400"/>
        <w:rPr>
          <w:rFonts w:cs="宋体"/>
          <w:szCs w:val="24"/>
        </w:rPr>
      </w:pPr>
      <w:r>
        <w:rPr>
          <w:rFonts w:cs="宋体"/>
          <w:position w:val="-12"/>
          <w:szCs w:val="24"/>
        </w:rPr>
        <w:object>
          <v:shape id="_x0000_i1061" o:spt="75" type="#_x0000_t75" style="height:18pt;width:77.15pt;" o:ole="t" filled="f" o:preferrelative="t" stroked="f" coordsize="21600,21600">
            <v:path/>
            <v:fill on="f" focussize="0,0"/>
            <v:stroke on="f" joinstyle="miter"/>
            <v:imagedata r:id="rId103" o:title=""/>
            <o:lock v:ext="edit" aspectratio="f"/>
            <w10:wrap type="none"/>
            <w10:anchorlock/>
          </v:shape>
          <o:OLEObject Type="Embed" ProgID="Equation.DSMT4" ShapeID="_x0000_i1061" DrawAspect="Content" ObjectID="_1468075761" r:id="rId102">
            <o:LockedField>false</o:LockedField>
          </o:OLEObject>
        </w:object>
      </w:r>
      <w:r>
        <w:rPr>
          <w:rFonts w:hint="eastAsia" w:cs="宋体"/>
          <w:position w:val="-12"/>
          <w:szCs w:val="24"/>
        </w:rPr>
        <w:t xml:space="preserve">                          </w:t>
      </w:r>
      <w:r>
        <w:rPr>
          <w:rFonts w:cs="宋体"/>
          <w:szCs w:val="24"/>
        </w:rPr>
        <w:t>(</w:t>
      </w:r>
      <w:r>
        <w:rPr>
          <w:rFonts w:hint="eastAsia" w:cs="宋体"/>
          <w:szCs w:val="24"/>
        </w:rPr>
        <w:t>G</w:t>
      </w:r>
      <w:r>
        <w:rPr>
          <w:rFonts w:cs="宋体"/>
          <w:szCs w:val="24"/>
        </w:rPr>
        <w:t>.0.1-1)</w:t>
      </w:r>
    </w:p>
    <w:p w14:paraId="3CBBEB6E">
      <w:pPr>
        <w:spacing w:line="240" w:lineRule="auto"/>
        <w:ind w:left="210" w:leftChars="100" w:firstLine="2730" w:firstLineChars="1300"/>
        <w:rPr>
          <w:rFonts w:cs="宋体"/>
          <w:szCs w:val="24"/>
        </w:rPr>
      </w:pPr>
      <w:r>
        <w:rPr>
          <w:rFonts w:cs="宋体"/>
          <w:position w:val="-12"/>
          <w:szCs w:val="24"/>
        </w:rPr>
        <w:object>
          <v:shape id="_x0000_i1062" o:spt="75" type="#_x0000_t75" style="height:18pt;width:49.3pt;" o:ole="t" filled="f" o:preferrelative="t" stroked="f" coordsize="21600,21600">
            <v:path/>
            <v:fill on="f" focussize="0,0"/>
            <v:stroke on="f" joinstyle="miter"/>
            <v:imagedata r:id="rId105" o:title=""/>
            <o:lock v:ext="edit" aspectratio="f"/>
            <w10:wrap type="none"/>
            <w10:anchorlock/>
          </v:shape>
          <o:OLEObject Type="Embed" ProgID="Equation.DSMT4" ShapeID="_x0000_i1062" DrawAspect="Content" ObjectID="_1468075762" r:id="rId104">
            <o:LockedField>false</o:LockedField>
          </o:OLEObject>
        </w:object>
      </w:r>
      <w:r>
        <w:rPr>
          <w:rFonts w:hint="eastAsia" w:cs="宋体"/>
          <w:position w:val="-12"/>
          <w:szCs w:val="24"/>
        </w:rPr>
        <w:t xml:space="preserve">                                </w:t>
      </w:r>
      <w:r>
        <w:rPr>
          <w:rFonts w:cs="宋体"/>
          <w:szCs w:val="24"/>
        </w:rPr>
        <w:t>(</w:t>
      </w:r>
      <w:r>
        <w:rPr>
          <w:rFonts w:hint="eastAsia" w:cs="宋体"/>
          <w:szCs w:val="24"/>
        </w:rPr>
        <w:t>G</w:t>
      </w:r>
      <w:r>
        <w:rPr>
          <w:rFonts w:cs="宋体"/>
          <w:szCs w:val="24"/>
        </w:rPr>
        <w:t>.0.2-2)</w:t>
      </w:r>
    </w:p>
    <w:p w14:paraId="1043B0E8">
      <w:pPr>
        <w:spacing w:line="240" w:lineRule="auto"/>
        <w:ind w:left="210" w:leftChars="100" w:firstLine="2730" w:firstLineChars="1300"/>
        <w:rPr>
          <w:rFonts w:cs="宋体"/>
          <w:szCs w:val="24"/>
        </w:rPr>
      </w:pPr>
      <w:r>
        <w:rPr>
          <w:rFonts w:cs="宋体"/>
          <w:position w:val="-12"/>
          <w:szCs w:val="24"/>
        </w:rPr>
        <w:object>
          <v:shape id="_x0000_i1063" o:spt="75" type="#_x0000_t75" style="height:18pt;width:80.15pt;" o:ole="t" filled="f" o:preferrelative="t" stroked="f" coordsize="21600,21600">
            <v:path/>
            <v:fill on="f" focussize="0,0"/>
            <v:stroke on="f" joinstyle="miter"/>
            <v:imagedata r:id="rId107" o:title=""/>
            <o:lock v:ext="edit" aspectratio="f"/>
            <w10:wrap type="none"/>
            <w10:anchorlock/>
          </v:shape>
          <o:OLEObject Type="Embed" ProgID="Equation.DSMT4" ShapeID="_x0000_i1063" DrawAspect="Content" ObjectID="_1468075763" r:id="rId106">
            <o:LockedField>false</o:LockedField>
          </o:OLEObject>
        </w:object>
      </w:r>
      <w:r>
        <w:rPr>
          <w:rFonts w:hint="eastAsia" w:cs="宋体"/>
          <w:position w:val="-12"/>
          <w:szCs w:val="24"/>
        </w:rPr>
        <w:t xml:space="preserve">                          </w:t>
      </w:r>
      <w:r>
        <w:rPr>
          <w:rFonts w:cs="宋体"/>
          <w:szCs w:val="24"/>
        </w:rPr>
        <w:t>(</w:t>
      </w:r>
      <w:r>
        <w:rPr>
          <w:rFonts w:hint="eastAsia" w:cs="宋体"/>
          <w:szCs w:val="24"/>
        </w:rPr>
        <w:t>G</w:t>
      </w:r>
      <w:r>
        <w:rPr>
          <w:rFonts w:cs="宋体"/>
          <w:szCs w:val="24"/>
        </w:rPr>
        <w:t>.0.3-3)</w:t>
      </w:r>
    </w:p>
    <w:tbl>
      <w:tblPr>
        <w:tblStyle w:val="17"/>
        <w:tblW w:w="8528" w:type="dxa"/>
        <w:tblInd w:w="0" w:type="dxa"/>
        <w:tblLayout w:type="fixed"/>
        <w:tblCellMar>
          <w:top w:w="0" w:type="dxa"/>
          <w:left w:w="108" w:type="dxa"/>
          <w:bottom w:w="0" w:type="dxa"/>
          <w:right w:w="108" w:type="dxa"/>
        </w:tblCellMar>
      </w:tblPr>
      <w:tblGrid>
        <w:gridCol w:w="1533"/>
        <w:gridCol w:w="6995"/>
      </w:tblGrid>
      <w:tr w14:paraId="0236A110">
        <w:tblPrEx>
          <w:tblCellMar>
            <w:top w:w="0" w:type="dxa"/>
            <w:left w:w="108" w:type="dxa"/>
            <w:bottom w:w="0" w:type="dxa"/>
            <w:right w:w="108" w:type="dxa"/>
          </w:tblCellMar>
        </w:tblPrEx>
        <w:tc>
          <w:tcPr>
            <w:tcW w:w="1533" w:type="dxa"/>
          </w:tcPr>
          <w:p w14:paraId="0FE674DF">
            <w:pPr>
              <w:spacing w:line="300" w:lineRule="auto"/>
              <w:ind w:right="-108"/>
            </w:pPr>
            <w:r>
              <w:rPr>
                <w:rFonts w:hint="eastAsia"/>
                <w:kern w:val="0"/>
              </w:rPr>
              <w:t>式中：</w:t>
            </w:r>
            <w:r>
              <w:rPr>
                <w:rFonts w:hint="eastAsia"/>
                <w:i/>
                <w:kern w:val="0"/>
              </w:rPr>
              <w:t>F</w:t>
            </w:r>
            <w:r>
              <w:rPr>
                <w:rFonts w:hint="eastAsia"/>
                <w:i/>
                <w:kern w:val="0"/>
                <w:vertAlign w:val="subscript"/>
              </w:rPr>
              <w:t>e</w:t>
            </w:r>
            <w:r>
              <w:rPr>
                <w:rFonts w:hint="eastAsia"/>
                <w:i/>
                <w:kern w:val="0"/>
              </w:rPr>
              <w:t>—</w:t>
            </w:r>
          </w:p>
        </w:tc>
        <w:tc>
          <w:tcPr>
            <w:tcW w:w="6995" w:type="dxa"/>
            <w:vAlign w:val="center"/>
          </w:tcPr>
          <w:p w14:paraId="171E5885">
            <w:pPr>
              <w:snapToGrid w:val="0"/>
              <w:spacing w:line="300" w:lineRule="auto"/>
            </w:pPr>
            <w:r>
              <w:rPr>
                <w:rFonts w:cs="宋体"/>
                <w:szCs w:val="24"/>
              </w:rPr>
              <w:t>钢板桩与土体的吸附力</w:t>
            </w:r>
            <w:r>
              <w:rPr>
                <w:rFonts w:hint="eastAsia" w:cs="宋体"/>
                <w:szCs w:val="24"/>
              </w:rPr>
              <w:t>（</w:t>
            </w:r>
            <w:r>
              <w:rPr>
                <w:rFonts w:cs="宋体"/>
                <w:szCs w:val="24"/>
              </w:rPr>
              <w:t>kN</w:t>
            </w:r>
            <w:r>
              <w:rPr>
                <w:rFonts w:hint="eastAsia" w:cs="宋体"/>
                <w:szCs w:val="24"/>
              </w:rPr>
              <w:t>）；</w:t>
            </w:r>
          </w:p>
        </w:tc>
      </w:tr>
      <w:tr w14:paraId="0FA04F3B">
        <w:tblPrEx>
          <w:tblCellMar>
            <w:top w:w="0" w:type="dxa"/>
            <w:left w:w="108" w:type="dxa"/>
            <w:bottom w:w="0" w:type="dxa"/>
            <w:right w:w="108" w:type="dxa"/>
          </w:tblCellMar>
        </w:tblPrEx>
        <w:tc>
          <w:tcPr>
            <w:tcW w:w="1533" w:type="dxa"/>
          </w:tcPr>
          <w:p w14:paraId="04CDA5E1">
            <w:pPr>
              <w:spacing w:line="300" w:lineRule="auto"/>
              <w:ind w:right="-108"/>
              <w:jc w:val="center"/>
              <w:rPr>
                <w:i/>
              </w:rPr>
            </w:pPr>
            <w:r>
              <w:rPr>
                <w:rFonts w:hint="eastAsia"/>
                <w:i/>
                <w:kern w:val="0"/>
              </w:rPr>
              <w:t xml:space="preserve">  F</w:t>
            </w:r>
            <w:r>
              <w:rPr>
                <w:rFonts w:hint="eastAsia"/>
                <w:i/>
                <w:kern w:val="0"/>
                <w:vertAlign w:val="subscript"/>
              </w:rPr>
              <w:t>s</w:t>
            </w:r>
            <w:r>
              <w:rPr>
                <w:rFonts w:hint="eastAsia"/>
              </w:rPr>
              <w:t>—</w:t>
            </w:r>
          </w:p>
        </w:tc>
        <w:tc>
          <w:tcPr>
            <w:tcW w:w="6995" w:type="dxa"/>
            <w:vAlign w:val="center"/>
          </w:tcPr>
          <w:p w14:paraId="60614BA8">
            <w:pPr>
              <w:snapToGrid w:val="0"/>
              <w:spacing w:line="300" w:lineRule="auto"/>
            </w:pPr>
            <w:r>
              <w:rPr>
                <w:rFonts w:cs="宋体"/>
                <w:szCs w:val="24"/>
              </w:rPr>
              <w:t>钢板桩断面与土体的侧阻力</w:t>
            </w:r>
            <w:r>
              <w:rPr>
                <w:rFonts w:hint="eastAsia" w:cs="宋体"/>
                <w:szCs w:val="24"/>
              </w:rPr>
              <w:t>（</w:t>
            </w:r>
            <w:r>
              <w:rPr>
                <w:rFonts w:cs="宋体"/>
                <w:szCs w:val="24"/>
              </w:rPr>
              <w:t>kN</w:t>
            </w:r>
            <w:r>
              <w:rPr>
                <w:rFonts w:hint="eastAsia" w:cs="宋体"/>
                <w:szCs w:val="24"/>
              </w:rPr>
              <w:t>）</w:t>
            </w:r>
            <w:r>
              <w:rPr>
                <w:rFonts w:hint="eastAsia"/>
                <w:kern w:val="0"/>
              </w:rPr>
              <w:t>；</w:t>
            </w:r>
          </w:p>
        </w:tc>
      </w:tr>
      <w:tr w14:paraId="08310892">
        <w:tblPrEx>
          <w:tblCellMar>
            <w:top w:w="0" w:type="dxa"/>
            <w:left w:w="108" w:type="dxa"/>
            <w:bottom w:w="0" w:type="dxa"/>
            <w:right w:w="108" w:type="dxa"/>
          </w:tblCellMar>
        </w:tblPrEx>
        <w:tc>
          <w:tcPr>
            <w:tcW w:w="1533" w:type="dxa"/>
          </w:tcPr>
          <w:p w14:paraId="140C4182">
            <w:pPr>
              <w:spacing w:line="300" w:lineRule="auto"/>
              <w:ind w:right="-108"/>
              <w:jc w:val="center"/>
              <w:rPr>
                <w:i/>
              </w:rPr>
            </w:pPr>
            <w:r>
              <w:rPr>
                <w:rFonts w:hint="eastAsia"/>
                <w:i/>
                <w:kern w:val="0"/>
              </w:rPr>
              <w:t xml:space="preserve">  G</w:t>
            </w:r>
            <w:r>
              <w:rPr>
                <w:rFonts w:hint="eastAsia"/>
              </w:rPr>
              <w:t>—</w:t>
            </w:r>
          </w:p>
        </w:tc>
        <w:tc>
          <w:tcPr>
            <w:tcW w:w="6995" w:type="dxa"/>
            <w:vAlign w:val="center"/>
          </w:tcPr>
          <w:p w14:paraId="3539DF1C">
            <w:pPr>
              <w:snapToGrid w:val="0"/>
              <w:spacing w:line="300" w:lineRule="auto"/>
            </w:pPr>
            <w:r>
              <w:rPr>
                <w:rFonts w:hint="eastAsia" w:ascii="宋体" w:hAnsi="宋体" w:cs="宋体"/>
                <w:kern w:val="0"/>
              </w:rPr>
              <w:t>钢板桩自重</w:t>
            </w:r>
            <w:r>
              <w:rPr>
                <w:rFonts w:hint="eastAsia" w:cs="宋体"/>
                <w:szCs w:val="24"/>
              </w:rPr>
              <w:t>（</w:t>
            </w:r>
            <w:r>
              <w:rPr>
                <w:rFonts w:cs="宋体"/>
                <w:szCs w:val="24"/>
              </w:rPr>
              <w:t>kN</w:t>
            </w:r>
            <w:r>
              <w:rPr>
                <w:rFonts w:hint="eastAsia" w:cs="宋体"/>
                <w:szCs w:val="24"/>
              </w:rPr>
              <w:t>）</w:t>
            </w:r>
            <w:r>
              <w:rPr>
                <w:rFonts w:hint="eastAsia" w:ascii="宋体" w:hAnsi="宋体" w:cs="宋体"/>
                <w:kern w:val="0"/>
              </w:rPr>
              <w:t>；</w:t>
            </w:r>
          </w:p>
        </w:tc>
      </w:tr>
      <w:tr w14:paraId="3AB2ED39">
        <w:tblPrEx>
          <w:tblCellMar>
            <w:top w:w="0" w:type="dxa"/>
            <w:left w:w="108" w:type="dxa"/>
            <w:bottom w:w="0" w:type="dxa"/>
            <w:right w:w="108" w:type="dxa"/>
          </w:tblCellMar>
        </w:tblPrEx>
        <w:tc>
          <w:tcPr>
            <w:tcW w:w="1533" w:type="dxa"/>
          </w:tcPr>
          <w:p w14:paraId="5C2282E2">
            <w:pPr>
              <w:spacing w:line="300" w:lineRule="auto"/>
              <w:ind w:right="-108"/>
              <w:jc w:val="center"/>
              <w:rPr>
                <w:i/>
                <w:kern w:val="0"/>
              </w:rPr>
            </w:pPr>
            <w:r>
              <w:rPr>
                <w:rFonts w:hint="eastAsia"/>
                <w:i/>
                <w:kern w:val="0"/>
              </w:rPr>
              <w:t xml:space="preserve">  U</w:t>
            </w:r>
            <w:r>
              <w:rPr>
                <w:rFonts w:hint="eastAsia"/>
              </w:rPr>
              <w:t>—</w:t>
            </w:r>
          </w:p>
        </w:tc>
        <w:tc>
          <w:tcPr>
            <w:tcW w:w="6995" w:type="dxa"/>
            <w:vAlign w:val="center"/>
          </w:tcPr>
          <w:p w14:paraId="3303FAA2">
            <w:pPr>
              <w:snapToGrid w:val="0"/>
              <w:spacing w:line="300" w:lineRule="auto"/>
              <w:rPr>
                <w:kern w:val="0"/>
              </w:rPr>
            </w:pPr>
            <w:r>
              <w:rPr>
                <w:rFonts w:cs="宋体"/>
                <w:szCs w:val="24"/>
              </w:rPr>
              <w:t>钢板桩的周长</w:t>
            </w:r>
            <w:r>
              <w:rPr>
                <w:rFonts w:hint="eastAsia" w:cs="宋体"/>
                <w:szCs w:val="24"/>
              </w:rPr>
              <w:t>（m）</w:t>
            </w:r>
            <w:r>
              <w:rPr>
                <w:rFonts w:hint="eastAsia"/>
                <w:kern w:val="0"/>
              </w:rPr>
              <w:t>；</w:t>
            </w:r>
          </w:p>
        </w:tc>
      </w:tr>
      <w:tr w14:paraId="2C666242">
        <w:tblPrEx>
          <w:tblCellMar>
            <w:top w:w="0" w:type="dxa"/>
            <w:left w:w="108" w:type="dxa"/>
            <w:bottom w:w="0" w:type="dxa"/>
            <w:right w:w="108" w:type="dxa"/>
          </w:tblCellMar>
        </w:tblPrEx>
        <w:tc>
          <w:tcPr>
            <w:tcW w:w="1533" w:type="dxa"/>
          </w:tcPr>
          <w:p w14:paraId="7D436B69">
            <w:pPr>
              <w:spacing w:line="300" w:lineRule="auto"/>
              <w:ind w:right="-108"/>
              <w:jc w:val="center"/>
              <w:rPr>
                <w:i/>
                <w:kern w:val="0"/>
              </w:rPr>
            </w:pPr>
            <w:r>
              <w:rPr>
                <w:rFonts w:hint="eastAsia"/>
                <w:i/>
                <w:kern w:val="0"/>
              </w:rPr>
              <w:t xml:space="preserve">  L</w:t>
            </w:r>
            <w:r>
              <w:rPr>
                <w:rFonts w:hint="eastAsia"/>
                <w:i/>
                <w:kern w:val="0"/>
                <w:vertAlign w:val="subscript"/>
              </w:rPr>
              <w:t>1</w:t>
            </w:r>
            <w:r>
              <w:rPr>
                <w:rFonts w:hint="eastAsia"/>
              </w:rPr>
              <w:t>—</w:t>
            </w:r>
          </w:p>
        </w:tc>
        <w:tc>
          <w:tcPr>
            <w:tcW w:w="6995" w:type="dxa"/>
            <w:vAlign w:val="center"/>
          </w:tcPr>
          <w:p w14:paraId="1E7C94D5">
            <w:pPr>
              <w:snapToGrid w:val="0"/>
              <w:spacing w:line="300" w:lineRule="auto"/>
              <w:rPr>
                <w:rFonts w:cs="宋体"/>
                <w:szCs w:val="24"/>
              </w:rPr>
            </w:pPr>
            <w:r>
              <w:rPr>
                <w:rFonts w:cs="宋体"/>
                <w:szCs w:val="24"/>
              </w:rPr>
              <w:t>钢板桩的</w:t>
            </w:r>
            <w:r>
              <w:rPr>
                <w:rFonts w:hint="eastAsia" w:cs="宋体"/>
                <w:szCs w:val="24"/>
              </w:rPr>
              <w:t>长度（m）</w:t>
            </w:r>
            <w:r>
              <w:rPr>
                <w:rFonts w:hint="eastAsia"/>
                <w:kern w:val="0"/>
              </w:rPr>
              <w:t>；</w:t>
            </w:r>
          </w:p>
        </w:tc>
      </w:tr>
      <w:tr w14:paraId="5586C054">
        <w:tblPrEx>
          <w:tblCellMar>
            <w:top w:w="0" w:type="dxa"/>
            <w:left w:w="108" w:type="dxa"/>
            <w:bottom w:w="0" w:type="dxa"/>
            <w:right w:w="108" w:type="dxa"/>
          </w:tblCellMar>
        </w:tblPrEx>
        <w:tc>
          <w:tcPr>
            <w:tcW w:w="1533" w:type="dxa"/>
          </w:tcPr>
          <w:p w14:paraId="6ED43E43">
            <w:pPr>
              <w:spacing w:line="300" w:lineRule="auto"/>
              <w:ind w:right="-108"/>
              <w:jc w:val="center"/>
              <w:rPr>
                <w:i/>
                <w:kern w:val="0"/>
              </w:rPr>
            </w:pPr>
            <w:r>
              <w:rPr>
                <w:rFonts w:hint="eastAsia"/>
                <w:i/>
                <w:kern w:val="0"/>
              </w:rPr>
              <w:t xml:space="preserve">  </w:t>
            </w:r>
            <w:r>
              <w:rPr>
                <w:i/>
                <w:kern w:val="0"/>
              </w:rPr>
              <w:t>τ</w:t>
            </w:r>
            <w:r>
              <w:rPr>
                <w:rFonts w:hint="eastAsia"/>
                <w:kern w:val="0"/>
              </w:rPr>
              <w:t>—</w:t>
            </w:r>
          </w:p>
        </w:tc>
        <w:tc>
          <w:tcPr>
            <w:tcW w:w="6995" w:type="dxa"/>
            <w:vAlign w:val="center"/>
          </w:tcPr>
          <w:p w14:paraId="5F658AB2">
            <w:pPr>
              <w:snapToGrid w:val="0"/>
              <w:spacing w:line="300" w:lineRule="auto"/>
              <w:rPr>
                <w:kern w:val="0"/>
              </w:rPr>
            </w:pPr>
            <w:r>
              <w:rPr>
                <w:rFonts w:cs="宋体"/>
                <w:szCs w:val="24"/>
              </w:rPr>
              <w:t>钢板桩与各土层吸附力在桩长</w:t>
            </w:r>
            <w:r>
              <w:rPr>
                <w:rFonts w:hint="eastAsia" w:cs="宋体"/>
                <w:szCs w:val="24"/>
              </w:rPr>
              <w:t>L</w:t>
            </w:r>
            <w:r>
              <w:rPr>
                <w:rFonts w:hint="eastAsia" w:cs="宋体"/>
                <w:szCs w:val="24"/>
                <w:vertAlign w:val="subscript"/>
              </w:rPr>
              <w:t>1</w:t>
            </w:r>
            <w:r>
              <w:rPr>
                <w:rFonts w:cs="宋体"/>
                <w:szCs w:val="24"/>
              </w:rPr>
              <w:t>范围内按土层厚度的加权平均值</w:t>
            </w:r>
            <w:r>
              <w:rPr>
                <w:rFonts w:hint="eastAsia" w:cs="宋体"/>
                <w:szCs w:val="24"/>
              </w:rPr>
              <w:t>（</w:t>
            </w:r>
            <w:r>
              <w:rPr>
                <w:rFonts w:cs="宋体"/>
                <w:szCs w:val="24"/>
              </w:rPr>
              <w:t>kN/m</w:t>
            </w:r>
            <w:r>
              <w:rPr>
                <w:rFonts w:cs="宋体"/>
                <w:szCs w:val="24"/>
                <w:vertAlign w:val="superscript"/>
              </w:rPr>
              <w:t>2</w:t>
            </w:r>
            <w:r>
              <w:rPr>
                <w:rFonts w:hint="eastAsia" w:cs="宋体"/>
                <w:szCs w:val="24"/>
              </w:rPr>
              <w:t>）</w:t>
            </w:r>
            <w:r>
              <w:rPr>
                <w:rFonts w:cs="宋体"/>
                <w:szCs w:val="24"/>
              </w:rPr>
              <w:t>。对于静压拔桩取静吸附力，对于振动拔桩取动吸附力，具体取值参数见表G.0.1-1</w:t>
            </w:r>
            <w:r>
              <w:rPr>
                <w:rFonts w:hint="eastAsia"/>
                <w:kern w:val="0"/>
              </w:rPr>
              <w:t>；</w:t>
            </w:r>
          </w:p>
        </w:tc>
      </w:tr>
      <w:tr w14:paraId="3C91EE9A">
        <w:tblPrEx>
          <w:tblCellMar>
            <w:top w:w="0" w:type="dxa"/>
            <w:left w:w="108" w:type="dxa"/>
            <w:bottom w:w="0" w:type="dxa"/>
            <w:right w:w="108" w:type="dxa"/>
          </w:tblCellMar>
        </w:tblPrEx>
        <w:tc>
          <w:tcPr>
            <w:tcW w:w="1533" w:type="dxa"/>
          </w:tcPr>
          <w:p w14:paraId="2D8D4569">
            <w:pPr>
              <w:spacing w:line="300" w:lineRule="auto"/>
              <w:ind w:right="-108"/>
              <w:jc w:val="center"/>
              <w:rPr>
                <w:i/>
                <w:kern w:val="0"/>
              </w:rPr>
            </w:pPr>
            <w:r>
              <w:rPr>
                <w:rFonts w:hint="eastAsia"/>
                <w:i/>
                <w:kern w:val="0"/>
              </w:rPr>
              <w:t xml:space="preserve">  E</w:t>
            </w:r>
            <w:r>
              <w:rPr>
                <w:rFonts w:hint="eastAsia"/>
                <w:i/>
                <w:kern w:val="0"/>
                <w:vertAlign w:val="subscript"/>
              </w:rPr>
              <w:t>a</w:t>
            </w:r>
            <w:r>
              <w:rPr>
                <w:rFonts w:hint="eastAsia"/>
              </w:rPr>
              <w:t>—</w:t>
            </w:r>
          </w:p>
        </w:tc>
        <w:tc>
          <w:tcPr>
            <w:tcW w:w="6995" w:type="dxa"/>
            <w:vAlign w:val="center"/>
          </w:tcPr>
          <w:p w14:paraId="1FACA064">
            <w:pPr>
              <w:snapToGrid w:val="0"/>
              <w:spacing w:line="300" w:lineRule="auto"/>
              <w:rPr>
                <w:rFonts w:cs="宋体"/>
                <w:szCs w:val="24"/>
              </w:rPr>
            </w:pPr>
            <w:r>
              <w:rPr>
                <w:rFonts w:cs="宋体"/>
                <w:szCs w:val="24"/>
              </w:rPr>
              <w:t>作用在钢板桩上的主动土压力强度</w:t>
            </w:r>
            <w:r>
              <w:rPr>
                <w:rFonts w:hint="eastAsia" w:cs="宋体"/>
                <w:szCs w:val="24"/>
              </w:rPr>
              <w:t>（</w:t>
            </w:r>
            <w:r>
              <w:rPr>
                <w:rFonts w:cs="宋体"/>
                <w:szCs w:val="24"/>
              </w:rPr>
              <w:t>kN/m</w:t>
            </w:r>
            <w:r>
              <w:rPr>
                <w:rFonts w:cs="宋体"/>
                <w:szCs w:val="24"/>
                <w:vertAlign w:val="superscript"/>
              </w:rPr>
              <w:t>2</w:t>
            </w:r>
            <w:r>
              <w:rPr>
                <w:rFonts w:hint="eastAsia" w:cs="宋体"/>
                <w:szCs w:val="24"/>
              </w:rPr>
              <w:t>）</w:t>
            </w:r>
            <w:r>
              <w:rPr>
                <w:rFonts w:cs="宋体"/>
                <w:szCs w:val="24"/>
              </w:rPr>
              <w:t>，按</w:t>
            </w:r>
            <w:r>
              <w:rPr>
                <w:rFonts w:cs="宋体"/>
                <w:i/>
                <w:iCs/>
                <w:szCs w:val="24"/>
              </w:rPr>
              <w:t>H</w:t>
            </w:r>
            <w:r>
              <w:rPr>
                <w:rFonts w:cs="宋体"/>
                <w:szCs w:val="24"/>
              </w:rPr>
              <w:t>范围内土层厚度的加权平均值</w:t>
            </w:r>
            <w:r>
              <w:rPr>
                <w:rFonts w:hint="eastAsia"/>
                <w:kern w:val="0"/>
              </w:rPr>
              <w:t>；</w:t>
            </w:r>
          </w:p>
        </w:tc>
      </w:tr>
      <w:tr w14:paraId="29ADFDF6">
        <w:tblPrEx>
          <w:tblCellMar>
            <w:top w:w="0" w:type="dxa"/>
            <w:left w:w="108" w:type="dxa"/>
            <w:bottom w:w="0" w:type="dxa"/>
            <w:right w:w="108" w:type="dxa"/>
          </w:tblCellMar>
        </w:tblPrEx>
        <w:tc>
          <w:tcPr>
            <w:tcW w:w="1533" w:type="dxa"/>
          </w:tcPr>
          <w:p w14:paraId="457B4E5B">
            <w:pPr>
              <w:spacing w:line="300" w:lineRule="auto"/>
              <w:ind w:right="-108"/>
              <w:jc w:val="center"/>
              <w:rPr>
                <w:i/>
                <w:kern w:val="0"/>
              </w:rPr>
            </w:pPr>
            <w:r>
              <w:rPr>
                <w:rFonts w:hint="eastAsia"/>
                <w:i/>
                <w:kern w:val="0"/>
              </w:rPr>
              <w:t xml:space="preserve">  W</w:t>
            </w:r>
            <w:r>
              <w:rPr>
                <w:rFonts w:hint="eastAsia"/>
              </w:rPr>
              <w:t>—</w:t>
            </w:r>
          </w:p>
        </w:tc>
        <w:tc>
          <w:tcPr>
            <w:tcW w:w="6995" w:type="dxa"/>
            <w:vAlign w:val="center"/>
          </w:tcPr>
          <w:p w14:paraId="2679CCAE">
            <w:pPr>
              <w:snapToGrid w:val="0"/>
              <w:spacing w:line="300" w:lineRule="auto"/>
              <w:rPr>
                <w:rFonts w:cs="宋体"/>
                <w:szCs w:val="24"/>
              </w:rPr>
            </w:pPr>
            <w:r>
              <w:rPr>
                <w:rFonts w:cs="宋体"/>
                <w:szCs w:val="24"/>
              </w:rPr>
              <w:t>钢板桩的截面宽度</w:t>
            </w:r>
            <w:r>
              <w:rPr>
                <w:rFonts w:hint="eastAsia" w:cs="宋体"/>
                <w:szCs w:val="24"/>
              </w:rPr>
              <w:t>（m）</w:t>
            </w:r>
            <w:r>
              <w:rPr>
                <w:rFonts w:hint="eastAsia" w:ascii="宋体" w:hAnsi="宋体" w:cs="宋体"/>
                <w:kern w:val="0"/>
              </w:rPr>
              <w:t>；</w:t>
            </w:r>
          </w:p>
        </w:tc>
      </w:tr>
      <w:tr w14:paraId="473E32D8">
        <w:tblPrEx>
          <w:tblCellMar>
            <w:top w:w="0" w:type="dxa"/>
            <w:left w:w="108" w:type="dxa"/>
            <w:bottom w:w="0" w:type="dxa"/>
            <w:right w:w="108" w:type="dxa"/>
          </w:tblCellMar>
        </w:tblPrEx>
        <w:tc>
          <w:tcPr>
            <w:tcW w:w="1533" w:type="dxa"/>
          </w:tcPr>
          <w:p w14:paraId="12F49C8A">
            <w:pPr>
              <w:spacing w:line="300" w:lineRule="auto"/>
              <w:ind w:right="-108"/>
              <w:jc w:val="center"/>
              <w:rPr>
                <w:i/>
                <w:kern w:val="0"/>
              </w:rPr>
            </w:pPr>
            <w:r>
              <w:rPr>
                <w:rFonts w:hint="eastAsia"/>
                <w:i/>
                <w:kern w:val="0"/>
              </w:rPr>
              <w:t xml:space="preserve">  </w:t>
            </w:r>
            <w:r>
              <w:rPr>
                <w:i/>
                <w:kern w:val="0"/>
              </w:rPr>
              <w:t>H</w:t>
            </w:r>
            <w:r>
              <w:rPr>
                <w:rFonts w:hint="eastAsia"/>
              </w:rPr>
              <w:t>—</w:t>
            </w:r>
          </w:p>
        </w:tc>
        <w:tc>
          <w:tcPr>
            <w:tcW w:w="6995" w:type="dxa"/>
            <w:vAlign w:val="center"/>
          </w:tcPr>
          <w:p w14:paraId="4D260943">
            <w:pPr>
              <w:snapToGrid w:val="0"/>
              <w:spacing w:line="300" w:lineRule="auto"/>
              <w:rPr>
                <w:rFonts w:cs="宋体"/>
                <w:szCs w:val="24"/>
              </w:rPr>
            </w:pPr>
            <w:r>
              <w:rPr>
                <w:rFonts w:hint="eastAsia" w:cs="宋体"/>
                <w:szCs w:val="24"/>
              </w:rPr>
              <w:t>支护高度（m）</w:t>
            </w:r>
            <w:r>
              <w:rPr>
                <w:rFonts w:hint="eastAsia"/>
                <w:kern w:val="0"/>
              </w:rPr>
              <w:t>；</w:t>
            </w:r>
          </w:p>
        </w:tc>
      </w:tr>
      <w:tr w14:paraId="0CEE63A9">
        <w:tblPrEx>
          <w:tblCellMar>
            <w:top w:w="0" w:type="dxa"/>
            <w:left w:w="108" w:type="dxa"/>
            <w:bottom w:w="0" w:type="dxa"/>
            <w:right w:w="108" w:type="dxa"/>
          </w:tblCellMar>
        </w:tblPrEx>
        <w:tc>
          <w:tcPr>
            <w:tcW w:w="1533" w:type="dxa"/>
          </w:tcPr>
          <w:p w14:paraId="38316AB3">
            <w:pPr>
              <w:spacing w:line="300" w:lineRule="auto"/>
              <w:ind w:right="-108"/>
              <w:jc w:val="center"/>
              <w:rPr>
                <w:rFonts w:ascii="宋体" w:hAnsi="宋体" w:cs="宋体"/>
                <w:i/>
                <w:kern w:val="0"/>
              </w:rPr>
            </w:pPr>
            <w:r>
              <w:rPr>
                <w:rFonts w:hint="eastAsia" w:ascii="宋体" w:hAnsi="宋体" w:cs="宋体"/>
                <w:i/>
                <w:kern w:val="0"/>
              </w:rPr>
              <w:t>μ</w:t>
            </w:r>
          </w:p>
        </w:tc>
        <w:tc>
          <w:tcPr>
            <w:tcW w:w="6995" w:type="dxa"/>
            <w:vAlign w:val="center"/>
          </w:tcPr>
          <w:p w14:paraId="5AD733E3">
            <w:pPr>
              <w:snapToGrid w:val="0"/>
              <w:spacing w:line="300" w:lineRule="auto"/>
              <w:rPr>
                <w:rFonts w:cs="宋体"/>
                <w:szCs w:val="24"/>
              </w:rPr>
            </w:pPr>
            <w:r>
              <w:rPr>
                <w:rFonts w:cs="宋体"/>
                <w:szCs w:val="24"/>
              </w:rPr>
              <w:t>钢板桩与土的摩阻力系数，取0.30~0.40。</w:t>
            </w:r>
          </w:p>
        </w:tc>
      </w:tr>
    </w:tbl>
    <w:p w14:paraId="3071F5DB">
      <w:pPr>
        <w:spacing w:line="240" w:lineRule="auto"/>
        <w:jc w:val="left"/>
        <w:rPr>
          <w:rFonts w:cs="宋体"/>
          <w:szCs w:val="24"/>
        </w:rPr>
      </w:pPr>
    </w:p>
    <w:p w14:paraId="1EF19386">
      <w:pPr>
        <w:jc w:val="center"/>
      </w:pPr>
      <w:r>
        <w:rPr>
          <w:rFonts w:hint="eastAsia"/>
        </w:rPr>
        <w:t>表G.0.1-1  钢板桩与不同土层的吸附力</w:t>
      </w:r>
      <w:r>
        <w:rPr>
          <w:i/>
          <w:kern w:val="0"/>
        </w:rPr>
        <w:t>τ</w:t>
      </w:r>
      <w:r>
        <w:rPr>
          <w:rFonts w:hint="eastAsia"/>
          <w:iCs/>
          <w:kern w:val="0"/>
        </w:rPr>
        <w:t>（单位：</w:t>
      </w:r>
      <w:r>
        <w:rPr>
          <w:rFonts w:cs="宋体"/>
          <w:szCs w:val="24"/>
        </w:rPr>
        <w:t>kN/m</w:t>
      </w:r>
      <w:r>
        <w:rPr>
          <w:rFonts w:cs="宋体"/>
          <w:szCs w:val="24"/>
          <w:vertAlign w:val="superscript"/>
        </w:rPr>
        <w:t>2</w:t>
      </w:r>
      <w:r>
        <w:rPr>
          <w:rFonts w:hint="eastAsia"/>
          <w:iCs/>
          <w:kern w:val="0"/>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935"/>
        <w:gridCol w:w="2050"/>
        <w:gridCol w:w="2407"/>
      </w:tblGrid>
      <w:tr w14:paraId="2C68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4B541AA">
            <w:pPr>
              <w:jc w:val="center"/>
            </w:pPr>
            <w:r>
              <w:rPr>
                <w:rFonts w:hint="eastAsia"/>
              </w:rPr>
              <w:t>土质</w:t>
            </w:r>
          </w:p>
        </w:tc>
        <w:tc>
          <w:tcPr>
            <w:tcW w:w="1935" w:type="dxa"/>
          </w:tcPr>
          <w:p w14:paraId="28A4E343">
            <w:pPr>
              <w:jc w:val="center"/>
            </w:pPr>
            <w:r>
              <w:rPr>
                <w:rFonts w:cs="宋体"/>
                <w:szCs w:val="24"/>
              </w:rPr>
              <w:t>静吸附力</w:t>
            </w:r>
          </w:p>
        </w:tc>
        <w:tc>
          <w:tcPr>
            <w:tcW w:w="2050" w:type="dxa"/>
          </w:tcPr>
          <w:p w14:paraId="58AF4646">
            <w:pPr>
              <w:jc w:val="center"/>
            </w:pPr>
            <w:r>
              <w:rPr>
                <w:rFonts w:cs="宋体"/>
                <w:szCs w:val="24"/>
              </w:rPr>
              <w:t>动吸附力</w:t>
            </w:r>
          </w:p>
        </w:tc>
        <w:tc>
          <w:tcPr>
            <w:tcW w:w="2407" w:type="dxa"/>
          </w:tcPr>
          <w:p w14:paraId="5727C977">
            <w:pPr>
              <w:jc w:val="center"/>
            </w:pPr>
            <w:r>
              <w:rPr>
                <w:rFonts w:cs="宋体"/>
                <w:szCs w:val="24"/>
              </w:rPr>
              <w:t>动吸附力</w:t>
            </w:r>
            <w:r>
              <w:rPr>
                <w:rFonts w:hint="eastAsia" w:cs="宋体"/>
                <w:szCs w:val="24"/>
              </w:rPr>
              <w:t>（含水量少时）</w:t>
            </w:r>
          </w:p>
        </w:tc>
      </w:tr>
      <w:tr w14:paraId="6460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7948AED">
            <w:pPr>
              <w:jc w:val="center"/>
            </w:pPr>
            <w:r>
              <w:rPr>
                <w:rFonts w:hint="eastAsia"/>
              </w:rPr>
              <w:t>粗砂、砾砂</w:t>
            </w:r>
          </w:p>
        </w:tc>
        <w:tc>
          <w:tcPr>
            <w:tcW w:w="1935" w:type="dxa"/>
          </w:tcPr>
          <w:p w14:paraId="28A2894E">
            <w:pPr>
              <w:jc w:val="center"/>
            </w:pPr>
            <w:r>
              <w:rPr>
                <w:rFonts w:hint="eastAsia"/>
              </w:rPr>
              <w:t>34</w:t>
            </w:r>
          </w:p>
        </w:tc>
        <w:tc>
          <w:tcPr>
            <w:tcW w:w="2050" w:type="dxa"/>
          </w:tcPr>
          <w:p w14:paraId="7E7A3BB1">
            <w:pPr>
              <w:jc w:val="center"/>
            </w:pPr>
            <w:r>
              <w:rPr>
                <w:rFonts w:hint="eastAsia"/>
              </w:rPr>
              <w:t>2.5</w:t>
            </w:r>
          </w:p>
        </w:tc>
        <w:tc>
          <w:tcPr>
            <w:tcW w:w="2407" w:type="dxa"/>
          </w:tcPr>
          <w:p w14:paraId="3250E4A5">
            <w:pPr>
              <w:jc w:val="center"/>
            </w:pPr>
            <w:r>
              <w:rPr>
                <w:rFonts w:hint="eastAsia"/>
              </w:rPr>
              <w:t>5.0</w:t>
            </w:r>
          </w:p>
        </w:tc>
      </w:tr>
      <w:tr w14:paraId="18C8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1073A80">
            <w:pPr>
              <w:jc w:val="center"/>
            </w:pPr>
            <w:r>
              <w:rPr>
                <w:rFonts w:hint="eastAsia"/>
              </w:rPr>
              <w:t>中砂</w:t>
            </w:r>
            <w:r>
              <w:rPr>
                <w:rFonts w:hint="eastAsia" w:cs="宋体"/>
                <w:szCs w:val="24"/>
              </w:rPr>
              <w:t>（含水）</w:t>
            </w:r>
          </w:p>
        </w:tc>
        <w:tc>
          <w:tcPr>
            <w:tcW w:w="1935" w:type="dxa"/>
          </w:tcPr>
          <w:p w14:paraId="6D5C2547">
            <w:pPr>
              <w:jc w:val="center"/>
            </w:pPr>
            <w:r>
              <w:rPr>
                <w:rFonts w:hint="eastAsia"/>
              </w:rPr>
              <w:t>36</w:t>
            </w:r>
          </w:p>
        </w:tc>
        <w:tc>
          <w:tcPr>
            <w:tcW w:w="2050" w:type="dxa"/>
          </w:tcPr>
          <w:p w14:paraId="030EFA66">
            <w:pPr>
              <w:jc w:val="center"/>
            </w:pPr>
            <w:r>
              <w:rPr>
                <w:rFonts w:hint="eastAsia"/>
              </w:rPr>
              <w:t>3.0</w:t>
            </w:r>
          </w:p>
        </w:tc>
        <w:tc>
          <w:tcPr>
            <w:tcW w:w="2407" w:type="dxa"/>
          </w:tcPr>
          <w:p w14:paraId="70A8DA37">
            <w:pPr>
              <w:jc w:val="center"/>
            </w:pPr>
            <w:r>
              <w:rPr>
                <w:rFonts w:hint="eastAsia"/>
              </w:rPr>
              <w:t>4.0</w:t>
            </w:r>
          </w:p>
        </w:tc>
      </w:tr>
      <w:tr w14:paraId="7AED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D39BBAD">
            <w:pPr>
              <w:jc w:val="center"/>
            </w:pPr>
            <w:r>
              <w:rPr>
                <w:rFonts w:hint="eastAsia"/>
              </w:rPr>
              <w:t>细砂</w:t>
            </w:r>
            <w:r>
              <w:rPr>
                <w:rFonts w:hint="eastAsia" w:cs="宋体"/>
                <w:szCs w:val="24"/>
              </w:rPr>
              <w:t>（含水）</w:t>
            </w:r>
          </w:p>
        </w:tc>
        <w:tc>
          <w:tcPr>
            <w:tcW w:w="1935" w:type="dxa"/>
          </w:tcPr>
          <w:p w14:paraId="0AE1BC0F">
            <w:pPr>
              <w:jc w:val="center"/>
            </w:pPr>
            <w:r>
              <w:rPr>
                <w:rFonts w:hint="eastAsia"/>
              </w:rPr>
              <w:t>39</w:t>
            </w:r>
          </w:p>
        </w:tc>
        <w:tc>
          <w:tcPr>
            <w:tcW w:w="2050" w:type="dxa"/>
          </w:tcPr>
          <w:p w14:paraId="10F8479F">
            <w:pPr>
              <w:jc w:val="center"/>
            </w:pPr>
            <w:r>
              <w:rPr>
                <w:rFonts w:hint="eastAsia"/>
              </w:rPr>
              <w:t>3.5</w:t>
            </w:r>
          </w:p>
        </w:tc>
        <w:tc>
          <w:tcPr>
            <w:tcW w:w="2407" w:type="dxa"/>
          </w:tcPr>
          <w:p w14:paraId="1FE04CC5">
            <w:pPr>
              <w:jc w:val="center"/>
            </w:pPr>
            <w:r>
              <w:rPr>
                <w:rFonts w:hint="eastAsia"/>
              </w:rPr>
              <w:t>4.5</w:t>
            </w:r>
          </w:p>
        </w:tc>
      </w:tr>
      <w:tr w14:paraId="4852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41AF5C1">
            <w:pPr>
              <w:jc w:val="center"/>
            </w:pPr>
            <w:r>
              <w:rPr>
                <w:rFonts w:hint="eastAsia"/>
              </w:rPr>
              <w:t>砂质粉土</w:t>
            </w:r>
            <w:r>
              <w:rPr>
                <w:rFonts w:hint="eastAsia" w:cs="宋体"/>
                <w:szCs w:val="24"/>
              </w:rPr>
              <w:t>（含水）</w:t>
            </w:r>
          </w:p>
        </w:tc>
        <w:tc>
          <w:tcPr>
            <w:tcW w:w="1935" w:type="dxa"/>
          </w:tcPr>
          <w:p w14:paraId="69529FFD">
            <w:pPr>
              <w:jc w:val="center"/>
            </w:pPr>
            <w:r>
              <w:rPr>
                <w:rFonts w:hint="eastAsia"/>
              </w:rPr>
              <w:t>29</w:t>
            </w:r>
          </w:p>
        </w:tc>
        <w:tc>
          <w:tcPr>
            <w:tcW w:w="2050" w:type="dxa"/>
          </w:tcPr>
          <w:p w14:paraId="21D09390">
            <w:pPr>
              <w:jc w:val="center"/>
            </w:pPr>
            <w:r>
              <w:rPr>
                <w:rFonts w:hint="eastAsia"/>
              </w:rPr>
              <w:t>3.5</w:t>
            </w:r>
          </w:p>
        </w:tc>
        <w:tc>
          <w:tcPr>
            <w:tcW w:w="2407" w:type="dxa"/>
          </w:tcPr>
          <w:p w14:paraId="59B9CF4E">
            <w:pPr>
              <w:jc w:val="center"/>
            </w:pPr>
            <w:r>
              <w:rPr>
                <w:rFonts w:hint="eastAsia"/>
              </w:rPr>
              <w:t>5.5</w:t>
            </w:r>
          </w:p>
        </w:tc>
      </w:tr>
      <w:tr w14:paraId="3D18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CBF7006">
            <w:pPr>
              <w:jc w:val="center"/>
            </w:pPr>
            <w:r>
              <w:rPr>
                <w:rFonts w:hint="eastAsia"/>
              </w:rPr>
              <w:t>粉土</w:t>
            </w:r>
          </w:p>
        </w:tc>
        <w:tc>
          <w:tcPr>
            <w:tcW w:w="1935" w:type="dxa"/>
          </w:tcPr>
          <w:p w14:paraId="47396D8C">
            <w:pPr>
              <w:jc w:val="center"/>
            </w:pPr>
            <w:r>
              <w:rPr>
                <w:rFonts w:hint="eastAsia"/>
              </w:rPr>
              <w:t>24</w:t>
            </w:r>
          </w:p>
        </w:tc>
        <w:tc>
          <w:tcPr>
            <w:tcW w:w="2050" w:type="dxa"/>
          </w:tcPr>
          <w:p w14:paraId="012C65C3">
            <w:pPr>
              <w:jc w:val="center"/>
            </w:pPr>
            <w:r>
              <w:rPr>
                <w:rFonts w:hint="eastAsia"/>
              </w:rPr>
              <w:t>4.0</w:t>
            </w:r>
          </w:p>
        </w:tc>
        <w:tc>
          <w:tcPr>
            <w:tcW w:w="2407" w:type="dxa"/>
          </w:tcPr>
          <w:p w14:paraId="1F488B69">
            <w:pPr>
              <w:jc w:val="center"/>
            </w:pPr>
            <w:r>
              <w:rPr>
                <w:rFonts w:hint="eastAsia"/>
              </w:rPr>
              <w:t>6.5</w:t>
            </w:r>
          </w:p>
        </w:tc>
      </w:tr>
      <w:tr w14:paraId="53AF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2AF0E1C">
            <w:pPr>
              <w:jc w:val="center"/>
            </w:pPr>
            <w:r>
              <w:rPr>
                <w:rFonts w:hint="eastAsia"/>
              </w:rPr>
              <w:t>黏质粉土</w:t>
            </w:r>
          </w:p>
        </w:tc>
        <w:tc>
          <w:tcPr>
            <w:tcW w:w="1935" w:type="dxa"/>
          </w:tcPr>
          <w:p w14:paraId="10BCF1D6">
            <w:pPr>
              <w:jc w:val="center"/>
            </w:pPr>
            <w:r>
              <w:rPr>
                <w:rFonts w:hint="eastAsia"/>
              </w:rPr>
              <w:t>47</w:t>
            </w:r>
          </w:p>
        </w:tc>
        <w:tc>
          <w:tcPr>
            <w:tcW w:w="2050" w:type="dxa"/>
          </w:tcPr>
          <w:p w14:paraId="3B9651EC">
            <w:pPr>
              <w:jc w:val="center"/>
            </w:pPr>
            <w:r>
              <w:rPr>
                <w:rFonts w:hint="eastAsia"/>
              </w:rPr>
              <w:t>5.5</w:t>
            </w:r>
          </w:p>
        </w:tc>
        <w:tc>
          <w:tcPr>
            <w:tcW w:w="2407" w:type="dxa"/>
          </w:tcPr>
          <w:p w14:paraId="10D1978A">
            <w:pPr>
              <w:jc w:val="center"/>
            </w:pPr>
            <w:r>
              <w:rPr>
                <w:rFonts w:hint="eastAsia"/>
              </w:rPr>
              <w:t>—</w:t>
            </w:r>
          </w:p>
        </w:tc>
      </w:tr>
      <w:tr w14:paraId="2247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5C05252">
            <w:pPr>
              <w:jc w:val="center"/>
            </w:pPr>
            <w:r>
              <w:rPr>
                <w:rFonts w:hint="eastAsia"/>
              </w:rPr>
              <w:t>粉质黏土</w:t>
            </w:r>
          </w:p>
        </w:tc>
        <w:tc>
          <w:tcPr>
            <w:tcW w:w="1935" w:type="dxa"/>
          </w:tcPr>
          <w:p w14:paraId="3E22C731">
            <w:pPr>
              <w:jc w:val="center"/>
            </w:pPr>
            <w:r>
              <w:rPr>
                <w:rFonts w:hint="eastAsia"/>
              </w:rPr>
              <w:t>30</w:t>
            </w:r>
          </w:p>
        </w:tc>
        <w:tc>
          <w:tcPr>
            <w:tcW w:w="2050" w:type="dxa"/>
          </w:tcPr>
          <w:p w14:paraId="57406D81">
            <w:pPr>
              <w:jc w:val="center"/>
            </w:pPr>
            <w:r>
              <w:rPr>
                <w:rFonts w:hint="eastAsia"/>
              </w:rPr>
              <w:t>4.0</w:t>
            </w:r>
          </w:p>
        </w:tc>
        <w:tc>
          <w:tcPr>
            <w:tcW w:w="2407" w:type="dxa"/>
          </w:tcPr>
          <w:p w14:paraId="5DB5CB5F">
            <w:pPr>
              <w:jc w:val="center"/>
            </w:pPr>
            <w:r>
              <w:rPr>
                <w:rFonts w:hint="eastAsia"/>
              </w:rPr>
              <w:t>—</w:t>
            </w:r>
          </w:p>
        </w:tc>
      </w:tr>
      <w:tr w14:paraId="4452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CC481D8">
            <w:pPr>
              <w:jc w:val="center"/>
            </w:pPr>
            <w:r>
              <w:rPr>
                <w:rFonts w:hint="eastAsia"/>
              </w:rPr>
              <w:t>黏土</w:t>
            </w:r>
          </w:p>
        </w:tc>
        <w:tc>
          <w:tcPr>
            <w:tcW w:w="1935" w:type="dxa"/>
          </w:tcPr>
          <w:p w14:paraId="59B61C0D">
            <w:pPr>
              <w:jc w:val="center"/>
            </w:pPr>
            <w:r>
              <w:rPr>
                <w:rFonts w:hint="eastAsia"/>
              </w:rPr>
              <w:t>50</w:t>
            </w:r>
          </w:p>
        </w:tc>
        <w:tc>
          <w:tcPr>
            <w:tcW w:w="2050" w:type="dxa"/>
          </w:tcPr>
          <w:p w14:paraId="3A5EFDBB">
            <w:pPr>
              <w:jc w:val="center"/>
            </w:pPr>
            <w:r>
              <w:rPr>
                <w:rFonts w:hint="eastAsia"/>
              </w:rPr>
              <w:t>7.5</w:t>
            </w:r>
          </w:p>
        </w:tc>
        <w:tc>
          <w:tcPr>
            <w:tcW w:w="2407" w:type="dxa"/>
          </w:tcPr>
          <w:p w14:paraId="6938D50F">
            <w:pPr>
              <w:jc w:val="center"/>
            </w:pPr>
            <w:r>
              <w:rPr>
                <w:rFonts w:hint="eastAsia"/>
              </w:rPr>
              <w:t>—</w:t>
            </w:r>
          </w:p>
        </w:tc>
      </w:tr>
      <w:tr w14:paraId="05A8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E7A3468">
            <w:pPr>
              <w:jc w:val="center"/>
            </w:pPr>
            <w:r>
              <w:rPr>
                <w:rFonts w:hint="eastAsia"/>
              </w:rPr>
              <w:t>黏土</w:t>
            </w:r>
            <w:r>
              <w:rPr>
                <w:rFonts w:hint="eastAsia" w:cs="宋体"/>
                <w:szCs w:val="24"/>
              </w:rPr>
              <w:t>（硬塑）</w:t>
            </w:r>
          </w:p>
        </w:tc>
        <w:tc>
          <w:tcPr>
            <w:tcW w:w="1935" w:type="dxa"/>
          </w:tcPr>
          <w:p w14:paraId="213938B9">
            <w:pPr>
              <w:jc w:val="center"/>
            </w:pPr>
            <w:r>
              <w:rPr>
                <w:rFonts w:hint="eastAsia"/>
              </w:rPr>
              <w:t>75</w:t>
            </w:r>
          </w:p>
        </w:tc>
        <w:tc>
          <w:tcPr>
            <w:tcW w:w="2050" w:type="dxa"/>
          </w:tcPr>
          <w:p w14:paraId="2B41DADD">
            <w:pPr>
              <w:jc w:val="center"/>
            </w:pPr>
            <w:r>
              <w:rPr>
                <w:rFonts w:hint="eastAsia"/>
              </w:rPr>
              <w:t>13.0</w:t>
            </w:r>
          </w:p>
        </w:tc>
        <w:tc>
          <w:tcPr>
            <w:tcW w:w="2407" w:type="dxa"/>
          </w:tcPr>
          <w:p w14:paraId="187618F8">
            <w:pPr>
              <w:jc w:val="center"/>
            </w:pPr>
            <w:r>
              <w:rPr>
                <w:rFonts w:hint="eastAsia"/>
              </w:rPr>
              <w:t>—</w:t>
            </w:r>
          </w:p>
        </w:tc>
      </w:tr>
      <w:tr w14:paraId="5AA7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098870A">
            <w:pPr>
              <w:jc w:val="center"/>
            </w:pPr>
            <w:r>
              <w:rPr>
                <w:rFonts w:hint="eastAsia"/>
              </w:rPr>
              <w:t>黏土</w:t>
            </w:r>
            <w:r>
              <w:rPr>
                <w:rFonts w:hint="eastAsia" w:cs="宋体"/>
                <w:szCs w:val="24"/>
              </w:rPr>
              <w:t>（坚硬）</w:t>
            </w:r>
          </w:p>
        </w:tc>
        <w:tc>
          <w:tcPr>
            <w:tcW w:w="1935" w:type="dxa"/>
          </w:tcPr>
          <w:p w14:paraId="66814FCA">
            <w:pPr>
              <w:jc w:val="center"/>
            </w:pPr>
            <w:r>
              <w:rPr>
                <w:rFonts w:hint="eastAsia"/>
              </w:rPr>
              <w:t>130</w:t>
            </w:r>
          </w:p>
        </w:tc>
        <w:tc>
          <w:tcPr>
            <w:tcW w:w="2050" w:type="dxa"/>
          </w:tcPr>
          <w:p w14:paraId="09DEEB54">
            <w:pPr>
              <w:jc w:val="center"/>
            </w:pPr>
            <w:r>
              <w:rPr>
                <w:rFonts w:hint="eastAsia"/>
              </w:rPr>
              <w:t>25.0</w:t>
            </w:r>
          </w:p>
        </w:tc>
        <w:tc>
          <w:tcPr>
            <w:tcW w:w="2407" w:type="dxa"/>
          </w:tcPr>
          <w:p w14:paraId="47F69B0E">
            <w:pPr>
              <w:jc w:val="center"/>
            </w:pPr>
            <w:r>
              <w:rPr>
                <w:rFonts w:hint="eastAsia"/>
              </w:rPr>
              <w:t>—</w:t>
            </w:r>
          </w:p>
        </w:tc>
      </w:tr>
    </w:tbl>
    <w:p w14:paraId="5D9BD2A4">
      <w:pPr>
        <w:pStyle w:val="2"/>
      </w:pPr>
      <w:r>
        <w:br w:type="page"/>
      </w:r>
      <w:bookmarkStart w:id="70" w:name="_Toc6254"/>
      <w:bookmarkStart w:id="71" w:name="_Toc19171"/>
      <w:r>
        <w:rPr>
          <w:rFonts w:hint="eastAsia"/>
        </w:rPr>
        <w:t>标准用词说明</w:t>
      </w:r>
      <w:bookmarkEnd w:id="70"/>
      <w:bookmarkEnd w:id="71"/>
    </w:p>
    <w:p w14:paraId="3DECB2D9">
      <w:r>
        <w:rPr>
          <w:rFonts w:hint="eastAsia"/>
        </w:rPr>
        <w:t>1  为便于在执行本规程条文时区别对待，对要求严格程度不同的用词说明如下：</w:t>
      </w:r>
    </w:p>
    <w:p w14:paraId="3C95FD6F">
      <w:pPr>
        <w:ind w:firstLine="420" w:firstLineChars="200"/>
      </w:pPr>
      <w:r>
        <w:rPr>
          <w:rFonts w:hint="eastAsia"/>
        </w:rPr>
        <w:t>1）表示很严格，非这样做不可的：</w:t>
      </w:r>
    </w:p>
    <w:p w14:paraId="6128538E">
      <w:r>
        <w:rPr>
          <w:rFonts w:hint="eastAsia"/>
        </w:rPr>
        <w:t>正面词采用“必须”；反面词采用“严禁”。</w:t>
      </w:r>
    </w:p>
    <w:p w14:paraId="631A4C52">
      <w:pPr>
        <w:ind w:firstLine="420" w:firstLineChars="200"/>
      </w:pPr>
      <w:r>
        <w:rPr>
          <w:rFonts w:hint="eastAsia"/>
        </w:rPr>
        <w:t>2）表示严格，在正常情况下均应这样做的：</w:t>
      </w:r>
    </w:p>
    <w:p w14:paraId="02EEC88C">
      <w:r>
        <w:rPr>
          <w:rFonts w:hint="eastAsia"/>
        </w:rPr>
        <w:t>正面词采用“应”；反面词采用“不应”或“不得”。</w:t>
      </w:r>
    </w:p>
    <w:p w14:paraId="1D9065C6">
      <w:pPr>
        <w:ind w:firstLine="420" w:firstLineChars="200"/>
      </w:pPr>
      <w:r>
        <w:rPr>
          <w:rFonts w:hint="eastAsia"/>
        </w:rPr>
        <w:t>3）表示允许稍有选择，在条件许可时首先这样做的：</w:t>
      </w:r>
    </w:p>
    <w:p w14:paraId="479D1846">
      <w:r>
        <w:rPr>
          <w:rFonts w:hint="eastAsia"/>
        </w:rPr>
        <w:t>正面词采用“宜”；反面词采用“不宜”。</w:t>
      </w:r>
    </w:p>
    <w:p w14:paraId="70B920E0">
      <w:pPr>
        <w:ind w:firstLine="420" w:firstLineChars="200"/>
      </w:pPr>
      <w:r>
        <w:rPr>
          <w:rFonts w:hint="eastAsia"/>
        </w:rPr>
        <w:t>4）表示有选择，在一定条件下可以这样做的，采用“可”。</w:t>
      </w:r>
    </w:p>
    <w:p w14:paraId="092F1D5A">
      <w:r>
        <w:rPr>
          <w:rFonts w:hint="eastAsia"/>
        </w:rPr>
        <w:t>2  条文中指明应按其他有关标准执行时的写法为：“应符合……的规定”或“应按……执行”。</w:t>
      </w:r>
    </w:p>
    <w:p w14:paraId="6F85AF6E">
      <w:pPr>
        <w:pStyle w:val="2"/>
      </w:pPr>
      <w:r>
        <w:rPr>
          <w:rFonts w:hint="eastAsia"/>
          <w:szCs w:val="24"/>
        </w:rPr>
        <w:br w:type="page"/>
      </w:r>
      <w:bookmarkStart w:id="72" w:name="_Toc8496"/>
      <w:bookmarkStart w:id="73" w:name="_Toc10774"/>
      <w:r>
        <w:rPr>
          <w:rFonts w:hint="eastAsia"/>
        </w:rPr>
        <w:t>引用标准名录</w:t>
      </w:r>
      <w:bookmarkEnd w:id="72"/>
      <w:bookmarkEnd w:id="73"/>
    </w:p>
    <w:p w14:paraId="76A7EF77">
      <w:pPr>
        <w:spacing w:line="300" w:lineRule="auto"/>
      </w:pPr>
      <w:r>
        <w:rPr>
          <w:rFonts w:hint="eastAsia"/>
        </w:rPr>
        <w:t>1.《岩土工程勘察规范》GB50021</w:t>
      </w:r>
    </w:p>
    <w:p w14:paraId="239AA6A3">
      <w:pPr>
        <w:numPr>
          <w:ilvl w:val="255"/>
          <w:numId w:val="0"/>
        </w:numPr>
        <w:spacing w:line="300" w:lineRule="auto"/>
      </w:pPr>
      <w:r>
        <w:rPr>
          <w:rFonts w:hint="eastAsia"/>
        </w:rPr>
        <w:t>2.《工程勘察通用规范》GB55017</w:t>
      </w:r>
    </w:p>
    <w:p w14:paraId="7EF77F2C">
      <w:pPr>
        <w:spacing w:line="300" w:lineRule="auto"/>
        <w:rPr>
          <w:kern w:val="0"/>
        </w:rPr>
      </w:pPr>
      <w:r>
        <w:rPr>
          <w:rFonts w:hint="eastAsia"/>
          <w:kern w:val="0"/>
        </w:rPr>
        <w:t>3.《钢结构设计规范》</w:t>
      </w:r>
      <w:r>
        <w:rPr>
          <w:kern w:val="0"/>
        </w:rPr>
        <w:t>GB50017</w:t>
      </w:r>
    </w:p>
    <w:p w14:paraId="77D6B185">
      <w:pPr>
        <w:spacing w:line="300" w:lineRule="auto"/>
      </w:pPr>
      <w:r>
        <w:rPr>
          <w:rFonts w:hint="eastAsia"/>
        </w:rPr>
        <w:t>4.《建筑工程施工质量验收统一标准》</w:t>
      </w:r>
      <w:r>
        <w:t>GB50300</w:t>
      </w:r>
    </w:p>
    <w:p w14:paraId="026522F2">
      <w:pPr>
        <w:spacing w:line="300" w:lineRule="auto"/>
      </w:pPr>
      <w:r>
        <w:rPr>
          <w:rFonts w:hint="eastAsia"/>
        </w:rPr>
        <w:t>5.《建筑边坡工程技术规范》GB50330</w:t>
      </w:r>
    </w:p>
    <w:p w14:paraId="7CFA597B">
      <w:pPr>
        <w:spacing w:line="300" w:lineRule="auto"/>
        <w:rPr>
          <w:szCs w:val="24"/>
        </w:rPr>
      </w:pPr>
      <w:r>
        <w:rPr>
          <w:rFonts w:hint="eastAsia"/>
          <w:szCs w:val="24"/>
        </w:rPr>
        <w:t>6.</w:t>
      </w:r>
      <w:r>
        <w:t>《混凝土结构设计规范》GB50010</w:t>
      </w:r>
    </w:p>
    <w:p w14:paraId="2B47AD09">
      <w:pPr>
        <w:spacing w:line="300" w:lineRule="auto"/>
        <w:rPr>
          <w:szCs w:val="24"/>
        </w:rPr>
      </w:pPr>
      <w:r>
        <w:rPr>
          <w:rFonts w:hint="eastAsia"/>
          <w:szCs w:val="24"/>
        </w:rPr>
        <w:t>7.</w:t>
      </w:r>
      <w:r>
        <w:rPr>
          <w:rFonts w:hint="eastAsia"/>
        </w:rPr>
        <w:t>《港工设施牺牲阳极保护设计和安装》</w:t>
      </w:r>
      <w:bookmarkStart w:id="74" w:name="OLE_LINK11"/>
      <w:r>
        <w:t>GJB</w:t>
      </w:r>
      <w:bookmarkEnd w:id="74"/>
      <w:r>
        <w:t>156A</w:t>
      </w:r>
    </w:p>
    <w:p w14:paraId="77C60BA8">
      <w:pPr>
        <w:spacing w:line="300" w:lineRule="auto"/>
        <w:rPr>
          <w:szCs w:val="24"/>
        </w:rPr>
      </w:pPr>
      <w:r>
        <w:rPr>
          <w:rFonts w:hint="eastAsia"/>
          <w:szCs w:val="24"/>
        </w:rPr>
        <w:t>8.《钢结构焊接规范》GB50661</w:t>
      </w:r>
    </w:p>
    <w:p w14:paraId="03BA20A0">
      <w:pPr>
        <w:spacing w:line="300" w:lineRule="auto"/>
        <w:rPr>
          <w:szCs w:val="24"/>
        </w:rPr>
      </w:pPr>
      <w:r>
        <w:rPr>
          <w:rFonts w:hint="eastAsia"/>
          <w:szCs w:val="24"/>
        </w:rPr>
        <w:t>9.</w:t>
      </w:r>
      <w:r>
        <w:rPr>
          <w:rFonts w:hint="eastAsia"/>
        </w:rPr>
        <w:t>《钢结构工程工质量验收规范》GB50205</w:t>
      </w:r>
    </w:p>
    <w:p w14:paraId="16823F84">
      <w:pPr>
        <w:spacing w:line="300" w:lineRule="auto"/>
        <w:rPr>
          <w:szCs w:val="24"/>
        </w:rPr>
      </w:pPr>
      <w:r>
        <w:rPr>
          <w:rFonts w:hint="eastAsia"/>
          <w:szCs w:val="24"/>
        </w:rPr>
        <w:t>10.</w:t>
      </w:r>
      <w:r>
        <w:rPr>
          <w:rFonts w:hint="eastAsia"/>
        </w:rPr>
        <w:t>《建筑地基基础工程施工质量验收标准》</w:t>
      </w:r>
      <w:r>
        <w:t>GB50202</w:t>
      </w:r>
    </w:p>
    <w:p w14:paraId="1DCB76EF">
      <w:pPr>
        <w:spacing w:line="300" w:lineRule="auto"/>
      </w:pPr>
      <w:r>
        <w:rPr>
          <w:rFonts w:hint="eastAsia"/>
        </w:rPr>
        <w:t>11.</w:t>
      </w:r>
      <w:r>
        <w:t>《</w:t>
      </w:r>
      <w:r>
        <w:rPr>
          <w:rFonts w:hint="eastAsia"/>
        </w:rPr>
        <w:t>建筑基坑工程监测技术规范》</w:t>
      </w:r>
      <w:r>
        <w:t>GB50497</w:t>
      </w:r>
    </w:p>
    <w:p w14:paraId="219E6958">
      <w:pPr>
        <w:spacing w:line="300" w:lineRule="auto"/>
      </w:pPr>
      <w:r>
        <w:rPr>
          <w:rFonts w:hint="eastAsia"/>
        </w:rPr>
        <w:t>12.《高层建筑岩土工程勘察标准》JGJ/T72</w:t>
      </w:r>
    </w:p>
    <w:p w14:paraId="553C297D">
      <w:pPr>
        <w:spacing w:line="300" w:lineRule="auto"/>
        <w:rPr>
          <w:szCs w:val="24"/>
        </w:rPr>
      </w:pPr>
      <w:r>
        <w:rPr>
          <w:rFonts w:hint="eastAsia"/>
          <w:szCs w:val="24"/>
        </w:rPr>
        <w:t>13.</w:t>
      </w:r>
      <w:r>
        <w:rPr>
          <w:rFonts w:hint="eastAsia"/>
        </w:rPr>
        <w:t>《建筑基坑支护技术规程》JGJ120</w:t>
      </w:r>
    </w:p>
    <w:p w14:paraId="0010760F">
      <w:pPr>
        <w:spacing w:line="300" w:lineRule="auto"/>
        <w:rPr>
          <w:szCs w:val="24"/>
        </w:rPr>
      </w:pPr>
      <w:r>
        <w:rPr>
          <w:rFonts w:hint="eastAsia"/>
          <w:szCs w:val="24"/>
        </w:rPr>
        <w:t>14.</w:t>
      </w:r>
      <w:r>
        <w:rPr>
          <w:rFonts w:hint="eastAsia"/>
        </w:rPr>
        <w:t>《海港工程钢结构防腐蚀技术规范》JTS153</w:t>
      </w:r>
    </w:p>
    <w:p w14:paraId="128DC22B">
      <w:pPr>
        <w:spacing w:line="300" w:lineRule="auto"/>
        <w:rPr>
          <w:szCs w:val="24"/>
        </w:rPr>
      </w:pPr>
      <w:r>
        <w:rPr>
          <w:rFonts w:hint="eastAsia"/>
          <w:szCs w:val="24"/>
        </w:rPr>
        <w:t>15.</w:t>
      </w:r>
      <w:r>
        <w:rPr>
          <w:rFonts w:hint="eastAsia"/>
        </w:rPr>
        <w:t>《码头结构施工规范》</w:t>
      </w:r>
      <w:r>
        <w:t>JTS215</w:t>
      </w:r>
    </w:p>
    <w:p w14:paraId="635E9F3F">
      <w:pPr>
        <w:spacing w:line="300" w:lineRule="auto"/>
      </w:pPr>
      <w:r>
        <w:rPr>
          <w:rFonts w:hint="eastAsia"/>
        </w:rPr>
        <w:t>16.《钢板桩》</w:t>
      </w:r>
      <w:r>
        <w:t>JG/T196</w:t>
      </w:r>
    </w:p>
    <w:p w14:paraId="40102127">
      <w:pPr>
        <w:spacing w:line="300" w:lineRule="auto"/>
      </w:pPr>
      <w:r>
        <w:rPr>
          <w:rFonts w:hint="eastAsia"/>
        </w:rPr>
        <w:t>17.《建筑钢结构焊接技术规程》JGJ81</w:t>
      </w:r>
    </w:p>
    <w:p w14:paraId="45D4A0B2">
      <w:pPr>
        <w:spacing w:line="300" w:lineRule="auto"/>
      </w:pPr>
      <w:r>
        <w:rPr>
          <w:rFonts w:hint="eastAsia"/>
        </w:rPr>
        <w:t>18.《</w:t>
      </w:r>
      <w:bookmarkStart w:id="75" w:name="OLE_LINK12"/>
      <w:r>
        <w:rPr>
          <w:rFonts w:hint="eastAsia"/>
        </w:rPr>
        <w:t>水利水电工程钻孔抽水试验规程</w:t>
      </w:r>
      <w:bookmarkEnd w:id="75"/>
      <w:r>
        <w:rPr>
          <w:rFonts w:hint="eastAsia"/>
        </w:rPr>
        <w:t>》</w:t>
      </w:r>
      <w:r>
        <w:t>SL320</w:t>
      </w:r>
    </w:p>
    <w:p w14:paraId="0925AA1A">
      <w:pPr>
        <w:spacing w:line="300" w:lineRule="auto"/>
      </w:pPr>
      <w:r>
        <w:rPr>
          <w:rFonts w:hint="eastAsia"/>
        </w:rPr>
        <w:t>19.《广西壮族自治区岩土工程勘察规范》DBJ/T45-066</w:t>
      </w:r>
    </w:p>
    <w:p w14:paraId="04FB6E55">
      <w:pPr>
        <w:spacing w:line="300" w:lineRule="auto"/>
      </w:pPr>
      <w:r>
        <w:rPr>
          <w:rFonts w:hint="eastAsia"/>
        </w:rPr>
        <w:t>20.</w:t>
      </w:r>
      <w:r>
        <w:t>《</w:t>
      </w:r>
      <w:r>
        <w:rPr>
          <w:rFonts w:hint="eastAsia"/>
        </w:rPr>
        <w:t>广西建筑基坑支护技术规范</w:t>
      </w:r>
      <w:r>
        <w:t>》</w:t>
      </w:r>
      <w:r>
        <w:rPr>
          <w:rFonts w:hint="eastAsia"/>
        </w:rPr>
        <w:t>DBJ/T45-065</w:t>
      </w:r>
    </w:p>
    <w:p w14:paraId="3CC45FE9">
      <w:pPr>
        <w:spacing w:line="300" w:lineRule="auto"/>
      </w:pPr>
      <w:r>
        <w:rPr>
          <w:rFonts w:hint="eastAsia"/>
        </w:rPr>
        <w:t>21.《装配式基坑支护结构技术规程》DBJT45-043</w:t>
      </w:r>
    </w:p>
    <w:p w14:paraId="54A04DDA">
      <w:pPr>
        <w:spacing w:line="300" w:lineRule="auto"/>
      </w:pPr>
      <w:r>
        <w:rPr>
          <w:rFonts w:hint="eastAsia"/>
        </w:rPr>
        <w:t>22.《建筑基坑工程监测技术规程》</w:t>
      </w:r>
      <w:r>
        <w:t>DBJ/T45-011</w:t>
      </w:r>
    </w:p>
    <w:p w14:paraId="24D786BA">
      <w:pPr>
        <w:spacing w:line="300" w:lineRule="auto"/>
      </w:pPr>
      <w:r>
        <w:rPr>
          <w:rFonts w:hint="eastAsia"/>
        </w:rPr>
        <w:t>23.《钢板桩支护技术规程》T/CECS720</w:t>
      </w:r>
    </w:p>
    <w:p w14:paraId="7B5861F0">
      <w:pPr>
        <w:spacing w:line="300" w:lineRule="auto"/>
      </w:pPr>
    </w:p>
    <w:p w14:paraId="08B22243">
      <w:pPr>
        <w:jc w:val="center"/>
        <w:rPr>
          <w:rFonts w:eastAsia="黑体"/>
          <w:b/>
          <w:sz w:val="32"/>
          <w:szCs w:val="32"/>
        </w:rPr>
        <w:sectPr>
          <w:footerReference r:id="rId12" w:type="default"/>
          <w:footerReference r:id="rId13" w:type="even"/>
          <w:pgSz w:w="11906" w:h="16838"/>
          <w:pgMar w:top="1134" w:right="1134" w:bottom="1134" w:left="1134" w:header="851" w:footer="617" w:gutter="0"/>
          <w:pgNumType w:start="1"/>
          <w:cols w:space="720" w:num="1"/>
          <w:docGrid w:type="linesAndChars" w:linePitch="312" w:charSpace="0"/>
        </w:sectPr>
      </w:pPr>
    </w:p>
    <w:p w14:paraId="34D9115F">
      <w:pPr>
        <w:jc w:val="center"/>
        <w:rPr>
          <w:rFonts w:eastAsia="黑体"/>
          <w:b/>
          <w:sz w:val="32"/>
          <w:szCs w:val="32"/>
        </w:rPr>
      </w:pPr>
      <w:r>
        <w:rPr>
          <w:rFonts w:hint="eastAsia" w:eastAsia="黑体"/>
          <w:b/>
          <w:sz w:val="32"/>
          <w:szCs w:val="32"/>
        </w:rPr>
        <w:t>广西壮族自治区工程建设地方标准</w:t>
      </w:r>
    </w:p>
    <w:p w14:paraId="067C49B9">
      <w:pPr>
        <w:jc w:val="center"/>
        <w:rPr>
          <w:rFonts w:ascii="宋体" w:hAnsi="宋体"/>
          <w:b/>
          <w:sz w:val="32"/>
          <w:szCs w:val="32"/>
        </w:rPr>
      </w:pPr>
    </w:p>
    <w:p w14:paraId="6924FA5F">
      <w:pPr>
        <w:jc w:val="center"/>
        <w:rPr>
          <w:rFonts w:ascii="宋体" w:hAnsi="宋体"/>
          <w:b/>
          <w:sz w:val="32"/>
          <w:szCs w:val="32"/>
        </w:rPr>
      </w:pPr>
    </w:p>
    <w:p w14:paraId="4AA6093E">
      <w:pPr>
        <w:pStyle w:val="9"/>
        <w:spacing w:before="312" w:beforeLines="100" w:after="156"/>
        <w:jc w:val="center"/>
        <w:rPr>
          <w:rFonts w:hAnsi="宋体"/>
          <w:b/>
          <w:bCs/>
          <w:sz w:val="36"/>
          <w:szCs w:val="36"/>
        </w:rPr>
      </w:pPr>
      <w:r>
        <w:rPr>
          <w:rFonts w:hint="eastAsia" w:hAnsi="宋体"/>
          <w:b/>
          <w:bCs/>
          <w:sz w:val="36"/>
          <w:szCs w:val="36"/>
        </w:rPr>
        <w:t>静压钢板桩支护技术规程</w:t>
      </w:r>
    </w:p>
    <w:p w14:paraId="5EBD7D97">
      <w:pPr>
        <w:pStyle w:val="9"/>
        <w:spacing w:before="312" w:beforeLines="100" w:after="156"/>
        <w:jc w:val="center"/>
        <w:rPr>
          <w:rFonts w:hAnsi="宋体"/>
          <w:b/>
          <w:sz w:val="36"/>
          <w:szCs w:val="36"/>
        </w:rPr>
      </w:pPr>
      <w:r>
        <w:rPr>
          <w:rFonts w:hint="eastAsia" w:hAnsi="宋体"/>
          <w:b/>
          <w:sz w:val="36"/>
          <w:szCs w:val="36"/>
        </w:rPr>
        <w:t>（</w:t>
      </w:r>
      <w:r>
        <w:rPr>
          <w:rFonts w:hint="eastAsia" w:hAnsi="宋体"/>
          <w:b/>
          <w:sz w:val="32"/>
          <w:szCs w:val="32"/>
        </w:rPr>
        <w:t>征求意见稿</w:t>
      </w:r>
      <w:r>
        <w:rPr>
          <w:rFonts w:hint="eastAsia" w:hAnsi="宋体"/>
          <w:b/>
          <w:sz w:val="36"/>
          <w:szCs w:val="36"/>
        </w:rPr>
        <w:t>）</w:t>
      </w:r>
    </w:p>
    <w:p w14:paraId="2688038A">
      <w:pPr>
        <w:spacing w:after="312" w:afterLines="100" w:line="480" w:lineRule="auto"/>
        <w:ind w:firstLine="723"/>
        <w:jc w:val="center"/>
        <w:rPr>
          <w:rFonts w:ascii="宋体" w:hAnsi="宋体"/>
          <w:b/>
          <w:bCs/>
          <w:sz w:val="36"/>
          <w:szCs w:val="36"/>
        </w:rPr>
      </w:pPr>
    </w:p>
    <w:p w14:paraId="4AFC9E5F">
      <w:pPr>
        <w:jc w:val="center"/>
        <w:rPr>
          <w:b/>
          <w:sz w:val="28"/>
          <w:szCs w:val="28"/>
        </w:rPr>
      </w:pPr>
      <w:r>
        <w:rPr>
          <w:rFonts w:hint="eastAsia"/>
          <w:b/>
          <w:sz w:val="28"/>
          <w:szCs w:val="28"/>
        </w:rPr>
        <w:t>DB</w:t>
      </w:r>
      <w:r>
        <w:rPr>
          <w:b/>
          <w:sz w:val="28"/>
          <w:szCs w:val="28"/>
        </w:rPr>
        <w:t xml:space="preserve">J </w:t>
      </w:r>
      <w:r>
        <w:rPr>
          <w:rFonts w:hint="eastAsia"/>
          <w:b/>
          <w:sz w:val="28"/>
          <w:szCs w:val="28"/>
        </w:rPr>
        <w:t xml:space="preserve">/T </w:t>
      </w:r>
      <w:r>
        <w:rPr>
          <w:b/>
          <w:sz w:val="28"/>
          <w:szCs w:val="28"/>
        </w:rPr>
        <w:t>45</w:t>
      </w:r>
      <w:r>
        <w:rPr>
          <w:rFonts w:hint="eastAsia"/>
          <w:b/>
          <w:sz w:val="28"/>
          <w:szCs w:val="28"/>
        </w:rPr>
        <w:t>-xx-xx</w:t>
      </w:r>
    </w:p>
    <w:p w14:paraId="5854892A">
      <w:pPr>
        <w:ind w:firstLine="320" w:firstLineChars="100"/>
        <w:jc w:val="center"/>
        <w:rPr>
          <w:sz w:val="32"/>
          <w:szCs w:val="32"/>
        </w:rPr>
      </w:pPr>
    </w:p>
    <w:p w14:paraId="3E1EE441">
      <w:pPr>
        <w:pStyle w:val="2"/>
      </w:pPr>
      <w:r>
        <w:rPr>
          <w:rFonts w:hint="eastAsia"/>
        </w:rPr>
        <w:t>条文说明</w:t>
      </w:r>
    </w:p>
    <w:p w14:paraId="42275CD7">
      <w:pPr>
        <w:jc w:val="center"/>
        <w:rPr>
          <w:b/>
          <w:sz w:val="28"/>
          <w:szCs w:val="28"/>
        </w:rPr>
      </w:pPr>
    </w:p>
    <w:p w14:paraId="7B218C07">
      <w:pPr>
        <w:jc w:val="center"/>
        <w:rPr>
          <w:b/>
          <w:sz w:val="28"/>
          <w:szCs w:val="28"/>
        </w:rPr>
      </w:pPr>
    </w:p>
    <w:p w14:paraId="5105E646">
      <w:pPr>
        <w:jc w:val="center"/>
        <w:rPr>
          <w:b/>
          <w:sz w:val="28"/>
          <w:szCs w:val="28"/>
        </w:rPr>
      </w:pPr>
    </w:p>
    <w:p w14:paraId="6A5FDD79">
      <w:pPr>
        <w:jc w:val="center"/>
        <w:rPr>
          <w:b/>
          <w:sz w:val="28"/>
          <w:szCs w:val="28"/>
        </w:rPr>
      </w:pPr>
    </w:p>
    <w:p w14:paraId="7AC0672F">
      <w:pPr>
        <w:jc w:val="center"/>
        <w:rPr>
          <w:b/>
          <w:sz w:val="28"/>
          <w:szCs w:val="28"/>
        </w:rPr>
      </w:pPr>
    </w:p>
    <w:p w14:paraId="42437C6C">
      <w:pPr>
        <w:ind w:firstLine="560"/>
        <w:jc w:val="center"/>
        <w:rPr>
          <w:sz w:val="28"/>
          <w:szCs w:val="28"/>
        </w:rPr>
      </w:pPr>
    </w:p>
    <w:p w14:paraId="320908F0">
      <w:pPr>
        <w:adjustRightInd w:val="0"/>
        <w:snapToGrid w:val="0"/>
        <w:ind w:left="1155" w:leftChars="550" w:firstLine="560"/>
        <w:jc w:val="left"/>
        <w:rPr>
          <w:rFonts w:ascii="宋体" w:hAnsi="宋体"/>
          <w:sz w:val="28"/>
          <w:szCs w:val="24"/>
          <w:u w:val="single"/>
        </w:rPr>
      </w:pPr>
    </w:p>
    <w:p w14:paraId="1FA8A087">
      <w:pPr>
        <w:adjustRightInd w:val="0"/>
        <w:snapToGrid w:val="0"/>
        <w:ind w:left="1155" w:leftChars="550" w:firstLine="560"/>
        <w:jc w:val="left"/>
        <w:rPr>
          <w:rFonts w:ascii="宋体" w:hAnsi="宋体"/>
          <w:sz w:val="28"/>
          <w:u w:val="single"/>
        </w:rPr>
      </w:pPr>
    </w:p>
    <w:p w14:paraId="23231D82">
      <w:pPr>
        <w:adjustRightInd w:val="0"/>
        <w:snapToGrid w:val="0"/>
        <w:ind w:left="1155" w:leftChars="550" w:firstLine="560"/>
        <w:jc w:val="left"/>
        <w:rPr>
          <w:rFonts w:ascii="宋体" w:hAnsi="宋体"/>
          <w:sz w:val="28"/>
          <w:u w:val="single"/>
        </w:rPr>
      </w:pPr>
    </w:p>
    <w:p w14:paraId="152FBC20">
      <w:pPr>
        <w:adjustRightInd w:val="0"/>
        <w:snapToGrid w:val="0"/>
        <w:ind w:left="1155" w:leftChars="550" w:firstLine="560"/>
        <w:jc w:val="left"/>
        <w:rPr>
          <w:rFonts w:ascii="宋体" w:hAnsi="宋体"/>
          <w:sz w:val="28"/>
          <w:u w:val="single"/>
        </w:rPr>
      </w:pPr>
    </w:p>
    <w:p w14:paraId="6350DE6E">
      <w:pPr>
        <w:adjustRightInd w:val="0"/>
        <w:snapToGrid w:val="0"/>
        <w:ind w:left="1155" w:leftChars="550" w:firstLine="560"/>
        <w:jc w:val="left"/>
        <w:rPr>
          <w:rFonts w:ascii="宋体" w:hAnsi="宋体"/>
          <w:sz w:val="28"/>
          <w:u w:val="single"/>
        </w:rPr>
      </w:pPr>
    </w:p>
    <w:p w14:paraId="307214C1">
      <w:pPr>
        <w:adjustRightInd w:val="0"/>
        <w:snapToGrid w:val="0"/>
        <w:spacing w:line="360" w:lineRule="auto"/>
        <w:ind w:left="1153" w:leftChars="549" w:firstLine="523" w:firstLineChars="187"/>
        <w:rPr>
          <w:sz w:val="28"/>
          <w:szCs w:val="28"/>
        </w:rPr>
      </w:pPr>
    </w:p>
    <w:p w14:paraId="2392EE15">
      <w:pPr>
        <w:pStyle w:val="33"/>
        <w:jc w:val="center"/>
        <w:rPr>
          <w:rFonts w:ascii="Times New Roman" w:hAnsi="Times New Roman"/>
          <w:b/>
          <w:color w:val="auto"/>
          <w:lang w:val="zh-CN"/>
        </w:rPr>
        <w:sectPr>
          <w:footerReference r:id="rId14" w:type="default"/>
          <w:pgSz w:w="11906" w:h="16838"/>
          <w:pgMar w:top="1440" w:right="1800" w:bottom="1440" w:left="1800" w:header="851" w:footer="992" w:gutter="0"/>
          <w:pgNumType w:start="1"/>
          <w:cols w:space="720" w:num="1"/>
          <w:docGrid w:type="lines" w:linePitch="312" w:charSpace="0"/>
        </w:sectPr>
      </w:pPr>
    </w:p>
    <w:p w14:paraId="56C4576C">
      <w:pPr>
        <w:pStyle w:val="33"/>
        <w:jc w:val="center"/>
        <w:rPr>
          <w:rFonts w:ascii="Times New Roman" w:hAnsi="Times New Roman"/>
          <w:b/>
          <w:color w:val="auto"/>
        </w:rPr>
      </w:pPr>
      <w:r>
        <w:rPr>
          <w:rFonts w:hint="eastAsia" w:ascii="Times New Roman" w:hAnsi="Times New Roman"/>
          <w:b/>
          <w:color w:val="auto"/>
          <w:lang w:val="zh-CN"/>
        </w:rPr>
        <w:t xml:space="preserve">目 </w:t>
      </w:r>
      <w:r>
        <w:rPr>
          <w:rFonts w:ascii="Times New Roman" w:hAnsi="Times New Roman"/>
          <w:b/>
          <w:color w:val="auto"/>
          <w:lang w:val="zh-CN"/>
        </w:rPr>
        <w:t xml:space="preserve"> </w:t>
      </w:r>
      <w:r>
        <w:rPr>
          <w:rFonts w:hint="eastAsia" w:ascii="Times New Roman" w:hAnsi="Times New Roman"/>
          <w:b/>
          <w:color w:val="auto"/>
        </w:rPr>
        <w:t>次</w:t>
      </w:r>
    </w:p>
    <w:p w14:paraId="455AA220">
      <w:pPr>
        <w:pStyle w:val="13"/>
        <w:tabs>
          <w:tab w:val="right" w:leader="dot" w:pos="8306"/>
        </w:tabs>
      </w:pPr>
      <w:r>
        <w:rPr>
          <w:rStyle w:val="22"/>
          <w:rFonts w:hint="eastAsia"/>
        </w:rPr>
        <w:fldChar w:fldCharType="begin"/>
      </w:r>
      <w:r>
        <w:rPr>
          <w:rStyle w:val="22"/>
          <w:rFonts w:hint="eastAsia"/>
        </w:rPr>
        <w:instrText xml:space="preserve">TOC \o "1-2" \h \u </w:instrText>
      </w:r>
      <w:r>
        <w:rPr>
          <w:rStyle w:val="22"/>
          <w:rFonts w:hint="eastAsia"/>
        </w:rPr>
        <w:fldChar w:fldCharType="separate"/>
      </w:r>
      <w:r>
        <w:rPr>
          <w:rFonts w:hint="eastAsia"/>
        </w:rPr>
        <w:fldChar w:fldCharType="begin"/>
      </w:r>
      <w:r>
        <w:instrText xml:space="preserve"> HYPERLINK \l "_Toc6204" </w:instrText>
      </w:r>
      <w:r>
        <w:rPr>
          <w:rFonts w:hint="eastAsia"/>
        </w:rPr>
        <w:fldChar w:fldCharType="separate"/>
      </w:r>
      <w:r>
        <w:rPr>
          <w:rFonts w:hint="eastAsia"/>
        </w:rPr>
        <w:t>1  总  则</w:t>
      </w:r>
      <w:r>
        <w:tab/>
      </w:r>
      <w:r>
        <w:rPr>
          <w:rFonts w:hint="eastAsia"/>
        </w:rPr>
        <w:t>4</w:t>
      </w:r>
      <w:r>
        <w:rPr>
          <w:rFonts w:hint="eastAsia"/>
        </w:rPr>
        <w:fldChar w:fldCharType="end"/>
      </w:r>
      <w:r>
        <w:rPr>
          <w:rFonts w:hint="eastAsia"/>
        </w:rPr>
        <w:t>5</w:t>
      </w:r>
    </w:p>
    <w:p w14:paraId="410A81F0">
      <w:pPr>
        <w:pStyle w:val="13"/>
        <w:tabs>
          <w:tab w:val="right" w:leader="dot" w:pos="8306"/>
        </w:tabs>
      </w:pPr>
      <w:r>
        <w:rPr>
          <w:rFonts w:hint="eastAsia"/>
        </w:rPr>
        <w:fldChar w:fldCharType="begin"/>
      </w:r>
      <w:r>
        <w:instrText xml:space="preserve"> HYPERLINK \l "_Toc17920" </w:instrText>
      </w:r>
      <w:r>
        <w:rPr>
          <w:rFonts w:hint="eastAsia"/>
        </w:rPr>
        <w:fldChar w:fldCharType="separate"/>
      </w:r>
      <w:r>
        <w:rPr>
          <w:rFonts w:hint="eastAsia"/>
        </w:rPr>
        <w:t>2  术语与符号</w:t>
      </w:r>
      <w:r>
        <w:tab/>
      </w:r>
      <w:r>
        <w:rPr>
          <w:rFonts w:hint="eastAsia"/>
        </w:rPr>
        <w:t>4</w:t>
      </w:r>
      <w:r>
        <w:rPr>
          <w:rFonts w:hint="eastAsia"/>
        </w:rPr>
        <w:fldChar w:fldCharType="end"/>
      </w:r>
      <w:r>
        <w:rPr>
          <w:rFonts w:hint="eastAsia"/>
        </w:rPr>
        <w:t>6</w:t>
      </w:r>
    </w:p>
    <w:p w14:paraId="4B27A5A2">
      <w:pPr>
        <w:pStyle w:val="14"/>
        <w:tabs>
          <w:tab w:val="right" w:leader="dot" w:pos="8306"/>
        </w:tabs>
      </w:pPr>
      <w:r>
        <w:rPr>
          <w:rFonts w:hint="eastAsia"/>
        </w:rPr>
        <w:fldChar w:fldCharType="begin"/>
      </w:r>
      <w:r>
        <w:instrText xml:space="preserve"> HYPERLINK \l "_Toc7404" </w:instrText>
      </w:r>
      <w:r>
        <w:rPr>
          <w:rFonts w:hint="eastAsia"/>
        </w:rPr>
        <w:fldChar w:fldCharType="separate"/>
      </w:r>
      <w:r>
        <w:rPr>
          <w:rFonts w:hint="eastAsia"/>
        </w:rPr>
        <w:t>2.1  术语</w:t>
      </w:r>
      <w:r>
        <w:tab/>
      </w:r>
      <w:r>
        <w:rPr>
          <w:rFonts w:hint="eastAsia"/>
        </w:rPr>
        <w:t>4</w:t>
      </w:r>
      <w:r>
        <w:rPr>
          <w:rFonts w:hint="eastAsia"/>
        </w:rPr>
        <w:fldChar w:fldCharType="end"/>
      </w:r>
      <w:r>
        <w:rPr>
          <w:rFonts w:hint="eastAsia"/>
        </w:rPr>
        <w:t>6</w:t>
      </w:r>
    </w:p>
    <w:p w14:paraId="4B0A22B3">
      <w:pPr>
        <w:pStyle w:val="13"/>
        <w:tabs>
          <w:tab w:val="right" w:leader="dot" w:pos="8306"/>
        </w:tabs>
      </w:pPr>
      <w:r>
        <w:rPr>
          <w:rFonts w:hint="eastAsia"/>
        </w:rPr>
        <w:fldChar w:fldCharType="begin"/>
      </w:r>
      <w:r>
        <w:instrText xml:space="preserve"> HYPERLINK \l "_Toc14408" </w:instrText>
      </w:r>
      <w:r>
        <w:rPr>
          <w:rFonts w:hint="eastAsia"/>
        </w:rPr>
        <w:fldChar w:fldCharType="separate"/>
      </w:r>
      <w:r>
        <w:rPr>
          <w:rFonts w:hint="eastAsia"/>
        </w:rPr>
        <w:t>3</w:t>
      </w:r>
      <w:r>
        <w:t xml:space="preserve"> </w:t>
      </w:r>
      <w:r>
        <w:rPr>
          <w:rFonts w:hint="eastAsia"/>
        </w:rPr>
        <w:t xml:space="preserve"> 基本规定</w:t>
      </w:r>
      <w:r>
        <w:tab/>
      </w:r>
      <w:r>
        <w:rPr>
          <w:rFonts w:hint="eastAsia"/>
        </w:rPr>
        <w:t>4</w:t>
      </w:r>
      <w:r>
        <w:rPr>
          <w:rFonts w:hint="eastAsia"/>
        </w:rPr>
        <w:fldChar w:fldCharType="end"/>
      </w:r>
      <w:r>
        <w:rPr>
          <w:rFonts w:hint="eastAsia"/>
        </w:rPr>
        <w:t>7</w:t>
      </w:r>
    </w:p>
    <w:p w14:paraId="5EE2079D">
      <w:pPr>
        <w:pStyle w:val="13"/>
        <w:tabs>
          <w:tab w:val="right" w:leader="dot" w:pos="8306"/>
        </w:tabs>
      </w:pPr>
      <w:r>
        <w:rPr>
          <w:rFonts w:hint="eastAsia"/>
        </w:rPr>
        <w:fldChar w:fldCharType="begin"/>
      </w:r>
      <w:r>
        <w:instrText xml:space="preserve"> HYPERLINK \l "_Toc24971" </w:instrText>
      </w:r>
      <w:r>
        <w:rPr>
          <w:rFonts w:hint="eastAsia"/>
        </w:rPr>
        <w:fldChar w:fldCharType="separate"/>
      </w:r>
      <w:r>
        <w:rPr>
          <w:rFonts w:hint="eastAsia"/>
        </w:rPr>
        <w:t xml:space="preserve">4 </w:t>
      </w:r>
      <w:r>
        <w:t xml:space="preserve"> </w:t>
      </w:r>
      <w:r>
        <w:rPr>
          <w:rFonts w:hint="eastAsia"/>
        </w:rPr>
        <w:t>勘察与环境调查</w:t>
      </w:r>
      <w:r>
        <w:tab/>
      </w:r>
      <w:r>
        <w:rPr>
          <w:rFonts w:hint="eastAsia"/>
        </w:rPr>
        <w:t>48</w:t>
      </w:r>
      <w:r>
        <w:rPr>
          <w:rFonts w:hint="eastAsia"/>
        </w:rPr>
        <w:fldChar w:fldCharType="end"/>
      </w:r>
    </w:p>
    <w:p w14:paraId="204B0307">
      <w:pPr>
        <w:pStyle w:val="14"/>
        <w:tabs>
          <w:tab w:val="right" w:leader="dot" w:pos="8306"/>
        </w:tabs>
      </w:pPr>
      <w:r>
        <w:fldChar w:fldCharType="begin"/>
      </w:r>
      <w:r>
        <w:instrText xml:space="preserve"> HYPERLINK \l "_Toc19325" </w:instrText>
      </w:r>
      <w:r>
        <w:fldChar w:fldCharType="separate"/>
      </w:r>
      <w:r>
        <w:rPr>
          <w:rFonts w:hint="eastAsia"/>
        </w:rPr>
        <w:t>4.1  一般规定</w:t>
      </w:r>
      <w:r>
        <w:tab/>
      </w:r>
      <w:r>
        <w:fldChar w:fldCharType="end"/>
      </w:r>
      <w:r>
        <w:rPr>
          <w:rFonts w:hint="eastAsia"/>
        </w:rPr>
        <w:t>48</w:t>
      </w:r>
    </w:p>
    <w:p w14:paraId="78BFFA15">
      <w:pPr>
        <w:pStyle w:val="13"/>
        <w:tabs>
          <w:tab w:val="right" w:leader="dot" w:pos="8306"/>
        </w:tabs>
      </w:pPr>
      <w:r>
        <w:fldChar w:fldCharType="begin"/>
      </w:r>
      <w:r>
        <w:instrText xml:space="preserve"> HYPERLINK \l "_Toc1962" </w:instrText>
      </w:r>
      <w:r>
        <w:fldChar w:fldCharType="separate"/>
      </w:r>
      <w:r>
        <w:rPr>
          <w:rFonts w:hint="eastAsia"/>
        </w:rPr>
        <w:t>5</w:t>
      </w:r>
      <w:r>
        <w:t xml:space="preserve"> </w:t>
      </w:r>
      <w:r>
        <w:rPr>
          <w:rFonts w:hint="eastAsia"/>
        </w:rPr>
        <w:t xml:space="preserve"> 支护设计</w:t>
      </w:r>
      <w:r>
        <w:tab/>
      </w:r>
      <w:r>
        <w:fldChar w:fldCharType="end"/>
      </w:r>
      <w:r>
        <w:rPr>
          <w:rFonts w:hint="eastAsia"/>
        </w:rPr>
        <w:t>49</w:t>
      </w:r>
    </w:p>
    <w:p w14:paraId="77E9EFF6">
      <w:pPr>
        <w:pStyle w:val="14"/>
        <w:tabs>
          <w:tab w:val="right" w:leader="dot" w:pos="8306"/>
        </w:tabs>
      </w:pPr>
      <w:r>
        <w:fldChar w:fldCharType="begin"/>
      </w:r>
      <w:r>
        <w:instrText xml:space="preserve"> HYPERLINK \l "_Toc32069" </w:instrText>
      </w:r>
      <w:r>
        <w:fldChar w:fldCharType="separate"/>
      </w:r>
      <w:r>
        <w:t>5.</w:t>
      </w:r>
      <w:r>
        <w:rPr>
          <w:rFonts w:hint="eastAsia"/>
        </w:rPr>
        <w:t>2  设计计算</w:t>
      </w:r>
      <w:r>
        <w:tab/>
      </w:r>
      <w:r>
        <w:fldChar w:fldCharType="end"/>
      </w:r>
      <w:r>
        <w:rPr>
          <w:rFonts w:hint="eastAsia"/>
        </w:rPr>
        <w:t>49</w:t>
      </w:r>
    </w:p>
    <w:p w14:paraId="64A7A5C7">
      <w:pPr>
        <w:pStyle w:val="14"/>
        <w:tabs>
          <w:tab w:val="right" w:leader="dot" w:pos="8306"/>
        </w:tabs>
      </w:pPr>
      <w:r>
        <w:fldChar w:fldCharType="begin"/>
      </w:r>
      <w:r>
        <w:instrText xml:space="preserve"> HYPERLINK \l "_Toc27480" </w:instrText>
      </w:r>
      <w:r>
        <w:fldChar w:fldCharType="separate"/>
      </w:r>
      <w:r>
        <w:rPr>
          <w:rFonts w:hint="eastAsia"/>
        </w:rPr>
        <w:t>5.3  布置与构造</w:t>
      </w:r>
      <w:r>
        <w:tab/>
      </w:r>
      <w:r>
        <w:fldChar w:fldCharType="end"/>
      </w:r>
      <w:r>
        <w:rPr>
          <w:rFonts w:hint="eastAsia"/>
        </w:rPr>
        <w:t>49</w:t>
      </w:r>
    </w:p>
    <w:p w14:paraId="0E8FB569">
      <w:pPr>
        <w:pStyle w:val="14"/>
        <w:tabs>
          <w:tab w:val="right" w:leader="dot" w:pos="8306"/>
        </w:tabs>
      </w:pPr>
      <w:r>
        <w:fldChar w:fldCharType="begin"/>
      </w:r>
      <w:r>
        <w:instrText xml:space="preserve"> HYPERLINK \l "_Toc25946" </w:instrText>
      </w:r>
      <w:r>
        <w:fldChar w:fldCharType="separate"/>
      </w:r>
      <w:r>
        <w:rPr>
          <w:rFonts w:hint="eastAsia"/>
        </w:rPr>
        <w:t>5.4  防渗止水设计</w:t>
      </w:r>
      <w:r>
        <w:tab/>
      </w:r>
      <w:r>
        <w:fldChar w:fldCharType="begin"/>
      </w:r>
      <w:r>
        <w:instrText xml:space="preserve"> PAGEREF _Toc25946 \h </w:instrText>
      </w:r>
      <w:r>
        <w:fldChar w:fldCharType="separate"/>
      </w:r>
      <w:r>
        <w:rPr>
          <w:rFonts w:hint="eastAsia"/>
        </w:rPr>
        <w:t>5</w:t>
      </w:r>
      <w:r>
        <w:fldChar w:fldCharType="end"/>
      </w:r>
      <w:r>
        <w:fldChar w:fldCharType="end"/>
      </w:r>
      <w:r>
        <w:rPr>
          <w:rFonts w:hint="eastAsia"/>
        </w:rPr>
        <w:t>0</w:t>
      </w:r>
    </w:p>
    <w:p w14:paraId="3A2F491F">
      <w:pPr>
        <w:pStyle w:val="14"/>
        <w:tabs>
          <w:tab w:val="right" w:leader="dot" w:pos="8306"/>
        </w:tabs>
      </w:pPr>
      <w:r>
        <w:rPr>
          <w:rFonts w:hint="eastAsia"/>
        </w:rPr>
        <w:fldChar w:fldCharType="begin"/>
      </w:r>
      <w:r>
        <w:instrText xml:space="preserve"> HYPERLINK \l "_Toc3474" </w:instrText>
      </w:r>
      <w:r>
        <w:rPr>
          <w:rFonts w:hint="eastAsia"/>
        </w:rPr>
        <w:fldChar w:fldCharType="separate"/>
      </w:r>
      <w:r>
        <w:t>5</w:t>
      </w:r>
      <w:r>
        <w:rPr>
          <w:rFonts w:hint="eastAsia"/>
        </w:rPr>
        <w:t>.5  防腐设计</w:t>
      </w:r>
      <w:r>
        <w:tab/>
      </w:r>
      <w:r>
        <w:rPr>
          <w:rFonts w:hint="eastAsia"/>
        </w:rPr>
        <w:t>5</w:t>
      </w:r>
      <w:r>
        <w:rPr>
          <w:rFonts w:hint="eastAsia"/>
        </w:rPr>
        <w:fldChar w:fldCharType="end"/>
      </w:r>
      <w:r>
        <w:rPr>
          <w:rFonts w:hint="eastAsia"/>
        </w:rPr>
        <w:t>1</w:t>
      </w:r>
    </w:p>
    <w:p w14:paraId="43150B25">
      <w:pPr>
        <w:pStyle w:val="13"/>
        <w:tabs>
          <w:tab w:val="right" w:leader="dot" w:pos="8306"/>
        </w:tabs>
      </w:pPr>
      <w:r>
        <w:rPr>
          <w:rFonts w:hint="eastAsia"/>
        </w:rPr>
        <w:fldChar w:fldCharType="begin"/>
      </w:r>
      <w:r>
        <w:instrText xml:space="preserve"> HYPERLINK \l "_Toc26982" </w:instrText>
      </w:r>
      <w:r>
        <w:rPr>
          <w:rFonts w:hint="eastAsia"/>
        </w:rPr>
        <w:fldChar w:fldCharType="separate"/>
      </w:r>
      <w:r>
        <w:rPr>
          <w:rFonts w:hint="eastAsia"/>
        </w:rPr>
        <w:t>6</w:t>
      </w:r>
      <w:r>
        <w:t xml:space="preserve"> </w:t>
      </w:r>
      <w:r>
        <w:rPr>
          <w:rFonts w:hint="eastAsia"/>
        </w:rPr>
        <w:t xml:space="preserve"> 施工</w:t>
      </w:r>
      <w:r>
        <w:tab/>
      </w:r>
      <w:r>
        <w:rPr>
          <w:rFonts w:hint="eastAsia"/>
        </w:rPr>
        <w:t>5</w:t>
      </w:r>
      <w:r>
        <w:rPr>
          <w:rFonts w:hint="eastAsia"/>
        </w:rPr>
        <w:fldChar w:fldCharType="end"/>
      </w:r>
      <w:r>
        <w:rPr>
          <w:rFonts w:hint="eastAsia"/>
        </w:rPr>
        <w:t>3</w:t>
      </w:r>
    </w:p>
    <w:p w14:paraId="19595EF7">
      <w:pPr>
        <w:pStyle w:val="14"/>
        <w:tabs>
          <w:tab w:val="right" w:leader="dot" w:pos="8306"/>
        </w:tabs>
      </w:pPr>
      <w:r>
        <w:rPr>
          <w:rFonts w:hint="eastAsia"/>
        </w:rPr>
        <w:fldChar w:fldCharType="begin"/>
      </w:r>
      <w:r>
        <w:instrText xml:space="preserve"> HYPERLINK \l "_Toc21221" </w:instrText>
      </w:r>
      <w:r>
        <w:rPr>
          <w:rFonts w:hint="eastAsia"/>
        </w:rPr>
        <w:fldChar w:fldCharType="separate"/>
      </w:r>
      <w:r>
        <w:rPr>
          <w:rFonts w:hint="eastAsia"/>
        </w:rPr>
        <w:t>6.1  一般规定</w:t>
      </w:r>
      <w:r>
        <w:tab/>
      </w:r>
      <w:r>
        <w:rPr>
          <w:rFonts w:hint="eastAsia"/>
        </w:rPr>
        <w:t>5</w:t>
      </w:r>
      <w:r>
        <w:rPr>
          <w:rFonts w:hint="eastAsia"/>
        </w:rPr>
        <w:fldChar w:fldCharType="end"/>
      </w:r>
      <w:r>
        <w:rPr>
          <w:rFonts w:hint="eastAsia"/>
        </w:rPr>
        <w:t>3</w:t>
      </w:r>
    </w:p>
    <w:p w14:paraId="149CD903">
      <w:pPr>
        <w:pStyle w:val="14"/>
        <w:tabs>
          <w:tab w:val="right" w:leader="dot" w:pos="8306"/>
        </w:tabs>
      </w:pPr>
      <w:r>
        <w:rPr>
          <w:rFonts w:hint="eastAsia"/>
        </w:rPr>
        <w:fldChar w:fldCharType="begin"/>
      </w:r>
      <w:r>
        <w:instrText xml:space="preserve"> HYPERLINK \l "_Toc28706" </w:instrText>
      </w:r>
      <w:r>
        <w:rPr>
          <w:rFonts w:hint="eastAsia"/>
        </w:rPr>
        <w:fldChar w:fldCharType="separate"/>
      </w:r>
      <w:r>
        <w:rPr>
          <w:rFonts w:hint="eastAsia"/>
        </w:rPr>
        <w:t>6.2  运输吊装和堆放</w:t>
      </w:r>
      <w:r>
        <w:tab/>
      </w:r>
      <w:r>
        <w:rPr>
          <w:rFonts w:hint="eastAsia"/>
        </w:rPr>
        <w:t>5</w:t>
      </w:r>
      <w:r>
        <w:rPr>
          <w:rFonts w:hint="eastAsia"/>
        </w:rPr>
        <w:fldChar w:fldCharType="end"/>
      </w:r>
      <w:r>
        <w:rPr>
          <w:rFonts w:hint="eastAsia"/>
        </w:rPr>
        <w:t>3</w:t>
      </w:r>
    </w:p>
    <w:p w14:paraId="603E132B">
      <w:pPr>
        <w:pStyle w:val="14"/>
        <w:tabs>
          <w:tab w:val="right" w:leader="dot" w:pos="8306"/>
        </w:tabs>
      </w:pPr>
      <w:r>
        <w:rPr>
          <w:rFonts w:hint="eastAsia"/>
        </w:rPr>
        <w:fldChar w:fldCharType="begin"/>
      </w:r>
      <w:r>
        <w:instrText xml:space="preserve"> HYPERLINK \l "_Toc22828" </w:instrText>
      </w:r>
      <w:r>
        <w:rPr>
          <w:rFonts w:hint="eastAsia"/>
        </w:rPr>
        <w:fldChar w:fldCharType="separate"/>
      </w:r>
      <w:r>
        <w:rPr>
          <w:rFonts w:hint="eastAsia"/>
        </w:rPr>
        <w:t>6.3</w:t>
      </w:r>
      <w:r>
        <w:t xml:space="preserve"> </w:t>
      </w:r>
      <w:r>
        <w:rPr>
          <w:rFonts w:hint="eastAsia"/>
        </w:rPr>
        <w:t xml:space="preserve"> 压桩</w:t>
      </w:r>
      <w:r>
        <w:tab/>
      </w:r>
      <w:r>
        <w:rPr>
          <w:rFonts w:hint="eastAsia"/>
        </w:rPr>
        <w:t>5</w:t>
      </w:r>
      <w:r>
        <w:rPr>
          <w:rFonts w:hint="eastAsia"/>
        </w:rPr>
        <w:fldChar w:fldCharType="end"/>
      </w:r>
      <w:r>
        <w:rPr>
          <w:rFonts w:hint="eastAsia"/>
        </w:rPr>
        <w:t>5</w:t>
      </w:r>
    </w:p>
    <w:p w14:paraId="4872329C">
      <w:pPr>
        <w:pStyle w:val="14"/>
        <w:tabs>
          <w:tab w:val="right" w:leader="dot" w:pos="8306"/>
        </w:tabs>
      </w:pPr>
      <w:r>
        <w:fldChar w:fldCharType="begin"/>
      </w:r>
      <w:r>
        <w:instrText xml:space="preserve"> HYPERLINK \l "_Toc12799" </w:instrText>
      </w:r>
      <w:r>
        <w:fldChar w:fldCharType="separate"/>
      </w:r>
      <w:r>
        <w:rPr>
          <w:rFonts w:hint="eastAsia"/>
        </w:rPr>
        <w:t>6.4  接桩</w:t>
      </w:r>
      <w:r>
        <w:tab/>
      </w:r>
      <w:r>
        <w:fldChar w:fldCharType="end"/>
      </w:r>
      <w:r>
        <w:rPr>
          <w:rFonts w:hint="eastAsia"/>
        </w:rPr>
        <w:t>57</w:t>
      </w:r>
    </w:p>
    <w:p w14:paraId="600C6A47">
      <w:pPr>
        <w:pStyle w:val="14"/>
        <w:tabs>
          <w:tab w:val="right" w:leader="dot" w:pos="8306"/>
        </w:tabs>
      </w:pPr>
      <w:r>
        <w:fldChar w:fldCharType="begin"/>
      </w:r>
      <w:r>
        <w:instrText xml:space="preserve"> HYPERLINK \l "_Toc10531" </w:instrText>
      </w:r>
      <w:r>
        <w:fldChar w:fldCharType="separate"/>
      </w:r>
      <w:r>
        <w:rPr>
          <w:rFonts w:hint="eastAsia"/>
        </w:rPr>
        <w:t>6.5  拔桩与回收</w:t>
      </w:r>
      <w:r>
        <w:tab/>
      </w:r>
      <w:r>
        <w:fldChar w:fldCharType="end"/>
      </w:r>
      <w:r>
        <w:rPr>
          <w:rFonts w:hint="eastAsia"/>
        </w:rPr>
        <w:t>57</w:t>
      </w:r>
    </w:p>
    <w:p w14:paraId="57561D4D">
      <w:pPr>
        <w:pStyle w:val="13"/>
        <w:tabs>
          <w:tab w:val="right" w:leader="dot" w:pos="8306"/>
        </w:tabs>
      </w:pPr>
      <w:r>
        <w:fldChar w:fldCharType="begin"/>
      </w:r>
      <w:r>
        <w:instrText xml:space="preserve"> HYPERLINK \l "_Toc18062" </w:instrText>
      </w:r>
      <w:r>
        <w:fldChar w:fldCharType="separate"/>
      </w:r>
      <w:r>
        <w:rPr>
          <w:rFonts w:hint="eastAsia"/>
        </w:rPr>
        <w:t>7</w:t>
      </w:r>
      <w:r>
        <w:t xml:space="preserve">  </w:t>
      </w:r>
      <w:r>
        <w:rPr>
          <w:rFonts w:hint="eastAsia"/>
        </w:rPr>
        <w:t>检测与验收</w:t>
      </w:r>
      <w:r>
        <w:tab/>
      </w:r>
      <w:r>
        <w:fldChar w:fldCharType="end"/>
      </w:r>
      <w:r>
        <w:rPr>
          <w:rFonts w:hint="eastAsia"/>
        </w:rPr>
        <w:t>58</w:t>
      </w:r>
    </w:p>
    <w:p w14:paraId="1DAF0850">
      <w:pPr>
        <w:pStyle w:val="14"/>
        <w:tabs>
          <w:tab w:val="right" w:leader="dot" w:pos="8306"/>
        </w:tabs>
      </w:pPr>
      <w:r>
        <w:fldChar w:fldCharType="begin"/>
      </w:r>
      <w:r>
        <w:instrText xml:space="preserve"> HYPERLINK \l "_Toc3771" </w:instrText>
      </w:r>
      <w:r>
        <w:fldChar w:fldCharType="separate"/>
      </w:r>
      <w:r>
        <w:rPr>
          <w:rFonts w:hint="eastAsia"/>
        </w:rPr>
        <w:t>7.1  进场检验</w:t>
      </w:r>
      <w:r>
        <w:tab/>
      </w:r>
      <w:r>
        <w:fldChar w:fldCharType="end"/>
      </w:r>
      <w:r>
        <w:rPr>
          <w:rFonts w:hint="eastAsia"/>
        </w:rPr>
        <w:t>58</w:t>
      </w:r>
    </w:p>
    <w:p w14:paraId="5EDEA9C5">
      <w:pPr>
        <w:pStyle w:val="13"/>
        <w:tabs>
          <w:tab w:val="right" w:leader="dot" w:pos="8306"/>
        </w:tabs>
      </w:pPr>
      <w:r>
        <w:fldChar w:fldCharType="begin"/>
      </w:r>
      <w:r>
        <w:instrText xml:space="preserve"> HYPERLINK \l "_Toc29919" </w:instrText>
      </w:r>
      <w:r>
        <w:fldChar w:fldCharType="separate"/>
      </w:r>
      <w:r>
        <w:rPr>
          <w:rFonts w:hint="eastAsia"/>
        </w:rPr>
        <w:t>8  开挖与监测</w:t>
      </w:r>
      <w:r>
        <w:tab/>
      </w:r>
      <w:r>
        <w:fldChar w:fldCharType="end"/>
      </w:r>
      <w:r>
        <w:rPr>
          <w:rFonts w:hint="eastAsia"/>
        </w:rPr>
        <w:t>59</w:t>
      </w:r>
    </w:p>
    <w:p w14:paraId="1F23DA10">
      <w:pPr>
        <w:pStyle w:val="14"/>
        <w:tabs>
          <w:tab w:val="right" w:leader="dot" w:pos="8306"/>
        </w:tabs>
      </w:pPr>
      <w:r>
        <w:fldChar w:fldCharType="begin"/>
      </w:r>
      <w:r>
        <w:instrText xml:space="preserve"> HYPERLINK \l "_Toc24525" </w:instrText>
      </w:r>
      <w:r>
        <w:fldChar w:fldCharType="separate"/>
      </w:r>
      <w:r>
        <w:rPr>
          <w:rFonts w:hint="eastAsia"/>
        </w:rPr>
        <w:t xml:space="preserve">8.1  </w:t>
      </w:r>
      <w:r>
        <w:t>一般规定</w:t>
      </w:r>
      <w:r>
        <w:tab/>
      </w:r>
      <w:r>
        <w:fldChar w:fldCharType="end"/>
      </w:r>
      <w:r>
        <w:rPr>
          <w:rFonts w:hint="eastAsia"/>
        </w:rPr>
        <w:t>59</w:t>
      </w:r>
    </w:p>
    <w:p w14:paraId="3D715614">
      <w:pPr>
        <w:pStyle w:val="14"/>
        <w:tabs>
          <w:tab w:val="right" w:leader="dot" w:pos="8306"/>
        </w:tabs>
      </w:pPr>
      <w:r>
        <w:fldChar w:fldCharType="begin"/>
      </w:r>
      <w:r>
        <w:instrText xml:space="preserve"> HYPERLINK \l "_Toc18962" </w:instrText>
      </w:r>
      <w:r>
        <w:fldChar w:fldCharType="separate"/>
      </w:r>
      <w:r>
        <w:rPr>
          <w:rFonts w:hint="eastAsia"/>
        </w:rPr>
        <w:t>8.2  土方开挖</w:t>
      </w:r>
      <w:r>
        <w:tab/>
      </w:r>
      <w:r>
        <w:fldChar w:fldCharType="end"/>
      </w:r>
      <w:r>
        <w:rPr>
          <w:rFonts w:hint="eastAsia"/>
        </w:rPr>
        <w:t>59</w:t>
      </w:r>
    </w:p>
    <w:p w14:paraId="400014EF">
      <w:pPr>
        <w:pStyle w:val="14"/>
        <w:tabs>
          <w:tab w:val="right" w:leader="dot" w:pos="8306"/>
        </w:tabs>
      </w:pPr>
      <w:r>
        <w:fldChar w:fldCharType="begin"/>
      </w:r>
      <w:r>
        <w:instrText xml:space="preserve"> HYPERLINK \l "_Toc7561" </w:instrText>
      </w:r>
      <w:r>
        <w:fldChar w:fldCharType="separate"/>
      </w:r>
      <w:r>
        <w:rPr>
          <w:rFonts w:hint="eastAsia"/>
        </w:rPr>
        <w:t>8.3</w:t>
      </w:r>
      <w:r>
        <w:t xml:space="preserve">  </w:t>
      </w:r>
      <w:r>
        <w:rPr>
          <w:rFonts w:hint="eastAsia"/>
        </w:rPr>
        <w:t>监测</w:t>
      </w:r>
      <w:r>
        <w:tab/>
      </w:r>
      <w:r>
        <w:fldChar w:fldCharType="end"/>
      </w:r>
      <w:r>
        <w:rPr>
          <w:rFonts w:hint="eastAsia"/>
        </w:rPr>
        <w:t>59</w:t>
      </w:r>
    </w:p>
    <w:p w14:paraId="5E2FDC3B">
      <w:pPr>
        <w:pStyle w:val="13"/>
      </w:pPr>
      <w:r>
        <w:rPr>
          <w:rFonts w:hint="eastAsia"/>
        </w:rPr>
        <w:fldChar w:fldCharType="end"/>
      </w:r>
    </w:p>
    <w:p w14:paraId="6D20A13E">
      <w:pPr>
        <w:sectPr>
          <w:footerReference r:id="rId15" w:type="default"/>
          <w:pgSz w:w="11906" w:h="16838"/>
          <w:pgMar w:top="1440" w:right="1800" w:bottom="1440" w:left="1800" w:header="851" w:footer="992" w:gutter="0"/>
          <w:pgNumType w:start="44"/>
          <w:cols w:space="720" w:num="1"/>
          <w:docGrid w:type="lines" w:linePitch="312" w:charSpace="0"/>
        </w:sectPr>
      </w:pPr>
    </w:p>
    <w:p w14:paraId="17D6B140">
      <w:pPr>
        <w:pStyle w:val="2"/>
      </w:pPr>
      <w:r>
        <w:rPr>
          <w:rFonts w:hint="eastAsia"/>
        </w:rPr>
        <w:t>1  总  则</w:t>
      </w:r>
    </w:p>
    <w:p w14:paraId="225AA31E">
      <w:r>
        <w:rPr>
          <w:rFonts w:hint="eastAsia"/>
          <w:b/>
          <w:bCs/>
        </w:rPr>
        <w:t>1.0.1</w:t>
      </w:r>
      <w:r>
        <w:rPr>
          <w:rFonts w:hint="eastAsia"/>
        </w:rPr>
        <w:t xml:space="preserve">  静压钢板桩支护主要在建筑工程、市政工程、水运工程等领域采用，本规程主要采用U型钢板桩静压施工。</w:t>
      </w:r>
    </w:p>
    <w:p w14:paraId="0A307897">
      <w:r>
        <w:rPr>
          <w:rFonts w:hint="eastAsia"/>
          <w:b/>
          <w:bCs/>
        </w:rPr>
        <w:t>1.0.2</w:t>
      </w:r>
      <w:r>
        <w:rPr>
          <w:rFonts w:hint="eastAsia"/>
        </w:rPr>
        <w:t xml:space="preserve">  </w:t>
      </w:r>
      <w:r>
        <w:t>为加强广西壮族自治区</w:t>
      </w:r>
      <w:r>
        <w:rPr>
          <w:rFonts w:hint="eastAsia"/>
        </w:rPr>
        <w:t>静压钢板桩</w:t>
      </w:r>
      <w:r>
        <w:t>行业监督管理，规范</w:t>
      </w:r>
      <w:r>
        <w:rPr>
          <w:rFonts w:hint="eastAsia"/>
        </w:rPr>
        <w:t>支护的勘察、设计、施工、监测、检测和验收</w:t>
      </w:r>
      <w:r>
        <w:t>，促进</w:t>
      </w:r>
      <w:r>
        <w:rPr>
          <w:rFonts w:hint="eastAsia"/>
        </w:rPr>
        <w:t>静压钢板桩</w:t>
      </w:r>
      <w:r>
        <w:t>行业健康、有序发展，</w:t>
      </w:r>
      <w:r>
        <w:rPr>
          <w:rFonts w:hint="eastAsia"/>
        </w:rPr>
        <w:t>规范编制组</w:t>
      </w:r>
      <w:r>
        <w:t>进行了相关研究，并形成《</w:t>
      </w:r>
      <w:r>
        <w:rPr>
          <w:rFonts w:hint="eastAsia"/>
        </w:rPr>
        <w:t>静压钢板桩支护技术规程</w:t>
      </w:r>
      <w:r>
        <w:t>》。</w:t>
      </w:r>
    </w:p>
    <w:p w14:paraId="008EDF4C">
      <w:r>
        <w:rPr>
          <w:rFonts w:hint="eastAsia"/>
          <w:b/>
          <w:bCs/>
        </w:rPr>
        <w:t>1.0.3</w:t>
      </w:r>
      <w:r>
        <w:rPr>
          <w:rFonts w:hint="eastAsia"/>
        </w:rPr>
        <w:t xml:space="preserve">  静压植桩技术具有许多优点，如：①振动小，施工基本无噪声；②施工过程中可记录压桩阻力，压桩过程直观，异常情况容易判断，可克服坚硬地层；③自动化操作程度高，施工速度快；④低碳节能，施工文明，止水效果好，场地整洁等。静力压桩法被称为“环保型”绿色沉桩技术，20世纪初欧洲开始生产，在20世纪50年中国开始进口采用。</w:t>
      </w:r>
    </w:p>
    <w:p w14:paraId="0419210F">
      <w:pPr>
        <w:ind w:firstLine="420" w:firstLineChars="200"/>
      </w:pPr>
      <w:r>
        <w:rPr>
          <w:rFonts w:hint="eastAsia"/>
        </w:rPr>
        <w:t>静压钢板桩施工是实践性很强的工艺，与工程地质和水文地质条件非常相关，所以具有很强的区域性，但也有较强的规律性，故应重视地区经验的积累总结。</w:t>
      </w:r>
    </w:p>
    <w:p w14:paraId="5315E3A3"/>
    <w:p w14:paraId="09CAC97B"/>
    <w:p w14:paraId="43A01F11"/>
    <w:p w14:paraId="70D4AF88">
      <w:pPr>
        <w:pStyle w:val="2"/>
        <w:sectPr>
          <w:footerReference r:id="rId16" w:type="default"/>
          <w:pgSz w:w="11906" w:h="16838"/>
          <w:pgMar w:top="1440" w:right="1800" w:bottom="1440" w:left="1800" w:header="851" w:footer="992" w:gutter="0"/>
          <w:pgNumType w:start="46"/>
          <w:cols w:space="720" w:num="1"/>
          <w:docGrid w:type="lines" w:linePitch="312" w:charSpace="0"/>
        </w:sectPr>
      </w:pPr>
    </w:p>
    <w:p w14:paraId="2A5EE4E0">
      <w:pPr>
        <w:pStyle w:val="2"/>
      </w:pPr>
      <w:r>
        <w:rPr>
          <w:rFonts w:hint="eastAsia"/>
        </w:rPr>
        <w:t>2  术语与符号</w:t>
      </w:r>
    </w:p>
    <w:p w14:paraId="157F3194">
      <w:pPr>
        <w:pStyle w:val="3"/>
        <w:ind w:firstLine="281"/>
      </w:pPr>
      <w:r>
        <w:rPr>
          <w:rFonts w:hint="eastAsia"/>
        </w:rPr>
        <w:t>2.1 术语</w:t>
      </w:r>
    </w:p>
    <w:p w14:paraId="4B9DCA30">
      <w:r>
        <w:rPr>
          <w:rFonts w:hint="eastAsia"/>
          <w:b/>
          <w:bCs/>
        </w:rPr>
        <w:t>2.1.1</w:t>
      </w:r>
      <w:r>
        <w:rPr>
          <w:rFonts w:hint="eastAsia"/>
        </w:rPr>
        <w:t xml:space="preserve">  热轧钢板桩指对钢坯加热，经轧机轧制而成，截面为Z形、U形、帽形、直线形或其他形状，并能通过两侧锁口或连接件交互连接的型钢（构件）。冷弯钢板指对钢带进行连续辊弯变形，形成截面为Z形、U形、帽形或其他形状，并能通过两侧锁口或弯边交互连接的型钢（构件）。</w:t>
      </w:r>
    </w:p>
    <w:p w14:paraId="7F6281F4">
      <w:r>
        <w:rPr>
          <w:rFonts w:hint="eastAsia"/>
          <w:b/>
          <w:bCs/>
        </w:rPr>
        <w:t>2.1.19</w:t>
      </w:r>
      <w:r>
        <w:rPr>
          <w:rFonts w:hint="eastAsia"/>
        </w:rPr>
        <w:t xml:space="preserve">  压桩阻力是根据油缸油压值乘以压力换算系数计算而来；宜采用自动记录仪记录压桩阻力曲线；若无自动记录仪，应每米记录一次，进入持力层宜每0.5m记录一次。作为作用力与反作用力，压桩阻力值等同于压桩力值，压桩阻力曲线也可理解为压桩力曲线。</w:t>
      </w:r>
    </w:p>
    <w:p w14:paraId="01206AC6"/>
    <w:p w14:paraId="53ACEE98"/>
    <w:p w14:paraId="2C4A0DB2"/>
    <w:p w14:paraId="2FFC27C1">
      <w:pPr>
        <w:pStyle w:val="2"/>
        <w:sectPr>
          <w:footerReference r:id="rId17" w:type="default"/>
          <w:pgSz w:w="11906" w:h="16838"/>
          <w:pgMar w:top="1440" w:right="1800" w:bottom="1440" w:left="1800" w:header="851" w:footer="992" w:gutter="0"/>
          <w:pgNumType w:start="46"/>
          <w:cols w:space="720" w:num="1"/>
          <w:docGrid w:type="lines" w:linePitch="312" w:charSpace="0"/>
        </w:sectPr>
      </w:pPr>
    </w:p>
    <w:p w14:paraId="778DD287">
      <w:pPr>
        <w:pStyle w:val="2"/>
      </w:pPr>
      <w:r>
        <w:rPr>
          <w:rFonts w:hint="eastAsia"/>
        </w:rPr>
        <w:t>3</w:t>
      </w:r>
      <w:r>
        <w:t xml:space="preserve"> </w:t>
      </w:r>
      <w:r>
        <w:rPr>
          <w:rFonts w:hint="eastAsia"/>
        </w:rPr>
        <w:t xml:space="preserve"> 基本规定</w:t>
      </w:r>
    </w:p>
    <w:p w14:paraId="16D286D2">
      <w:r>
        <w:rPr>
          <w:rFonts w:hint="eastAsia"/>
          <w:b/>
          <w:bCs/>
        </w:rPr>
        <w:t>3.0.1</w:t>
      </w:r>
      <w:r>
        <w:rPr>
          <w:rFonts w:hint="eastAsia"/>
        </w:rPr>
        <w:t xml:space="preserve">  </w:t>
      </w:r>
      <w:r>
        <w:t>软弱</w:t>
      </w:r>
      <w:r>
        <w:rPr>
          <w:rFonts w:hint="eastAsia"/>
        </w:rPr>
        <w:t>土层是</w:t>
      </w:r>
      <w:r>
        <w:t>指主要由淤泥、淤泥质土、冲填土、杂填土或其它高压缩性土层构成的</w:t>
      </w:r>
      <w:r>
        <w:rPr>
          <w:rFonts w:hint="eastAsia"/>
        </w:rPr>
        <w:t>土层</w:t>
      </w:r>
      <w:r>
        <w:t>。当地基压缩层主要由淤泥、淤泥质土、冲填土、杂填土或其它高压缩性土层构成时应按软弱地基进行设计。在建筑地基的局部范围内有高压缩性土层时，亦应按局部软弱土层考虑。</w:t>
      </w:r>
    </w:p>
    <w:p w14:paraId="258AF0D8">
      <w:r>
        <w:rPr>
          <w:rFonts w:hint="eastAsia"/>
          <w:b/>
          <w:bCs/>
        </w:rPr>
        <w:t>3.0.2</w:t>
      </w:r>
      <w:r>
        <w:rPr>
          <w:rFonts w:hint="eastAsia"/>
        </w:rPr>
        <w:t xml:space="preserve">  本条主要是针对静压桩的特点，提出对勘察的要求。</w:t>
      </w:r>
    </w:p>
    <w:p w14:paraId="5E465E0B">
      <w:pPr>
        <w:ind w:firstLine="420" w:firstLineChars="200"/>
      </w:pPr>
      <w:r>
        <w:rPr>
          <w:rFonts w:hint="eastAsia"/>
        </w:rPr>
        <w:t>根据静压桩设备和工艺的特点，对勘察提出重点注意或特殊的要求。表层土地基承载力是复核压机接地压强是否满足要求，以及确定是否需要地基处理的重要指标。对浅部土层、障碍物的调查是为判断是否适合采用静压桩提供依据，也是确定是否需要采取清障等措施的前提。</w:t>
      </w:r>
    </w:p>
    <w:p w14:paraId="4C92A217">
      <w:r>
        <w:rPr>
          <w:rFonts w:hint="eastAsia"/>
          <w:b/>
          <w:bCs/>
        </w:rPr>
        <w:t>3.0.6</w:t>
      </w:r>
      <w:r>
        <w:rPr>
          <w:rFonts w:hint="eastAsia"/>
        </w:rPr>
        <w:t xml:space="preserve">  根据《工程结构可靠性设计统一标准》GB50153对房屋建筑使用年限的规定，设计使用年限5年的为临时性结构，设计使用年限50年的为普通房屋和构筑物。《建筑边坡工程技术规范》GB50330规定，永久性边坡为设计使用年限超过2年的边坡，临时性边坡为设计使用年限不超过2年的边坡。水利水电工程中围堰级别应根据其保护对象、实施后果、使用年限和临时性挡水建筑物规模进行划分，具体方法参见现行行业标准《水利水电工程等级划分及洪水标准》SL252、《水利水电工程围堰设计规范》SL645等规定。围堰工程水位、波浪设计标准应符合行业及地方等要求，若无特殊规定，设计水位可参照现行行业标准《水利水电工程围堰设计规范》SL645等确定，设计波浪、风速宜采用与设计水位相同的重现期，其设计重现期不宜低于25年。</w:t>
      </w:r>
    </w:p>
    <w:p w14:paraId="30611AE2">
      <w:pPr>
        <w:ind w:firstLine="420" w:firstLineChars="200"/>
      </w:pPr>
    </w:p>
    <w:p w14:paraId="1851115E"/>
    <w:p w14:paraId="7913FEA3">
      <w:pPr>
        <w:pStyle w:val="2"/>
        <w:sectPr>
          <w:footerReference r:id="rId18" w:type="default"/>
          <w:pgSz w:w="11906" w:h="16838"/>
          <w:pgMar w:top="1440" w:right="1800" w:bottom="1440" w:left="1800" w:header="851" w:footer="992" w:gutter="0"/>
          <w:pgNumType w:start="46"/>
          <w:cols w:space="720" w:num="1"/>
          <w:docGrid w:type="lines" w:linePitch="312" w:charSpace="0"/>
        </w:sectPr>
      </w:pPr>
    </w:p>
    <w:p w14:paraId="0F1CBBF6">
      <w:pPr>
        <w:pStyle w:val="2"/>
      </w:pPr>
      <w:r>
        <w:rPr>
          <w:rFonts w:hint="eastAsia"/>
        </w:rPr>
        <w:t xml:space="preserve">4 </w:t>
      </w:r>
      <w:r>
        <w:t xml:space="preserve"> </w:t>
      </w:r>
      <w:r>
        <w:rPr>
          <w:rFonts w:hint="eastAsia"/>
        </w:rPr>
        <w:t>勘察与环境调查</w:t>
      </w:r>
    </w:p>
    <w:p w14:paraId="5C6392E0">
      <w:pPr>
        <w:pStyle w:val="3"/>
        <w:ind w:firstLine="281"/>
      </w:pPr>
      <w:r>
        <w:rPr>
          <w:rFonts w:hint="eastAsia"/>
        </w:rPr>
        <w:t>4.1  一般规定</w:t>
      </w:r>
    </w:p>
    <w:p w14:paraId="7306724A">
      <w:r>
        <w:rPr>
          <w:rFonts w:hint="eastAsia"/>
          <w:b/>
          <w:bCs/>
        </w:rPr>
        <w:t>4.1.2</w:t>
      </w:r>
      <w:r>
        <w:rPr>
          <w:rFonts w:hint="eastAsia"/>
        </w:rPr>
        <w:t xml:space="preserve">  拟建场地和周边环境调查主要有三方面作用：</w:t>
      </w:r>
    </w:p>
    <w:p w14:paraId="595B75B2">
      <w:pPr>
        <w:ind w:firstLine="420" w:firstLineChars="200"/>
      </w:pPr>
      <w:r>
        <w:rPr>
          <w:rFonts w:hint="eastAsia"/>
        </w:rPr>
        <w:t>1 发现施工影响范围内的管线和建（构）筑物，以确定保护对象和保护等级；</w:t>
      </w:r>
    </w:p>
    <w:p w14:paraId="24BF0E66">
      <w:pPr>
        <w:ind w:firstLine="420" w:firstLineChars="200"/>
      </w:pPr>
      <w:r>
        <w:rPr>
          <w:rFonts w:hint="eastAsia"/>
        </w:rPr>
        <w:t>2 测量被保护对象的距离，对周边环境的影响分析时提供依据；</w:t>
      </w:r>
    </w:p>
    <w:p w14:paraId="509825A3">
      <w:pPr>
        <w:ind w:firstLine="420" w:firstLineChars="200"/>
      </w:pPr>
      <w:r>
        <w:rPr>
          <w:rFonts w:hint="eastAsia"/>
        </w:rPr>
        <w:t>3 测量与基坑支护、建（构）筑物的最小边桩距，为压桩设备选择提供依据。</w:t>
      </w:r>
    </w:p>
    <w:p w14:paraId="77E8BC19"/>
    <w:p w14:paraId="3684FBC6"/>
    <w:p w14:paraId="26BBBBF7"/>
    <w:p w14:paraId="0B26AED4">
      <w:pPr>
        <w:pStyle w:val="2"/>
        <w:sectPr>
          <w:footerReference r:id="rId19" w:type="default"/>
          <w:pgSz w:w="11906" w:h="16838"/>
          <w:pgMar w:top="1440" w:right="1800" w:bottom="1440" w:left="1800" w:header="851" w:footer="992" w:gutter="0"/>
          <w:pgNumType w:start="50"/>
          <w:cols w:space="720" w:num="1"/>
          <w:docGrid w:type="lines" w:linePitch="312" w:charSpace="0"/>
        </w:sectPr>
      </w:pPr>
    </w:p>
    <w:p w14:paraId="660DA20D">
      <w:pPr>
        <w:pStyle w:val="2"/>
      </w:pPr>
      <w:r>
        <w:rPr>
          <w:rFonts w:hint="eastAsia"/>
        </w:rPr>
        <w:t>5</w:t>
      </w:r>
      <w:r>
        <w:t xml:space="preserve"> </w:t>
      </w:r>
      <w:r>
        <w:rPr>
          <w:rFonts w:hint="eastAsia"/>
        </w:rPr>
        <w:t xml:space="preserve"> 支护设计</w:t>
      </w:r>
    </w:p>
    <w:p w14:paraId="340EBEEA">
      <w:pPr>
        <w:pStyle w:val="3"/>
        <w:ind w:firstLine="281"/>
      </w:pPr>
      <w:r>
        <w:t>5.</w:t>
      </w:r>
      <w:r>
        <w:rPr>
          <w:rFonts w:hint="eastAsia"/>
        </w:rPr>
        <w:t>2  设计计算</w:t>
      </w:r>
    </w:p>
    <w:p w14:paraId="34BEE9F4">
      <w:pPr>
        <w:rPr>
          <w:b/>
          <w:bCs/>
        </w:rPr>
      </w:pPr>
      <w:r>
        <w:rPr>
          <w:rFonts w:hint="eastAsia"/>
          <w:b/>
          <w:bCs/>
        </w:rPr>
        <w:t xml:space="preserve">5.2.1  </w:t>
      </w:r>
      <w:r>
        <w:rPr>
          <w:rFonts w:hint="eastAsia"/>
        </w:rPr>
        <w:t>不同支护结构适用条件见表5.2.1。</w:t>
      </w:r>
    </w:p>
    <w:p w14:paraId="1B221268">
      <w:pPr>
        <w:ind w:firstLine="210" w:firstLineChars="100"/>
        <w:jc w:val="center"/>
        <w:rPr>
          <w:b/>
          <w:bCs/>
        </w:rPr>
      </w:pPr>
      <w:r>
        <w:rPr>
          <w:rFonts w:hint="eastAsia"/>
        </w:rPr>
        <w:t>表5.2.1  不同支护结构适用条件</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6933"/>
      </w:tblGrid>
      <w:tr w14:paraId="00F0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14:paraId="0528CE51">
            <w:pPr>
              <w:jc w:val="center"/>
            </w:pPr>
            <w:r>
              <w:rPr>
                <w:rFonts w:hint="eastAsia"/>
              </w:rPr>
              <w:t>支护结构类型</w:t>
            </w:r>
          </w:p>
        </w:tc>
        <w:tc>
          <w:tcPr>
            <w:tcW w:w="6933" w:type="dxa"/>
            <w:vAlign w:val="center"/>
          </w:tcPr>
          <w:p w14:paraId="097FA530">
            <w:pPr>
              <w:jc w:val="center"/>
            </w:pPr>
            <w:r>
              <w:rPr>
                <w:rFonts w:hint="eastAsia"/>
              </w:rPr>
              <w:t>适用条件</w:t>
            </w:r>
          </w:p>
        </w:tc>
      </w:tr>
      <w:tr w14:paraId="781E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14:paraId="32BE3E82">
            <w:pPr>
              <w:jc w:val="center"/>
            </w:pPr>
            <w:r>
              <w:rPr>
                <w:rFonts w:hint="eastAsia"/>
              </w:rPr>
              <w:t>悬臂式结构</w:t>
            </w:r>
          </w:p>
        </w:tc>
        <w:tc>
          <w:tcPr>
            <w:tcW w:w="6933" w:type="dxa"/>
            <w:vAlign w:val="center"/>
          </w:tcPr>
          <w:p w14:paraId="4770CF3A">
            <w:pPr>
              <w:jc w:val="center"/>
            </w:pPr>
            <w:r>
              <w:rPr>
                <w:rFonts w:hint="eastAsia"/>
              </w:rPr>
              <w:t>用于非软土支护工程时，支护深度不宜大于6m，</w:t>
            </w:r>
          </w:p>
          <w:p w14:paraId="4DCACCC8">
            <w:pPr>
              <w:jc w:val="center"/>
            </w:pPr>
            <w:r>
              <w:rPr>
                <w:rFonts w:hint="eastAsia"/>
              </w:rPr>
              <w:t>用于软土支护工程时，支护深度不宜大于4m</w:t>
            </w:r>
          </w:p>
        </w:tc>
      </w:tr>
      <w:tr w14:paraId="20F5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14:paraId="57A7592D">
            <w:pPr>
              <w:jc w:val="center"/>
            </w:pPr>
            <w:r>
              <w:rPr>
                <w:rFonts w:hint="eastAsia"/>
              </w:rPr>
              <w:t>锚拉式结构</w:t>
            </w:r>
          </w:p>
        </w:tc>
        <w:tc>
          <w:tcPr>
            <w:tcW w:w="6933" w:type="dxa"/>
            <w:vAlign w:val="center"/>
          </w:tcPr>
          <w:p w14:paraId="4A14F488">
            <w:pPr>
              <w:jc w:val="center"/>
            </w:pPr>
            <w:r>
              <w:rPr>
                <w:rFonts w:hint="eastAsia"/>
              </w:rPr>
              <w:t>坑深不宜大于15m，常适用坑深4m~15m</w:t>
            </w:r>
          </w:p>
        </w:tc>
      </w:tr>
      <w:tr w14:paraId="4E6A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Align w:val="center"/>
          </w:tcPr>
          <w:p w14:paraId="1123C0D9">
            <w:pPr>
              <w:jc w:val="center"/>
            </w:pPr>
            <w:r>
              <w:rPr>
                <w:rFonts w:hint="eastAsia"/>
              </w:rPr>
              <w:t>支撑式结构</w:t>
            </w:r>
          </w:p>
        </w:tc>
        <w:tc>
          <w:tcPr>
            <w:tcW w:w="6933" w:type="dxa"/>
            <w:vAlign w:val="center"/>
          </w:tcPr>
          <w:p w14:paraId="23AA1169">
            <w:pPr>
              <w:jc w:val="center"/>
            </w:pPr>
            <w:r>
              <w:rPr>
                <w:rFonts w:hint="eastAsia"/>
              </w:rPr>
              <w:t>坑深不宜大于18m，常适用坑深4m~18m</w:t>
            </w:r>
          </w:p>
        </w:tc>
      </w:tr>
    </w:tbl>
    <w:p w14:paraId="6EB06745">
      <w:pPr>
        <w:rPr>
          <w:b/>
          <w:bCs/>
        </w:rPr>
      </w:pPr>
    </w:p>
    <w:p w14:paraId="0076C113">
      <w:r>
        <w:rPr>
          <w:rFonts w:hint="eastAsia"/>
          <w:b/>
          <w:bCs/>
        </w:rPr>
        <w:t>5.2.15</w:t>
      </w:r>
      <w:r>
        <w:rPr>
          <w:rFonts w:hint="eastAsia"/>
        </w:rPr>
        <w:t xml:space="preserve">  本条参照欧洲标准EN 1993-5相关条文。</w:t>
      </w:r>
    </w:p>
    <w:p w14:paraId="66D9A4E1">
      <w:r>
        <w:rPr>
          <w:rFonts w:hint="eastAsia"/>
          <w:b/>
          <w:bCs/>
        </w:rPr>
        <w:t>5.2.17</w:t>
      </w:r>
      <w:r>
        <w:rPr>
          <w:rFonts w:hint="eastAsia"/>
        </w:rPr>
        <w:t xml:space="preserve">  现有国内设计中，由于钢板桩竖向承载力尚无专门研究，钢板桩顶上部一般不直接承受竖向重载。因此一般尚未设计到钢板桩挡墙的压屈问题，本规程亦建议钢板不宜直接承重。而欧洲标准Eurocode 1993-5 中给出了考虑钢板桩压屈效应的计算方法，对于弹性嵌固的钢板桩墙，钢板桩墙压弯临界压力中的压屈长度可采用最下层支点至桩底总长的0.7倍考虑，具体参见欧洲标准相关内容。</w:t>
      </w:r>
    </w:p>
    <w:p w14:paraId="469747AC"/>
    <w:p w14:paraId="34A5610F">
      <w:pPr>
        <w:pStyle w:val="3"/>
        <w:spacing w:before="312" w:beforeLines="100"/>
        <w:ind w:firstLine="281"/>
      </w:pPr>
      <w:r>
        <w:rPr>
          <w:rFonts w:hint="eastAsia"/>
        </w:rPr>
        <w:t>5.3  布置与构造</w:t>
      </w:r>
    </w:p>
    <w:p w14:paraId="4789528B">
      <w:r>
        <w:rPr>
          <w:rFonts w:hint="eastAsia"/>
          <w:b/>
          <w:bCs/>
        </w:rPr>
        <w:t>5.3.7</w:t>
      </w:r>
      <w:r>
        <w:rPr>
          <w:rFonts w:hint="eastAsia"/>
        </w:rPr>
        <w:t xml:space="preserve">  钢板桩单根长度受运输工具限制，经查阅相关资料，常规11t卡车可运输9m长钢板，20t拖车可运输12m长钢板桩，连接式挂车可运输18m长钢板桩，如钢板桩长度超过18m则需要特殊运输车辆，且对交通道路要求较高，因此通常钢板桩单根长度控制在18m以内。</w:t>
      </w:r>
    </w:p>
    <w:p w14:paraId="7A306D05">
      <w:pPr>
        <w:ind w:firstLine="420" w:firstLineChars="200"/>
      </w:pPr>
      <w:r>
        <w:rPr>
          <w:rFonts w:hint="eastAsia"/>
        </w:rPr>
        <w:t>型钢的拼接一般分为等强法和内力法，拼接方法常用焊接拼接、高强度螺栓拼接和栓一焊混用拼接，用于围护结构的钢板桩宜采用全截面等强焊接拼接，当拼接处母材最大内力（弯矩、轴力、剪力）较为明确，且施工严格控制时也可采用内力法拼接。U型钢板桩常见拼接节点如图5.3.7。</w:t>
      </w:r>
    </w:p>
    <w:p w14:paraId="2ED34072">
      <w:pPr>
        <w:spacing w:line="240" w:lineRule="auto"/>
      </w:pPr>
      <w:r>
        <w:drawing>
          <wp:inline distT="0" distB="0" distL="114300" distR="114300">
            <wp:extent cx="5292090" cy="1800225"/>
            <wp:effectExtent l="0" t="0" r="11430" b="13335"/>
            <wp:docPr id="25" name="图片 25" descr="d55923a53214fb3cb1e0878205d678a4"/>
            <wp:cNvGraphicFramePr/>
            <a:graphic xmlns:a="http://schemas.openxmlformats.org/drawingml/2006/main">
              <a:graphicData uri="http://schemas.openxmlformats.org/drawingml/2006/picture">
                <pic:pic xmlns:pic="http://schemas.openxmlformats.org/drawingml/2006/picture">
                  <pic:nvPicPr>
                    <pic:cNvPr id="25" name="图片 25" descr="d55923a53214fb3cb1e0878205d678a4"/>
                    <pic:cNvPicPr/>
                  </pic:nvPicPr>
                  <pic:blipFill>
                    <a:blip r:embed="rId108"/>
                    <a:srcRect t="55425" r="8755" b="4332"/>
                    <a:stretch>
                      <a:fillRect/>
                    </a:stretch>
                  </pic:blipFill>
                  <pic:spPr>
                    <a:xfrm>
                      <a:off x="0" y="0"/>
                      <a:ext cx="5292090" cy="1800225"/>
                    </a:xfrm>
                    <a:prstGeom prst="rect">
                      <a:avLst/>
                    </a:prstGeom>
                  </pic:spPr>
                </pic:pic>
              </a:graphicData>
            </a:graphic>
          </wp:inline>
        </w:drawing>
      </w:r>
    </w:p>
    <w:p w14:paraId="795C10FB">
      <w:pPr>
        <w:spacing w:line="240" w:lineRule="auto"/>
        <w:jc w:val="center"/>
        <w:sectPr>
          <w:footerReference r:id="rId20" w:type="default"/>
          <w:pgSz w:w="11906" w:h="16838"/>
          <w:pgMar w:top="1440" w:right="1800" w:bottom="1440" w:left="1800" w:header="851" w:footer="992" w:gutter="0"/>
          <w:pgNumType w:start="50"/>
          <w:cols w:space="720" w:num="1"/>
          <w:docGrid w:type="lines" w:linePitch="312" w:charSpace="0"/>
        </w:sectPr>
      </w:pPr>
    </w:p>
    <w:p w14:paraId="5C045688">
      <w:pPr>
        <w:spacing w:line="240" w:lineRule="auto"/>
        <w:jc w:val="center"/>
      </w:pPr>
      <w:r>
        <w:rPr>
          <w:rFonts w:hint="eastAsia"/>
        </w:rPr>
        <w:t>图5.3.7  U型钢板拼接节点</w:t>
      </w:r>
    </w:p>
    <w:p w14:paraId="2D78883B">
      <w:r>
        <w:rPr>
          <w:rFonts w:hint="eastAsia"/>
          <w:b/>
          <w:bCs/>
        </w:rPr>
        <w:t>5.3.9</w:t>
      </w:r>
      <w:r>
        <w:rPr>
          <w:rFonts w:hint="eastAsia"/>
        </w:rPr>
        <w:t xml:space="preserve">  围护结构顶部设置冠梁时可以有效的控制基坑整体变形</w:t>
      </w:r>
      <w:r>
        <w:t>，</w:t>
      </w:r>
      <w:r>
        <w:rPr>
          <w:rFonts w:hint="eastAsia"/>
        </w:rPr>
        <w:t>钢板桩顶部常用的冠梁有钢冠梁和钢筋混凝土冠梁。U型钢板支护可采用顶部锁扣焊接500mm处理。</w:t>
      </w:r>
    </w:p>
    <w:p w14:paraId="040F1DB3">
      <w:r>
        <w:rPr>
          <w:rFonts w:hint="eastAsia"/>
          <w:b/>
          <w:bCs/>
        </w:rPr>
        <w:t>5.3.10</w:t>
      </w:r>
      <w:r>
        <w:rPr>
          <w:rFonts w:hint="eastAsia"/>
        </w:rPr>
        <w:t xml:space="preserve">  围檩结构可使钢板桩墙一体化并修正钢板墙的凹凸。围与钢板不能紧密结合时，需要采用素混凝土填充、安装垫圈或合适的金属零件并紧固，常用处理措施如下图所示。</w:t>
      </w:r>
    </w:p>
    <w:p w14:paraId="52F2FC78">
      <w:pPr>
        <w:spacing w:line="240" w:lineRule="auto"/>
      </w:pPr>
      <w:r>
        <w:rPr>
          <w:rFonts w:hint="eastAsia"/>
        </w:rPr>
        <w:drawing>
          <wp:inline distT="0" distB="0" distL="114300" distR="114300">
            <wp:extent cx="5038725" cy="2160905"/>
            <wp:effectExtent l="0" t="0" r="0" b="0"/>
            <wp:docPr id="21" name="图片 21" descr="2b315f048599518655f66acb876c7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b315f048599518655f66acb876c75c2"/>
                    <pic:cNvPicPr>
                      <a:picLocks noChangeAspect="1"/>
                    </pic:cNvPicPr>
                  </pic:nvPicPr>
                  <pic:blipFill>
                    <a:blip r:embed="rId109"/>
                    <a:srcRect t="28915" b="5706"/>
                    <a:stretch>
                      <a:fillRect/>
                    </a:stretch>
                  </pic:blipFill>
                  <pic:spPr>
                    <a:xfrm>
                      <a:off x="0" y="0"/>
                      <a:ext cx="5038725" cy="2160905"/>
                    </a:xfrm>
                    <a:prstGeom prst="rect">
                      <a:avLst/>
                    </a:prstGeom>
                  </pic:spPr>
                </pic:pic>
              </a:graphicData>
            </a:graphic>
          </wp:inline>
        </w:drawing>
      </w:r>
    </w:p>
    <w:p w14:paraId="4ECC7A62">
      <w:pPr>
        <w:spacing w:line="240" w:lineRule="auto"/>
        <w:ind w:firstLine="1050" w:firstLineChars="500"/>
      </w:pPr>
      <w:r>
        <w:rPr>
          <w:rFonts w:hint="eastAsia"/>
        </w:rPr>
        <w:t>（1）细石混凝土填嵌                   （2）垫块填嵌</w:t>
      </w:r>
    </w:p>
    <w:p w14:paraId="157FE5EF"/>
    <w:p w14:paraId="66A4BD9D">
      <w:pPr>
        <w:pStyle w:val="3"/>
        <w:spacing w:before="312" w:beforeLines="100"/>
        <w:ind w:firstLine="281"/>
      </w:pPr>
      <w:r>
        <w:rPr>
          <w:rFonts w:hint="eastAsia"/>
        </w:rPr>
        <w:t>5.4  防渗止水设计</w:t>
      </w:r>
    </w:p>
    <w:p w14:paraId="590B2E4A">
      <w:r>
        <w:rPr>
          <w:rFonts w:hint="eastAsia"/>
          <w:b/>
          <w:bCs/>
        </w:rPr>
        <w:t>5.4.1</w:t>
      </w:r>
      <w:r>
        <w:rPr>
          <w:rFonts w:hint="eastAsia"/>
        </w:rPr>
        <w:t xml:space="preserve">  一般情况下本条要求的钢板桩长度远小于结构受力平衡要求的长度，但经常有局部压桩不到位的情况，故对施工后局部桩过短的桩，对其长度按抗渗设计最低要求。</w:t>
      </w:r>
    </w:p>
    <w:p w14:paraId="1CFBA932">
      <w:r>
        <w:rPr>
          <w:rFonts w:hint="eastAsia"/>
          <w:b/>
          <w:bCs/>
        </w:rPr>
        <w:t>5.4.2</w:t>
      </w:r>
      <w:r>
        <w:rPr>
          <w:rFonts w:hint="eastAsia"/>
        </w:rPr>
        <w:t xml:space="preserve">  市场上的钢板桩锁口紧密程度不尽相同，对防渗要求不高的工程，大都能满足要求，若防渗要求高，则必须涂防渗涂料。</w:t>
      </w:r>
    </w:p>
    <w:p w14:paraId="7D96B49C">
      <w:pPr>
        <w:ind w:firstLine="420" w:firstLineChars="200"/>
      </w:pPr>
      <w:r>
        <w:rPr>
          <w:rFonts w:hint="eastAsia"/>
        </w:rPr>
        <w:t>根据国外的相关试验，板桩锁口是否涂涂料，其渗透性影响至少在1.5倍以上(1</w:t>
      </w:r>
      <w:r>
        <w:t>×</w:t>
      </w:r>
      <w:r>
        <w:rPr>
          <w:rFonts w:hint="eastAsia"/>
        </w:rPr>
        <w:t>10</w:t>
      </w:r>
      <w:r>
        <w:rPr>
          <w:rFonts w:hint="eastAsia"/>
          <w:vertAlign w:val="superscript"/>
        </w:rPr>
        <w:t>-1</w:t>
      </w:r>
      <w:r>
        <w:rPr>
          <w:rFonts w:hint="eastAsia"/>
        </w:rPr>
        <w:t>m/s级)，同时具体渗水量受桩周土性影响大，可能在有的土层中本来渗水量小，稍加大点也无所谓，所以须根据需要确定是否用涂料。</w:t>
      </w:r>
    </w:p>
    <w:p w14:paraId="199BAF86">
      <w:pPr>
        <w:ind w:firstLine="420" w:firstLineChars="200"/>
      </w:pPr>
      <w:r>
        <w:rPr>
          <w:rFonts w:hint="eastAsia"/>
        </w:rPr>
        <w:t>常用的锁口涂料有沥青类（如国产复合胶类），遇水膨胀类如聚氨脂类，也有自制黄油木屑类，各类都有大量实例，性能有差异，故建议先进行室内试验，以满足具体工程的要求。</w:t>
      </w:r>
    </w:p>
    <w:p w14:paraId="04A95C0F">
      <w:r>
        <w:rPr>
          <w:rFonts w:hint="eastAsia"/>
        </w:rPr>
        <w:t>下表是Acelor Mittal集团做的锁口渗透试验结果。</w:t>
      </w:r>
    </w:p>
    <w:p w14:paraId="703D5DA6">
      <w:pPr>
        <w:jc w:val="center"/>
      </w:pPr>
      <w:r>
        <w:rPr>
          <w:rFonts w:hint="eastAsia"/>
        </w:rPr>
        <w:t>表5.4.2  实验推荐设计采用的锁口渗漏系数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63F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7D3E9DF7">
            <w:pPr>
              <w:jc w:val="center"/>
            </w:pPr>
            <w:r>
              <w:rPr>
                <w:rFonts w:hint="eastAsia"/>
              </w:rPr>
              <w:t>根据实验推荐设计采用的锁口渗漏系数</w:t>
            </w:r>
          </w:p>
        </w:tc>
      </w:tr>
      <w:tr w14:paraId="099F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tcPr>
          <w:p w14:paraId="1AD1CABB">
            <w:pPr>
              <w:jc w:val="center"/>
            </w:pPr>
            <w:r>
              <w:rPr>
                <w:rFonts w:hint="eastAsia"/>
              </w:rPr>
              <w:t>防水密封系统</w:t>
            </w:r>
          </w:p>
        </w:tc>
        <w:tc>
          <w:tcPr>
            <w:tcW w:w="2841" w:type="dxa"/>
            <w:vMerge w:val="restart"/>
          </w:tcPr>
          <w:p w14:paraId="7D5B25AC">
            <w:pPr>
              <w:jc w:val="center"/>
            </w:pPr>
            <w:r>
              <w:rPr>
                <w:rFonts w:hint="eastAsia"/>
              </w:rPr>
              <w:t>ρ[10-10m/s]</w:t>
            </w:r>
          </w:p>
        </w:tc>
        <w:tc>
          <w:tcPr>
            <w:tcW w:w="2841" w:type="dxa"/>
          </w:tcPr>
          <w:p w14:paraId="2CC12B1A">
            <w:pPr>
              <w:jc w:val="center"/>
            </w:pPr>
            <w:r>
              <w:rPr>
                <w:rFonts w:hint="eastAsia"/>
              </w:rPr>
              <w:t>最大水压力</w:t>
            </w:r>
          </w:p>
        </w:tc>
      </w:tr>
      <w:tr w14:paraId="3E46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tcPr>
          <w:p w14:paraId="3DC3984D">
            <w:pPr>
              <w:jc w:val="center"/>
            </w:pPr>
          </w:p>
        </w:tc>
        <w:tc>
          <w:tcPr>
            <w:tcW w:w="2841" w:type="dxa"/>
            <w:vMerge w:val="continue"/>
          </w:tcPr>
          <w:p w14:paraId="13B699DE">
            <w:pPr>
              <w:jc w:val="center"/>
            </w:pPr>
          </w:p>
        </w:tc>
        <w:tc>
          <w:tcPr>
            <w:tcW w:w="2841" w:type="dxa"/>
          </w:tcPr>
          <w:p w14:paraId="5F398F98">
            <w:pPr>
              <w:jc w:val="center"/>
            </w:pPr>
            <w:r>
              <w:rPr>
                <w:rFonts w:hint="eastAsia"/>
              </w:rPr>
              <w:t>kPa</w:t>
            </w:r>
          </w:p>
        </w:tc>
      </w:tr>
      <w:tr w14:paraId="2A35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928A164">
            <w:pPr>
              <w:jc w:val="center"/>
            </w:pPr>
            <w:r>
              <w:rPr>
                <w:rFonts w:hint="eastAsia"/>
              </w:rPr>
              <w:t>锁口不使用止水村料</w:t>
            </w:r>
          </w:p>
        </w:tc>
        <w:tc>
          <w:tcPr>
            <w:tcW w:w="2841" w:type="dxa"/>
          </w:tcPr>
          <w:p w14:paraId="66C453EA">
            <w:pPr>
              <w:jc w:val="center"/>
            </w:pPr>
            <w:r>
              <w:rPr>
                <w:rFonts w:hint="eastAsia"/>
              </w:rPr>
              <w:t>&gt;1000</w:t>
            </w:r>
          </w:p>
        </w:tc>
        <w:tc>
          <w:tcPr>
            <w:tcW w:w="2841" w:type="dxa"/>
          </w:tcPr>
          <w:p w14:paraId="14D42901">
            <w:pPr>
              <w:jc w:val="center"/>
            </w:pPr>
            <w:r>
              <w:rPr>
                <w:rFonts w:hint="eastAsia"/>
              </w:rPr>
              <w:t>100</w:t>
            </w:r>
          </w:p>
        </w:tc>
      </w:tr>
      <w:tr w14:paraId="00B8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A689577">
            <w:pPr>
              <w:jc w:val="center"/>
            </w:pPr>
            <w:r>
              <w:rPr>
                <w:rFonts w:hint="eastAsia"/>
              </w:rPr>
              <w:t>沥青类止水材料</w:t>
            </w:r>
          </w:p>
        </w:tc>
        <w:tc>
          <w:tcPr>
            <w:tcW w:w="2841" w:type="dxa"/>
          </w:tcPr>
          <w:p w14:paraId="493AEB7E">
            <w:pPr>
              <w:jc w:val="center"/>
            </w:pPr>
            <w:r>
              <w:rPr>
                <w:rFonts w:hint="eastAsia"/>
              </w:rPr>
              <w:t>600</w:t>
            </w:r>
          </w:p>
        </w:tc>
        <w:tc>
          <w:tcPr>
            <w:tcW w:w="2841" w:type="dxa"/>
          </w:tcPr>
          <w:p w14:paraId="746924E0">
            <w:pPr>
              <w:jc w:val="center"/>
            </w:pPr>
            <w:r>
              <w:rPr>
                <w:rFonts w:hint="eastAsia"/>
              </w:rPr>
              <w:t>100</w:t>
            </w:r>
          </w:p>
        </w:tc>
      </w:tr>
      <w:tr w14:paraId="09A8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0" w:type="dxa"/>
          </w:tcPr>
          <w:p w14:paraId="44D2063D">
            <w:pPr>
              <w:jc w:val="center"/>
            </w:pPr>
            <w:r>
              <w:rPr>
                <w:rFonts w:hint="eastAsia"/>
              </w:rPr>
              <w:t>遇水膨胀性材料（Roxan）</w:t>
            </w:r>
          </w:p>
        </w:tc>
        <w:tc>
          <w:tcPr>
            <w:tcW w:w="2841" w:type="dxa"/>
          </w:tcPr>
          <w:p w14:paraId="48463451">
            <w:pPr>
              <w:jc w:val="center"/>
            </w:pPr>
            <w:r>
              <w:rPr>
                <w:rFonts w:hint="eastAsia"/>
              </w:rPr>
              <w:t>3</w:t>
            </w:r>
          </w:p>
        </w:tc>
        <w:tc>
          <w:tcPr>
            <w:tcW w:w="2841" w:type="dxa"/>
          </w:tcPr>
          <w:p w14:paraId="4851EAC8">
            <w:pPr>
              <w:jc w:val="center"/>
            </w:pPr>
            <w:r>
              <w:rPr>
                <w:rFonts w:hint="eastAsia"/>
              </w:rPr>
              <w:t>200</w:t>
            </w:r>
          </w:p>
        </w:tc>
      </w:tr>
    </w:tbl>
    <w:p w14:paraId="2C182761"/>
    <w:p w14:paraId="35AB8BAE">
      <w:pPr>
        <w:rPr>
          <w:b/>
          <w:bCs/>
        </w:rPr>
      </w:pPr>
    </w:p>
    <w:p w14:paraId="111A6B14">
      <w:pPr>
        <w:rPr>
          <w:b/>
          <w:bCs/>
        </w:rPr>
        <w:sectPr>
          <w:footerReference r:id="rId21" w:type="default"/>
          <w:pgSz w:w="11906" w:h="16838"/>
          <w:pgMar w:top="1440" w:right="1800" w:bottom="1440" w:left="1800" w:header="851" w:footer="992" w:gutter="0"/>
          <w:pgNumType w:start="50"/>
          <w:cols w:space="720" w:num="1"/>
          <w:docGrid w:type="lines" w:linePitch="312" w:charSpace="0"/>
        </w:sectPr>
      </w:pPr>
    </w:p>
    <w:p w14:paraId="3D8AA214">
      <w:r>
        <w:rPr>
          <w:rFonts w:hint="eastAsia"/>
          <w:b/>
          <w:bCs/>
        </w:rPr>
        <w:t xml:space="preserve">5.4.3  </w:t>
      </w:r>
      <w:r>
        <w:rPr>
          <w:rFonts w:hint="eastAsia"/>
        </w:rPr>
        <w:t>按公式法初步估算渗水量后，往往得到的水量很小，与实际水量差异大。故对工程实</w:t>
      </w:r>
    </w:p>
    <w:p w14:paraId="0A789B81">
      <w:r>
        <w:rPr>
          <w:rFonts w:hint="eastAsia"/>
        </w:rPr>
        <w:t>际情况不是那么理想的情况下，建议在预估渗流量的基础上，增加考虑其它因素，以减少理论计算与实际水量的差距。设计渗流量值确定同时须考虑锁口情况、身穿过土层情况等因素。</w:t>
      </w:r>
    </w:p>
    <w:p w14:paraId="4FF26D38">
      <w:r>
        <w:rPr>
          <w:rFonts w:hint="eastAsia"/>
        </w:rPr>
        <w:t>其中钢板桩在有较大变形后的板桩锁口比较紧密，止水性能较好。锁口是否防水材料后在透水性土层中的止水性能差异较大。若在弱透水层上可能有难穿的岩土层，如较密实的砂层、砾石、坚硬的强风化岩的情况，此部位桩的锁口、桩底的透水量可能会大幅度增加。有条件时也可运用有限元或有限差分法等电算手段，在渗流量计算时考虑这些因素。</w:t>
      </w:r>
    </w:p>
    <w:p w14:paraId="2254D084">
      <w:r>
        <w:rPr>
          <w:rFonts w:hint="eastAsia"/>
          <w:b/>
          <w:bCs/>
        </w:rPr>
        <w:t>5.4.4</w:t>
      </w:r>
      <w:r>
        <w:rPr>
          <w:rFonts w:hint="eastAsia"/>
        </w:rPr>
        <w:t xml:space="preserve">  对已施工板桩位置，若以围井封闭，须增加封闭板桩间缝隙的辅助措施，如注浆、高喷，会影响抽水试验效果。</w:t>
      </w:r>
    </w:p>
    <w:p w14:paraId="2AD02342">
      <w:r>
        <w:rPr>
          <w:rFonts w:hint="eastAsia"/>
          <w:b/>
          <w:bCs/>
        </w:rPr>
        <w:t>5.4.8</w:t>
      </w:r>
      <w:r>
        <w:rPr>
          <w:rFonts w:hint="eastAsia"/>
        </w:rPr>
        <w:t xml:space="preserve">  表5.4.8给出开挖后漏水修复方法，其中可及性主要指施工操作条件是否具备。</w:t>
      </w:r>
    </w:p>
    <w:p w14:paraId="0DE56383"/>
    <w:p w14:paraId="34274579">
      <w:pPr>
        <w:pStyle w:val="3"/>
        <w:spacing w:before="312" w:beforeLines="100"/>
        <w:ind w:firstLine="281"/>
      </w:pPr>
      <w:r>
        <w:t>5</w:t>
      </w:r>
      <w:r>
        <w:rPr>
          <w:rFonts w:hint="eastAsia"/>
        </w:rPr>
        <w:t>.5  防腐设计</w:t>
      </w:r>
    </w:p>
    <w:p w14:paraId="61A1053A">
      <w:r>
        <w:rPr>
          <w:rFonts w:hint="eastAsia"/>
          <w:b/>
          <w:bCs/>
        </w:rPr>
        <w:t>5.5.3</w:t>
      </w:r>
      <w:r>
        <w:rPr>
          <w:rFonts w:hint="eastAsia"/>
        </w:rPr>
        <w:t xml:space="preserve">  如有经验，钢板桩的腐蚀速度可采用BS EN 1993-5 Table 4.2的腐蚀速率推荐值，如下表所示：</w:t>
      </w:r>
    </w:p>
    <w:p w14:paraId="79526CD7">
      <w:pPr>
        <w:jc w:val="center"/>
      </w:pPr>
      <w:r>
        <w:rPr>
          <w:rFonts w:hint="eastAsia"/>
        </w:rPr>
        <w:t>表5.5.3  钢板桩在淡水或海水中的腐蚀损失厚度推荐值（mm）</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2"/>
        <w:gridCol w:w="912"/>
        <w:gridCol w:w="900"/>
        <w:gridCol w:w="984"/>
        <w:gridCol w:w="936"/>
        <w:gridCol w:w="898"/>
      </w:tblGrid>
      <w:tr w14:paraId="4165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2" w:type="dxa"/>
          </w:tcPr>
          <w:p w14:paraId="6A266E16">
            <w:pPr>
              <w:jc w:val="center"/>
            </w:pPr>
            <w:r>
              <w:rPr>
                <w:rFonts w:hint="eastAsia"/>
              </w:rPr>
              <w:t>设计使用年限</w:t>
            </w:r>
          </w:p>
        </w:tc>
        <w:tc>
          <w:tcPr>
            <w:tcW w:w="912" w:type="dxa"/>
          </w:tcPr>
          <w:p w14:paraId="5F5A371B">
            <w:pPr>
              <w:jc w:val="center"/>
            </w:pPr>
            <w:r>
              <w:rPr>
                <w:rFonts w:hint="eastAsia"/>
              </w:rPr>
              <w:t>5年</w:t>
            </w:r>
          </w:p>
        </w:tc>
        <w:tc>
          <w:tcPr>
            <w:tcW w:w="900" w:type="dxa"/>
          </w:tcPr>
          <w:p w14:paraId="2300DCFA">
            <w:pPr>
              <w:jc w:val="center"/>
            </w:pPr>
            <w:r>
              <w:rPr>
                <w:rFonts w:hint="eastAsia"/>
              </w:rPr>
              <w:t>25年</w:t>
            </w:r>
          </w:p>
        </w:tc>
        <w:tc>
          <w:tcPr>
            <w:tcW w:w="984" w:type="dxa"/>
          </w:tcPr>
          <w:p w14:paraId="732A3850">
            <w:pPr>
              <w:jc w:val="center"/>
            </w:pPr>
            <w:r>
              <w:rPr>
                <w:rFonts w:hint="eastAsia"/>
              </w:rPr>
              <w:t>50年</w:t>
            </w:r>
          </w:p>
        </w:tc>
        <w:tc>
          <w:tcPr>
            <w:tcW w:w="936" w:type="dxa"/>
          </w:tcPr>
          <w:p w14:paraId="35BF3891">
            <w:pPr>
              <w:jc w:val="center"/>
            </w:pPr>
            <w:r>
              <w:rPr>
                <w:rFonts w:hint="eastAsia"/>
              </w:rPr>
              <w:t>75年</w:t>
            </w:r>
          </w:p>
        </w:tc>
        <w:tc>
          <w:tcPr>
            <w:tcW w:w="898" w:type="dxa"/>
          </w:tcPr>
          <w:p w14:paraId="03E9F4E9">
            <w:pPr>
              <w:jc w:val="center"/>
            </w:pPr>
            <w:r>
              <w:rPr>
                <w:rFonts w:hint="eastAsia"/>
              </w:rPr>
              <w:t>100年</w:t>
            </w:r>
          </w:p>
        </w:tc>
      </w:tr>
      <w:tr w14:paraId="1C9A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2" w:type="dxa"/>
          </w:tcPr>
          <w:p w14:paraId="65670844">
            <w:pPr>
              <w:jc w:val="center"/>
            </w:pPr>
            <w:r>
              <w:rPr>
                <w:rFonts w:hint="eastAsia"/>
              </w:rPr>
              <w:t>在无掩护地区的普通的淡水</w:t>
            </w:r>
          </w:p>
          <w:p w14:paraId="3CB510E3">
            <w:pPr>
              <w:jc w:val="center"/>
            </w:pPr>
            <w:r>
              <w:rPr>
                <w:rFonts w:hint="eastAsia"/>
              </w:rPr>
              <w:t>（河流、运河等）</w:t>
            </w:r>
          </w:p>
        </w:tc>
        <w:tc>
          <w:tcPr>
            <w:tcW w:w="912" w:type="dxa"/>
          </w:tcPr>
          <w:p w14:paraId="0955BBCB">
            <w:pPr>
              <w:jc w:val="center"/>
            </w:pPr>
            <w:r>
              <w:rPr>
                <w:rFonts w:hint="eastAsia"/>
              </w:rPr>
              <w:t>0.15</w:t>
            </w:r>
          </w:p>
        </w:tc>
        <w:tc>
          <w:tcPr>
            <w:tcW w:w="900" w:type="dxa"/>
          </w:tcPr>
          <w:p w14:paraId="391220BB">
            <w:pPr>
              <w:jc w:val="center"/>
            </w:pPr>
            <w:r>
              <w:rPr>
                <w:rFonts w:hint="eastAsia"/>
              </w:rPr>
              <w:t>0.55</w:t>
            </w:r>
          </w:p>
        </w:tc>
        <w:tc>
          <w:tcPr>
            <w:tcW w:w="984" w:type="dxa"/>
          </w:tcPr>
          <w:p w14:paraId="077E7270">
            <w:pPr>
              <w:jc w:val="center"/>
            </w:pPr>
            <w:r>
              <w:rPr>
                <w:rFonts w:hint="eastAsia"/>
              </w:rPr>
              <w:t>0.90</w:t>
            </w:r>
          </w:p>
        </w:tc>
        <w:tc>
          <w:tcPr>
            <w:tcW w:w="936" w:type="dxa"/>
          </w:tcPr>
          <w:p w14:paraId="18F8F7A0">
            <w:pPr>
              <w:jc w:val="center"/>
            </w:pPr>
            <w:r>
              <w:rPr>
                <w:rFonts w:hint="eastAsia"/>
              </w:rPr>
              <w:t>1.15</w:t>
            </w:r>
          </w:p>
        </w:tc>
        <w:tc>
          <w:tcPr>
            <w:tcW w:w="898" w:type="dxa"/>
          </w:tcPr>
          <w:p w14:paraId="22406CCD">
            <w:pPr>
              <w:jc w:val="center"/>
            </w:pPr>
            <w:r>
              <w:rPr>
                <w:rFonts w:hint="eastAsia"/>
              </w:rPr>
              <w:t>1.40</w:t>
            </w:r>
          </w:p>
        </w:tc>
      </w:tr>
      <w:tr w14:paraId="4080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2" w:type="dxa"/>
          </w:tcPr>
          <w:p w14:paraId="73ED89AA">
            <w:pPr>
              <w:jc w:val="center"/>
            </w:pPr>
            <w:r>
              <w:rPr>
                <w:rFonts w:hint="eastAsia"/>
              </w:rPr>
              <w:t>在无掩护地区的污染很严重的淡水</w:t>
            </w:r>
          </w:p>
          <w:p w14:paraId="7AC721F6">
            <w:pPr>
              <w:jc w:val="center"/>
            </w:pPr>
            <w:r>
              <w:rPr>
                <w:rFonts w:hint="eastAsia"/>
              </w:rPr>
              <w:t>（下水道的污水、工业废水等）</w:t>
            </w:r>
          </w:p>
        </w:tc>
        <w:tc>
          <w:tcPr>
            <w:tcW w:w="912" w:type="dxa"/>
          </w:tcPr>
          <w:p w14:paraId="446EC717">
            <w:pPr>
              <w:jc w:val="center"/>
            </w:pPr>
            <w:r>
              <w:rPr>
                <w:rFonts w:hint="eastAsia"/>
              </w:rPr>
              <w:t>0.30</w:t>
            </w:r>
          </w:p>
        </w:tc>
        <w:tc>
          <w:tcPr>
            <w:tcW w:w="900" w:type="dxa"/>
          </w:tcPr>
          <w:p w14:paraId="68D88669">
            <w:pPr>
              <w:jc w:val="center"/>
            </w:pPr>
            <w:r>
              <w:rPr>
                <w:rFonts w:hint="eastAsia"/>
              </w:rPr>
              <w:t>1.30</w:t>
            </w:r>
          </w:p>
        </w:tc>
        <w:tc>
          <w:tcPr>
            <w:tcW w:w="984" w:type="dxa"/>
          </w:tcPr>
          <w:p w14:paraId="55A947CE">
            <w:pPr>
              <w:jc w:val="center"/>
            </w:pPr>
            <w:r>
              <w:rPr>
                <w:rFonts w:hint="eastAsia"/>
              </w:rPr>
              <w:t>2.30</w:t>
            </w:r>
          </w:p>
        </w:tc>
        <w:tc>
          <w:tcPr>
            <w:tcW w:w="936" w:type="dxa"/>
          </w:tcPr>
          <w:p w14:paraId="5A34859F">
            <w:pPr>
              <w:jc w:val="center"/>
            </w:pPr>
            <w:r>
              <w:rPr>
                <w:rFonts w:hint="eastAsia"/>
              </w:rPr>
              <w:t>3.30</w:t>
            </w:r>
          </w:p>
        </w:tc>
        <w:tc>
          <w:tcPr>
            <w:tcW w:w="898" w:type="dxa"/>
          </w:tcPr>
          <w:p w14:paraId="2BF71229">
            <w:pPr>
              <w:jc w:val="center"/>
            </w:pPr>
            <w:r>
              <w:rPr>
                <w:rFonts w:hint="eastAsia"/>
              </w:rPr>
              <w:t>4.30</w:t>
            </w:r>
          </w:p>
        </w:tc>
      </w:tr>
      <w:tr w14:paraId="66A6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2" w:type="dxa"/>
          </w:tcPr>
          <w:p w14:paraId="196A1B41">
            <w:pPr>
              <w:jc w:val="center"/>
            </w:pPr>
            <w:r>
              <w:rPr>
                <w:rFonts w:hint="eastAsia"/>
              </w:rPr>
              <w:t>在无掩护地区的气候温和的海水</w:t>
            </w:r>
          </w:p>
          <w:p w14:paraId="16A44988">
            <w:pPr>
              <w:jc w:val="center"/>
            </w:pPr>
            <w:r>
              <w:rPr>
                <w:rFonts w:hint="eastAsia"/>
              </w:rPr>
              <w:t>（低水位区和浪溅区）</w:t>
            </w:r>
          </w:p>
        </w:tc>
        <w:tc>
          <w:tcPr>
            <w:tcW w:w="912" w:type="dxa"/>
          </w:tcPr>
          <w:p w14:paraId="37A5B3BC">
            <w:pPr>
              <w:jc w:val="center"/>
            </w:pPr>
            <w:r>
              <w:rPr>
                <w:rFonts w:hint="eastAsia"/>
              </w:rPr>
              <w:t>0.55</w:t>
            </w:r>
          </w:p>
        </w:tc>
        <w:tc>
          <w:tcPr>
            <w:tcW w:w="900" w:type="dxa"/>
          </w:tcPr>
          <w:p w14:paraId="6AECF827">
            <w:pPr>
              <w:jc w:val="center"/>
            </w:pPr>
            <w:r>
              <w:rPr>
                <w:rFonts w:hint="eastAsia"/>
              </w:rPr>
              <w:t>1.90</w:t>
            </w:r>
          </w:p>
        </w:tc>
        <w:tc>
          <w:tcPr>
            <w:tcW w:w="984" w:type="dxa"/>
          </w:tcPr>
          <w:p w14:paraId="1FF8ED9A">
            <w:pPr>
              <w:jc w:val="center"/>
            </w:pPr>
            <w:r>
              <w:rPr>
                <w:rFonts w:hint="eastAsia"/>
              </w:rPr>
              <w:t>3.75</w:t>
            </w:r>
          </w:p>
        </w:tc>
        <w:tc>
          <w:tcPr>
            <w:tcW w:w="936" w:type="dxa"/>
          </w:tcPr>
          <w:p w14:paraId="2BBFE31F">
            <w:pPr>
              <w:jc w:val="center"/>
            </w:pPr>
            <w:r>
              <w:rPr>
                <w:rFonts w:hint="eastAsia"/>
              </w:rPr>
              <w:t>5.60</w:t>
            </w:r>
          </w:p>
        </w:tc>
        <w:tc>
          <w:tcPr>
            <w:tcW w:w="898" w:type="dxa"/>
          </w:tcPr>
          <w:p w14:paraId="7B78DC3F">
            <w:pPr>
              <w:jc w:val="center"/>
            </w:pPr>
            <w:r>
              <w:rPr>
                <w:rFonts w:hint="eastAsia"/>
              </w:rPr>
              <w:t>7.50</w:t>
            </w:r>
          </w:p>
        </w:tc>
      </w:tr>
      <w:tr w14:paraId="7FB0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2" w:type="dxa"/>
          </w:tcPr>
          <w:p w14:paraId="18004516">
            <w:pPr>
              <w:jc w:val="center"/>
            </w:pPr>
            <w:r>
              <w:rPr>
                <w:rFonts w:hint="eastAsia"/>
              </w:rPr>
              <w:t>在永久浸没区或在高潮位和低潮位之间的区域的气候温和的海水</w:t>
            </w:r>
          </w:p>
        </w:tc>
        <w:tc>
          <w:tcPr>
            <w:tcW w:w="912" w:type="dxa"/>
          </w:tcPr>
          <w:p w14:paraId="5D672406">
            <w:pPr>
              <w:jc w:val="center"/>
            </w:pPr>
            <w:r>
              <w:rPr>
                <w:rFonts w:hint="eastAsia"/>
              </w:rPr>
              <w:t>0.25</w:t>
            </w:r>
          </w:p>
        </w:tc>
        <w:tc>
          <w:tcPr>
            <w:tcW w:w="900" w:type="dxa"/>
          </w:tcPr>
          <w:p w14:paraId="58DDDB83">
            <w:pPr>
              <w:jc w:val="center"/>
            </w:pPr>
            <w:r>
              <w:rPr>
                <w:rFonts w:hint="eastAsia"/>
              </w:rPr>
              <w:t>0.90</w:t>
            </w:r>
          </w:p>
        </w:tc>
        <w:tc>
          <w:tcPr>
            <w:tcW w:w="984" w:type="dxa"/>
          </w:tcPr>
          <w:p w14:paraId="523B088E">
            <w:pPr>
              <w:jc w:val="center"/>
            </w:pPr>
            <w:r>
              <w:rPr>
                <w:rFonts w:hint="eastAsia"/>
              </w:rPr>
              <w:t>1.75</w:t>
            </w:r>
          </w:p>
        </w:tc>
        <w:tc>
          <w:tcPr>
            <w:tcW w:w="936" w:type="dxa"/>
          </w:tcPr>
          <w:p w14:paraId="3DC412DE">
            <w:pPr>
              <w:jc w:val="center"/>
            </w:pPr>
            <w:r>
              <w:rPr>
                <w:rFonts w:hint="eastAsia"/>
              </w:rPr>
              <w:t>2.60</w:t>
            </w:r>
          </w:p>
        </w:tc>
        <w:tc>
          <w:tcPr>
            <w:tcW w:w="898" w:type="dxa"/>
          </w:tcPr>
          <w:p w14:paraId="26149BFA">
            <w:pPr>
              <w:jc w:val="center"/>
            </w:pPr>
            <w:r>
              <w:rPr>
                <w:rFonts w:hint="eastAsia"/>
              </w:rPr>
              <w:t>3.50</w:t>
            </w:r>
          </w:p>
        </w:tc>
      </w:tr>
    </w:tbl>
    <w:p w14:paraId="32C50C47">
      <w:pPr>
        <w:rPr>
          <w:sz w:val="18"/>
          <w:szCs w:val="18"/>
        </w:rPr>
      </w:pPr>
      <w:r>
        <w:rPr>
          <w:rFonts w:hint="eastAsia"/>
          <w:sz w:val="18"/>
          <w:szCs w:val="18"/>
        </w:rPr>
        <w:t>注：1 最大腐蚀速率通常发生在浪溅区或在潮汐时的低水位区域。但是在大多数情况下，最大的弯曲应力发生在永久浸没区；</w:t>
      </w:r>
    </w:p>
    <w:p w14:paraId="4C74DC54">
      <w:pPr>
        <w:ind w:firstLine="360" w:firstLineChars="200"/>
      </w:pPr>
      <w:r>
        <w:rPr>
          <w:rFonts w:hint="eastAsia"/>
          <w:sz w:val="18"/>
          <w:szCs w:val="18"/>
        </w:rPr>
        <w:t>2 上表中5年和25年的数值是基于测量给出的，其它的数据是推算的。</w:t>
      </w:r>
    </w:p>
    <w:p w14:paraId="3A3568DE">
      <w:pPr>
        <w:rPr>
          <w:b/>
          <w:bCs/>
        </w:rPr>
      </w:pPr>
    </w:p>
    <w:p w14:paraId="2E04EB22">
      <w:r>
        <w:rPr>
          <w:rFonts w:hint="eastAsia"/>
          <w:b/>
          <w:bCs/>
        </w:rPr>
        <w:t>5.5.13</w:t>
      </w:r>
      <w:r>
        <w:rPr>
          <w:rFonts w:hint="eastAsia"/>
        </w:rPr>
        <w:t xml:space="preserve">  存在杂散电流时，防止杂散电流腐蚀除使钢板桩远离杂散电流外，主要措施是排流保护，即用绝缘的金属电缆将被保护的钢板桩与排流装置连接将杂散电流引回钢轨或回归线（负极母线）上。</w:t>
      </w:r>
    </w:p>
    <w:p w14:paraId="0DBD5311">
      <w:pPr>
        <w:rPr>
          <w:b/>
          <w:bCs/>
        </w:rPr>
      </w:pPr>
    </w:p>
    <w:p w14:paraId="3328733E">
      <w:pPr>
        <w:rPr>
          <w:b/>
          <w:bCs/>
        </w:rPr>
      </w:pPr>
    </w:p>
    <w:p w14:paraId="31D9D09D">
      <w:pPr>
        <w:rPr>
          <w:b/>
          <w:bCs/>
        </w:rPr>
      </w:pPr>
    </w:p>
    <w:p w14:paraId="0C24EEA1">
      <w:pPr>
        <w:rPr>
          <w:b/>
          <w:bCs/>
        </w:rPr>
      </w:pPr>
    </w:p>
    <w:p w14:paraId="7FE356EC">
      <w:pPr>
        <w:rPr>
          <w:b/>
          <w:bCs/>
        </w:rPr>
      </w:pPr>
    </w:p>
    <w:p w14:paraId="4F8AA407">
      <w:pPr>
        <w:rPr>
          <w:b/>
          <w:bCs/>
        </w:rPr>
      </w:pPr>
    </w:p>
    <w:p w14:paraId="14C389F8">
      <w:pPr>
        <w:rPr>
          <w:b/>
          <w:bCs/>
        </w:rPr>
        <w:sectPr>
          <w:footerReference r:id="rId22" w:type="default"/>
          <w:pgSz w:w="11906" w:h="16838"/>
          <w:pgMar w:top="1440" w:right="1800" w:bottom="1440" w:left="1800" w:header="851" w:footer="992" w:gutter="0"/>
          <w:pgNumType w:start="50"/>
          <w:cols w:space="720" w:num="1"/>
          <w:docGrid w:type="lines" w:linePitch="312" w:charSpace="0"/>
        </w:sectPr>
      </w:pPr>
    </w:p>
    <w:p w14:paraId="2C90B860">
      <w:r>
        <w:rPr>
          <w:rFonts w:hint="eastAsia"/>
          <w:b/>
          <w:bCs/>
        </w:rPr>
        <w:t>5.5.14</w:t>
      </w:r>
      <w:r>
        <w:rPr>
          <w:rFonts w:hint="eastAsia"/>
        </w:rPr>
        <w:t xml:space="preserve">  钢板桩受到淡水或者海水侵蚀作用而腐蚀的预留厚度值可参考表5.5.14。</w:t>
      </w:r>
    </w:p>
    <w:p w14:paraId="46FE0714">
      <w:pPr>
        <w:jc w:val="center"/>
      </w:pPr>
      <w:r>
        <w:rPr>
          <w:rFonts w:hint="eastAsia"/>
        </w:rPr>
        <w:t>表5.5.14  钢板桩受到淡水或者海水侵蚀作用而腐蚀的预留度值（mm）</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4"/>
        <w:gridCol w:w="684"/>
        <w:gridCol w:w="720"/>
        <w:gridCol w:w="684"/>
        <w:gridCol w:w="732"/>
        <w:gridCol w:w="788"/>
      </w:tblGrid>
      <w:tr w14:paraId="6287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1A6259B1">
            <w:pPr>
              <w:jc w:val="center"/>
            </w:pPr>
            <w:r>
              <w:rPr>
                <w:rFonts w:hint="eastAsia"/>
              </w:rPr>
              <w:t>设计使用年限</w:t>
            </w:r>
          </w:p>
        </w:tc>
        <w:tc>
          <w:tcPr>
            <w:tcW w:w="684" w:type="dxa"/>
          </w:tcPr>
          <w:p w14:paraId="4A17A375">
            <w:pPr>
              <w:jc w:val="center"/>
            </w:pPr>
            <w:r>
              <w:rPr>
                <w:rFonts w:hint="eastAsia"/>
              </w:rPr>
              <w:t>5年</w:t>
            </w:r>
          </w:p>
        </w:tc>
        <w:tc>
          <w:tcPr>
            <w:tcW w:w="720" w:type="dxa"/>
          </w:tcPr>
          <w:p w14:paraId="07E69646">
            <w:pPr>
              <w:jc w:val="center"/>
            </w:pPr>
            <w:r>
              <w:rPr>
                <w:rFonts w:hint="eastAsia"/>
              </w:rPr>
              <w:t>25年</w:t>
            </w:r>
          </w:p>
        </w:tc>
        <w:tc>
          <w:tcPr>
            <w:tcW w:w="684" w:type="dxa"/>
          </w:tcPr>
          <w:p w14:paraId="341FBBF2">
            <w:pPr>
              <w:jc w:val="center"/>
            </w:pPr>
            <w:r>
              <w:rPr>
                <w:rFonts w:hint="eastAsia"/>
              </w:rPr>
              <w:t>50年</w:t>
            </w:r>
          </w:p>
        </w:tc>
        <w:tc>
          <w:tcPr>
            <w:tcW w:w="732" w:type="dxa"/>
          </w:tcPr>
          <w:p w14:paraId="4079F573">
            <w:pPr>
              <w:jc w:val="center"/>
            </w:pPr>
            <w:r>
              <w:rPr>
                <w:rFonts w:hint="eastAsia"/>
              </w:rPr>
              <w:t>75年</w:t>
            </w:r>
          </w:p>
        </w:tc>
        <w:tc>
          <w:tcPr>
            <w:tcW w:w="788" w:type="dxa"/>
          </w:tcPr>
          <w:p w14:paraId="21CA2202">
            <w:pPr>
              <w:jc w:val="center"/>
            </w:pPr>
            <w:r>
              <w:rPr>
                <w:rFonts w:hint="eastAsia"/>
              </w:rPr>
              <w:t>100年</w:t>
            </w:r>
          </w:p>
        </w:tc>
      </w:tr>
      <w:tr w14:paraId="274E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7FE3D44E">
            <w:pPr>
              <w:jc w:val="center"/>
            </w:pPr>
            <w:r>
              <w:rPr>
                <w:rFonts w:hint="eastAsia"/>
              </w:rPr>
              <w:t>一般淡水（河、运河等）</w:t>
            </w:r>
          </w:p>
        </w:tc>
        <w:tc>
          <w:tcPr>
            <w:tcW w:w="684" w:type="dxa"/>
          </w:tcPr>
          <w:p w14:paraId="6254BB81">
            <w:pPr>
              <w:jc w:val="center"/>
            </w:pPr>
            <w:r>
              <w:rPr>
                <w:rFonts w:hint="eastAsia"/>
              </w:rPr>
              <w:t>0.15</w:t>
            </w:r>
          </w:p>
        </w:tc>
        <w:tc>
          <w:tcPr>
            <w:tcW w:w="720" w:type="dxa"/>
          </w:tcPr>
          <w:p w14:paraId="67AA37C6">
            <w:pPr>
              <w:jc w:val="center"/>
            </w:pPr>
            <w:r>
              <w:rPr>
                <w:rFonts w:hint="eastAsia"/>
              </w:rPr>
              <w:t>0.55</w:t>
            </w:r>
          </w:p>
        </w:tc>
        <w:tc>
          <w:tcPr>
            <w:tcW w:w="684" w:type="dxa"/>
          </w:tcPr>
          <w:p w14:paraId="082AA710">
            <w:pPr>
              <w:jc w:val="center"/>
            </w:pPr>
            <w:r>
              <w:rPr>
                <w:rFonts w:hint="eastAsia"/>
              </w:rPr>
              <w:t>0.90</w:t>
            </w:r>
          </w:p>
        </w:tc>
        <w:tc>
          <w:tcPr>
            <w:tcW w:w="732" w:type="dxa"/>
          </w:tcPr>
          <w:p w14:paraId="6757B527">
            <w:pPr>
              <w:jc w:val="center"/>
            </w:pPr>
            <w:r>
              <w:rPr>
                <w:rFonts w:hint="eastAsia"/>
              </w:rPr>
              <w:t>1.15</w:t>
            </w:r>
          </w:p>
        </w:tc>
        <w:tc>
          <w:tcPr>
            <w:tcW w:w="788" w:type="dxa"/>
          </w:tcPr>
          <w:p w14:paraId="2ACD76AE">
            <w:pPr>
              <w:jc w:val="center"/>
            </w:pPr>
            <w:r>
              <w:rPr>
                <w:rFonts w:hint="eastAsia"/>
              </w:rPr>
              <w:t>1.40</w:t>
            </w:r>
          </w:p>
        </w:tc>
      </w:tr>
      <w:tr w14:paraId="15C3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13049817">
            <w:pPr>
              <w:jc w:val="center"/>
            </w:pPr>
            <w:r>
              <w:rPr>
                <w:rFonts w:hint="eastAsia"/>
              </w:rPr>
              <w:t>污染严重的淡水（下水道、工业排污口等）侵蚀区</w:t>
            </w:r>
          </w:p>
        </w:tc>
        <w:tc>
          <w:tcPr>
            <w:tcW w:w="684" w:type="dxa"/>
          </w:tcPr>
          <w:p w14:paraId="324B6493">
            <w:pPr>
              <w:jc w:val="center"/>
            </w:pPr>
            <w:r>
              <w:rPr>
                <w:rFonts w:hint="eastAsia"/>
              </w:rPr>
              <w:t>0.30</w:t>
            </w:r>
          </w:p>
        </w:tc>
        <w:tc>
          <w:tcPr>
            <w:tcW w:w="720" w:type="dxa"/>
          </w:tcPr>
          <w:p w14:paraId="115E3A6A">
            <w:pPr>
              <w:jc w:val="center"/>
            </w:pPr>
            <w:r>
              <w:rPr>
                <w:rFonts w:hint="eastAsia"/>
              </w:rPr>
              <w:t>1.30</w:t>
            </w:r>
          </w:p>
        </w:tc>
        <w:tc>
          <w:tcPr>
            <w:tcW w:w="684" w:type="dxa"/>
          </w:tcPr>
          <w:p w14:paraId="66F3B445">
            <w:pPr>
              <w:jc w:val="center"/>
            </w:pPr>
            <w:r>
              <w:rPr>
                <w:rFonts w:hint="eastAsia"/>
              </w:rPr>
              <w:t>2.30</w:t>
            </w:r>
          </w:p>
        </w:tc>
        <w:tc>
          <w:tcPr>
            <w:tcW w:w="732" w:type="dxa"/>
          </w:tcPr>
          <w:p w14:paraId="2E57AB03">
            <w:pPr>
              <w:jc w:val="center"/>
            </w:pPr>
            <w:r>
              <w:rPr>
                <w:rFonts w:hint="eastAsia"/>
              </w:rPr>
              <w:t>3.30</w:t>
            </w:r>
          </w:p>
        </w:tc>
        <w:tc>
          <w:tcPr>
            <w:tcW w:w="788" w:type="dxa"/>
          </w:tcPr>
          <w:p w14:paraId="744853CD">
            <w:pPr>
              <w:jc w:val="center"/>
            </w:pPr>
            <w:r>
              <w:rPr>
                <w:rFonts w:hint="eastAsia"/>
              </w:rPr>
              <w:t>4.30</w:t>
            </w:r>
          </w:p>
        </w:tc>
      </w:tr>
      <w:tr w14:paraId="5D8F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1260CFF3">
            <w:pPr>
              <w:jc w:val="center"/>
            </w:pPr>
            <w:r>
              <w:rPr>
                <w:rFonts w:hint="eastAsia"/>
              </w:rPr>
              <w:t>温带气候的海水（低潮和浪溅带）侵蚀区</w:t>
            </w:r>
          </w:p>
        </w:tc>
        <w:tc>
          <w:tcPr>
            <w:tcW w:w="684" w:type="dxa"/>
          </w:tcPr>
          <w:p w14:paraId="271665F6">
            <w:pPr>
              <w:jc w:val="center"/>
            </w:pPr>
            <w:r>
              <w:rPr>
                <w:rFonts w:hint="eastAsia"/>
              </w:rPr>
              <w:t>0.55</w:t>
            </w:r>
          </w:p>
        </w:tc>
        <w:tc>
          <w:tcPr>
            <w:tcW w:w="720" w:type="dxa"/>
          </w:tcPr>
          <w:p w14:paraId="21524930">
            <w:pPr>
              <w:jc w:val="center"/>
            </w:pPr>
            <w:r>
              <w:rPr>
                <w:rFonts w:hint="eastAsia"/>
              </w:rPr>
              <w:t>1.90</w:t>
            </w:r>
          </w:p>
        </w:tc>
        <w:tc>
          <w:tcPr>
            <w:tcW w:w="684" w:type="dxa"/>
          </w:tcPr>
          <w:p w14:paraId="6CCE8077">
            <w:pPr>
              <w:jc w:val="center"/>
            </w:pPr>
            <w:r>
              <w:rPr>
                <w:rFonts w:hint="eastAsia"/>
              </w:rPr>
              <w:t>3.75</w:t>
            </w:r>
          </w:p>
        </w:tc>
        <w:tc>
          <w:tcPr>
            <w:tcW w:w="732" w:type="dxa"/>
          </w:tcPr>
          <w:p w14:paraId="492340C1">
            <w:pPr>
              <w:jc w:val="center"/>
            </w:pPr>
            <w:r>
              <w:rPr>
                <w:rFonts w:hint="eastAsia"/>
              </w:rPr>
              <w:t>5.60</w:t>
            </w:r>
          </w:p>
        </w:tc>
        <w:tc>
          <w:tcPr>
            <w:tcW w:w="788" w:type="dxa"/>
          </w:tcPr>
          <w:p w14:paraId="6877F8C3">
            <w:pPr>
              <w:jc w:val="center"/>
            </w:pPr>
            <w:r>
              <w:rPr>
                <w:rFonts w:hint="eastAsia"/>
              </w:rPr>
              <w:t>7.50</w:t>
            </w:r>
          </w:p>
        </w:tc>
      </w:tr>
      <w:tr w14:paraId="4485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5D1990B2">
            <w:pPr>
              <w:jc w:val="center"/>
            </w:pPr>
            <w:r>
              <w:rPr>
                <w:rFonts w:hint="eastAsia"/>
              </w:rPr>
              <w:t>温带气候的海水永久沉浸区或高潮线与低潮线间的区域</w:t>
            </w:r>
          </w:p>
        </w:tc>
        <w:tc>
          <w:tcPr>
            <w:tcW w:w="684" w:type="dxa"/>
          </w:tcPr>
          <w:p w14:paraId="38D0D5AE">
            <w:pPr>
              <w:jc w:val="center"/>
            </w:pPr>
            <w:r>
              <w:rPr>
                <w:rFonts w:hint="eastAsia"/>
              </w:rPr>
              <w:t>0.25</w:t>
            </w:r>
          </w:p>
        </w:tc>
        <w:tc>
          <w:tcPr>
            <w:tcW w:w="720" w:type="dxa"/>
          </w:tcPr>
          <w:p w14:paraId="3EA245F5">
            <w:pPr>
              <w:jc w:val="center"/>
            </w:pPr>
            <w:r>
              <w:rPr>
                <w:rFonts w:hint="eastAsia"/>
              </w:rPr>
              <w:t>0.90</w:t>
            </w:r>
          </w:p>
        </w:tc>
        <w:tc>
          <w:tcPr>
            <w:tcW w:w="684" w:type="dxa"/>
          </w:tcPr>
          <w:p w14:paraId="7262A85C">
            <w:pPr>
              <w:jc w:val="center"/>
            </w:pPr>
            <w:r>
              <w:rPr>
                <w:rFonts w:hint="eastAsia"/>
              </w:rPr>
              <w:t>1.75</w:t>
            </w:r>
          </w:p>
        </w:tc>
        <w:tc>
          <w:tcPr>
            <w:tcW w:w="732" w:type="dxa"/>
          </w:tcPr>
          <w:p w14:paraId="4DE1C1E4">
            <w:pPr>
              <w:jc w:val="center"/>
            </w:pPr>
            <w:r>
              <w:rPr>
                <w:rFonts w:hint="eastAsia"/>
              </w:rPr>
              <w:t>2.60</w:t>
            </w:r>
          </w:p>
        </w:tc>
        <w:tc>
          <w:tcPr>
            <w:tcW w:w="788" w:type="dxa"/>
          </w:tcPr>
          <w:p w14:paraId="68D81407">
            <w:pPr>
              <w:jc w:val="center"/>
            </w:pPr>
            <w:r>
              <w:rPr>
                <w:rFonts w:hint="eastAsia"/>
              </w:rPr>
              <w:t>3.50</w:t>
            </w:r>
          </w:p>
        </w:tc>
      </w:tr>
    </w:tbl>
    <w:p w14:paraId="47E7F309">
      <w:pPr>
        <w:sectPr>
          <w:footerReference r:id="rId23" w:type="default"/>
          <w:pgSz w:w="11906" w:h="16838"/>
          <w:pgMar w:top="1440" w:right="1800" w:bottom="1440" w:left="1800" w:header="851" w:footer="992" w:gutter="0"/>
          <w:pgNumType w:start="50"/>
          <w:cols w:space="720" w:num="1"/>
          <w:docGrid w:type="lines" w:linePitch="312" w:charSpace="0"/>
        </w:sectPr>
      </w:pPr>
    </w:p>
    <w:p w14:paraId="2863770A">
      <w:pPr>
        <w:pStyle w:val="2"/>
      </w:pPr>
      <w:r>
        <w:rPr>
          <w:rFonts w:hint="eastAsia"/>
        </w:rPr>
        <w:t>6</w:t>
      </w:r>
      <w:r>
        <w:t xml:space="preserve"> </w:t>
      </w:r>
      <w:r>
        <w:rPr>
          <w:rFonts w:hint="eastAsia"/>
        </w:rPr>
        <w:t xml:space="preserve"> 施工</w:t>
      </w:r>
    </w:p>
    <w:p w14:paraId="0ADA7B26">
      <w:pPr>
        <w:pStyle w:val="3"/>
        <w:ind w:firstLine="281"/>
      </w:pPr>
      <w:r>
        <w:rPr>
          <w:rFonts w:hint="eastAsia"/>
        </w:rPr>
        <w:t>6.1  一般规定</w:t>
      </w:r>
    </w:p>
    <w:p w14:paraId="7AB32356">
      <w:r>
        <w:rPr>
          <w:rFonts w:hint="eastAsia"/>
          <w:b/>
          <w:bCs/>
        </w:rPr>
        <w:t>6.1.1</w:t>
      </w:r>
      <w:r>
        <w:rPr>
          <w:rFonts w:hint="eastAsia"/>
        </w:rPr>
        <w:t xml:space="preserve">  钢板桩静压施工一般工艺流程：场地平整→测量定位，确定压桩顺序→静压植桩机就位，设置反力基座并配重→起吊钢板桩→桩身校正→压桩→移机→重复起吊、校正压桩、移机完成初始桩施工→吊离反力基座及配重，移机→起吊钢板桩→桩身校正→压桩→移机→重复起吊、校正压桩、移机完成剩余钢板桩施工。</w:t>
      </w:r>
    </w:p>
    <w:p w14:paraId="455FA5D5">
      <w:pPr>
        <w:spacing w:line="240" w:lineRule="auto"/>
      </w:pPr>
      <w:r>
        <w:rPr>
          <w:rFonts w:hint="eastAsia"/>
          <w:b/>
          <w:bCs/>
        </w:rPr>
        <w:t>6.1.6</w:t>
      </w:r>
      <w:r>
        <w:rPr>
          <w:rFonts w:hint="eastAsia"/>
        </w:rPr>
        <w:t xml:space="preserve">  </w:t>
      </w:r>
      <w:r>
        <w:t>钢板桩支护结束后一般都要拔出回收、重复利用，因此对于空间狭小需要以桩代模的情况，应在钢板桩和地下结构接触部位采取隔离措施，以便于钢板桩的拔出。</w:t>
      </w:r>
    </w:p>
    <w:p w14:paraId="0169C582">
      <w:pPr>
        <w:spacing w:line="240" w:lineRule="auto"/>
      </w:pPr>
    </w:p>
    <w:p w14:paraId="51CAB9A2">
      <w:pPr>
        <w:pStyle w:val="3"/>
        <w:ind w:firstLine="281"/>
      </w:pPr>
      <w:r>
        <w:rPr>
          <w:rFonts w:hint="eastAsia"/>
        </w:rPr>
        <w:t>6.2  运输吊装和堆放</w:t>
      </w:r>
    </w:p>
    <w:p w14:paraId="69405889">
      <w:r>
        <w:rPr>
          <w:rFonts w:hint="eastAsia"/>
          <w:b/>
          <w:bCs/>
        </w:rPr>
        <w:t>6.2.1</w:t>
      </w:r>
      <w:r>
        <w:rPr>
          <w:rFonts w:hint="eastAsia"/>
        </w:rPr>
        <w:t xml:space="preserve">  运输钢板桩时受到各种限制，特别是通过道路运输时，以运输途中的交通规则（限制通行区域，桥梁的限制载重，限制高度等）为首，还必须充分调查交叉点和转弯处的转弯半径。同时场地三通一平是沉桩施工的基本条件，但施工机械自重一般较大，多为履带式或步履式，接地压强约120kPa。施工场地及道路一般需要垫砖渣或钢板才能满足通行要求。</w:t>
      </w:r>
    </w:p>
    <w:p w14:paraId="64917F85">
      <w:pPr>
        <w:ind w:firstLine="420" w:firstLineChars="200"/>
      </w:pPr>
      <w:r>
        <w:rPr>
          <w:rFonts w:hint="eastAsia"/>
        </w:rPr>
        <w:t>钢板桩材料吊装应根据构件特点及场地条件，并通过验算确定吊装方案。吊运装卸钢板桩时使用专用钢吊钩，吊运方式有成捆起吊和单根起吊，起吊焊接接长钢板桩时应翼缘朝上吊装。</w:t>
      </w:r>
    </w:p>
    <w:p w14:paraId="3CD605E8">
      <w:pPr>
        <w:widowControl/>
        <w:ind w:firstLine="420" w:firstLineChars="200"/>
        <w:jc w:val="left"/>
      </w:pPr>
      <w:r>
        <w:rPr>
          <w:rFonts w:hint="eastAsia"/>
        </w:rPr>
        <w:t>钢板桩吊装方法有</w:t>
      </w:r>
      <w:r>
        <w:t>2</w:t>
      </w:r>
      <w:r>
        <w:rPr>
          <w:rFonts w:hint="eastAsia"/>
        </w:rPr>
        <w:t>点起吊、</w:t>
      </w:r>
      <w:r>
        <w:t>3</w:t>
      </w:r>
      <w:r>
        <w:rPr>
          <w:rFonts w:hint="eastAsia"/>
        </w:rPr>
        <w:t>点起吊或</w:t>
      </w:r>
      <w:r>
        <w:t>4</w:t>
      </w:r>
      <w:r>
        <w:rPr>
          <w:rFonts w:hint="eastAsia"/>
        </w:rPr>
        <w:t>点起吊等。悬吊钢板桩的钢丝绳的间距，应保证钢板桩在自重作用下产生的挠度尽可能小。假如采用</w:t>
      </w:r>
      <w:r>
        <w:t>2</w:t>
      </w:r>
      <w:r>
        <w:rPr>
          <w:rFonts w:hint="eastAsia"/>
        </w:rPr>
        <w:t>点起吊，那么两个起吊点设在距钢板桩两端</w:t>
      </w:r>
      <w:r>
        <w:t>1/4</w:t>
      </w:r>
      <w:r>
        <w:rPr>
          <w:rFonts w:hint="eastAsia"/>
        </w:rPr>
        <w:t>桩长的位置，这样可使由自重引起的弯矩降到最低。如采用</w:t>
      </w:r>
      <w:r>
        <w:t>4</w:t>
      </w:r>
      <w:r>
        <w:rPr>
          <w:rFonts w:hint="eastAsia"/>
        </w:rPr>
        <w:t>点起吊，吊点位置可按图6.2.1设置。</w:t>
      </w:r>
    </w:p>
    <w:p w14:paraId="79AD6108">
      <w:pPr>
        <w:spacing w:line="240" w:lineRule="auto"/>
        <w:jc w:val="center"/>
      </w:pPr>
      <w:r>
        <w:drawing>
          <wp:inline distT="0" distB="0" distL="114300" distR="114300">
            <wp:extent cx="3093720" cy="1539240"/>
            <wp:effectExtent l="0" t="0" r="0" b="0"/>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pic:cNvPicPr>
                      <a:picLocks noChangeAspect="1"/>
                    </pic:cNvPicPr>
                  </pic:nvPicPr>
                  <pic:blipFill>
                    <a:blip r:embed="rId110"/>
                    <a:stretch>
                      <a:fillRect/>
                    </a:stretch>
                  </pic:blipFill>
                  <pic:spPr>
                    <a:xfrm>
                      <a:off x="0" y="0"/>
                      <a:ext cx="3093720" cy="1539240"/>
                    </a:xfrm>
                    <a:prstGeom prst="rect">
                      <a:avLst/>
                    </a:prstGeom>
                    <a:noFill/>
                    <a:ln>
                      <a:noFill/>
                    </a:ln>
                  </pic:spPr>
                </pic:pic>
              </a:graphicData>
            </a:graphic>
          </wp:inline>
        </w:drawing>
      </w:r>
    </w:p>
    <w:p w14:paraId="0B706240">
      <w:pPr>
        <w:widowControl/>
        <w:jc w:val="center"/>
      </w:pPr>
      <w:r>
        <w:rPr>
          <w:rFonts w:hint="eastAsia"/>
        </w:rPr>
        <w:t>图6.2.1-1  4点起吊吊点位置</w:t>
      </w:r>
    </w:p>
    <w:p w14:paraId="7175EBEB">
      <w:pPr>
        <w:widowControl/>
        <w:ind w:firstLine="420" w:firstLineChars="200"/>
        <w:jc w:val="left"/>
      </w:pPr>
      <w:r>
        <w:rPr>
          <w:rFonts w:hint="eastAsia"/>
        </w:rPr>
        <w:t>水平吊运焊接接长钢板桩时，使其锁口朝上是为了使接长处的锁口处于受压区，以免产生过大变形，同时也可以避免起吊时钢板桩端部锁口拖地造成损伤，影响使用。进行钢板桩吊装时还应注意下列几点（图</w:t>
      </w:r>
      <w:r>
        <w:t>11）</w:t>
      </w:r>
      <w:r>
        <w:rPr>
          <w:rFonts w:hint="eastAsia"/>
        </w:rPr>
        <w:t>：</w:t>
      </w:r>
    </w:p>
    <w:p w14:paraId="53E878D3">
      <w:pPr>
        <w:widowControl/>
        <w:ind w:firstLine="420" w:firstLineChars="200"/>
        <w:jc w:val="left"/>
      </w:pPr>
      <w:r>
        <w:rPr>
          <w:rFonts w:hint="eastAsia"/>
        </w:rPr>
        <w:t>1 通常情况下，为了吊运钢板桩，需要在距钢板桩桩端一定距离的中心位置开设吊孔，无特殊要求时，吊孔位置及直径大小可取</w:t>
      </w:r>
      <w:r>
        <w:t>250mm</w:t>
      </w:r>
      <w:r>
        <w:rPr>
          <w:rFonts w:hint="eastAsia"/>
        </w:rPr>
        <w:t>和</w:t>
      </w:r>
      <w:r>
        <w:t>50mm</w:t>
      </w:r>
      <w:r>
        <w:rPr>
          <w:rFonts w:hint="eastAsia"/>
        </w:rPr>
        <w:t>。当吊运钢板桩时，需将吊绳和钢板桩用钩环牢固地连接起来。</w:t>
      </w:r>
    </w:p>
    <w:p w14:paraId="18702A92">
      <w:pPr>
        <w:widowControl/>
        <w:ind w:firstLine="420" w:firstLineChars="200"/>
        <w:jc w:val="left"/>
        <w:sectPr>
          <w:footerReference r:id="rId24" w:type="default"/>
          <w:pgSz w:w="11906" w:h="16838"/>
          <w:pgMar w:top="1440" w:right="1800" w:bottom="1440" w:left="1800" w:header="851" w:footer="992" w:gutter="0"/>
          <w:pgNumType w:start="50"/>
          <w:cols w:space="720" w:num="1"/>
          <w:docGrid w:type="lines" w:linePitch="312" w:charSpace="0"/>
        </w:sectPr>
      </w:pPr>
    </w:p>
    <w:p w14:paraId="221DD671">
      <w:pPr>
        <w:widowControl/>
        <w:ind w:firstLine="420" w:firstLineChars="200"/>
        <w:jc w:val="left"/>
      </w:pPr>
      <w:r>
        <w:rPr>
          <w:rFonts w:hint="eastAsia"/>
        </w:rPr>
        <w:t>2 钢板桩的下部要束上足够的绳索，以确保其在吊装时不会剧烈晃动。</w:t>
      </w:r>
    </w:p>
    <w:p w14:paraId="6DB877C0">
      <w:pPr>
        <w:spacing w:line="240" w:lineRule="auto"/>
        <w:jc w:val="center"/>
      </w:pPr>
      <w:r>
        <w:drawing>
          <wp:inline distT="0" distB="0" distL="114300" distR="114300">
            <wp:extent cx="3550920" cy="2179320"/>
            <wp:effectExtent l="0" t="0" r="0" b="0"/>
            <wp:docPr id="1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pic:cNvPicPr>
                      <a:picLocks noChangeAspect="1"/>
                    </pic:cNvPicPr>
                  </pic:nvPicPr>
                  <pic:blipFill>
                    <a:blip r:embed="rId111"/>
                    <a:stretch>
                      <a:fillRect/>
                    </a:stretch>
                  </pic:blipFill>
                  <pic:spPr>
                    <a:xfrm>
                      <a:off x="0" y="0"/>
                      <a:ext cx="3550920" cy="2179320"/>
                    </a:xfrm>
                    <a:prstGeom prst="rect">
                      <a:avLst/>
                    </a:prstGeom>
                    <a:noFill/>
                    <a:ln>
                      <a:noFill/>
                    </a:ln>
                  </pic:spPr>
                </pic:pic>
              </a:graphicData>
            </a:graphic>
          </wp:inline>
        </w:drawing>
      </w:r>
    </w:p>
    <w:p w14:paraId="58D7049F">
      <w:pPr>
        <w:widowControl/>
        <w:jc w:val="center"/>
      </w:pPr>
      <w:r>
        <w:rPr>
          <w:rFonts w:hint="eastAsia"/>
        </w:rPr>
        <w:t>图6.2.1-2  钢板桩吊装准备</w:t>
      </w:r>
    </w:p>
    <w:p w14:paraId="4BD93BFA">
      <w:pPr>
        <w:widowControl/>
        <w:jc w:val="center"/>
        <w:rPr>
          <w:sz w:val="18"/>
          <w:szCs w:val="18"/>
        </w:rPr>
      </w:pPr>
      <w:r>
        <w:rPr>
          <w:sz w:val="18"/>
          <w:szCs w:val="18"/>
        </w:rPr>
        <w:t>1</w:t>
      </w:r>
      <w:r>
        <w:rPr>
          <w:rFonts w:hint="eastAsia"/>
          <w:sz w:val="18"/>
          <w:szCs w:val="18"/>
        </w:rPr>
        <w:t>—钩环；</w:t>
      </w:r>
      <w:r>
        <w:rPr>
          <w:sz w:val="18"/>
          <w:szCs w:val="18"/>
        </w:rPr>
        <w:t>2</w:t>
      </w:r>
      <w:r>
        <w:rPr>
          <w:rFonts w:hint="eastAsia"/>
          <w:sz w:val="18"/>
          <w:szCs w:val="18"/>
        </w:rPr>
        <w:t>—绳索</w:t>
      </w:r>
    </w:p>
    <w:p w14:paraId="67DEB518">
      <w:r>
        <w:rPr>
          <w:rFonts w:hint="eastAsia"/>
          <w:b/>
          <w:bCs/>
        </w:rPr>
        <w:t>6.2.3</w:t>
      </w:r>
      <w:r>
        <w:rPr>
          <w:rFonts w:hint="eastAsia"/>
        </w:rPr>
        <w:t xml:space="preserve">  起吊焊接接长钢板桩时应使其翼缘朝上，这样使接长处的翼缘处于受压区，以免产生变形；同时也可以避免起吊钢板桩时端部锁口拖地造成损坏。</w:t>
      </w:r>
    </w:p>
    <w:p w14:paraId="65D63A4D">
      <w:r>
        <w:rPr>
          <w:rFonts w:hint="eastAsia"/>
          <w:b/>
          <w:bCs/>
        </w:rPr>
        <w:t>6.2.4</w:t>
      </w:r>
      <w:r>
        <w:rPr>
          <w:rFonts w:hint="eastAsia"/>
        </w:rPr>
        <w:t xml:space="preserve">  堆放时下方应垫稳，每层堆放数量不宜超过5根，堆放总高度不宜超过2米，每排钢板桩之间的净距不宜小于200mm，垫木间距宜为3m~4m。组合钢板堆放层数不宜超过3层。堆放时应分类码放整齐、标识明确、记录完整，并应设置明显的警戒标识。U型钢板桩堆放举例如图6.2.4-1~图6.2.4-2所示：</w:t>
      </w:r>
    </w:p>
    <w:p w14:paraId="66877AFB">
      <w:pPr>
        <w:spacing w:line="240" w:lineRule="auto"/>
      </w:pPr>
      <w:r>
        <w:rPr>
          <w:rFonts w:hint="eastAsia"/>
        </w:rPr>
        <w:drawing>
          <wp:inline distT="0" distB="0" distL="114300" distR="114300">
            <wp:extent cx="5465445" cy="1943735"/>
            <wp:effectExtent l="0" t="0" r="5715" b="6985"/>
            <wp:docPr id="27" name="图片 27" descr="fd8a044b4e0378c32dd3be414ccd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d8a044b4e0378c32dd3be414ccd2fa0"/>
                    <pic:cNvPicPr>
                      <a:picLocks noChangeAspect="1"/>
                    </pic:cNvPicPr>
                  </pic:nvPicPr>
                  <pic:blipFill>
                    <a:blip r:embed="rId112"/>
                    <a:srcRect t="28276" b="38391"/>
                    <a:stretch>
                      <a:fillRect/>
                    </a:stretch>
                  </pic:blipFill>
                  <pic:spPr>
                    <a:xfrm>
                      <a:off x="0" y="0"/>
                      <a:ext cx="5465445" cy="1943735"/>
                    </a:xfrm>
                    <a:prstGeom prst="rect">
                      <a:avLst/>
                    </a:prstGeom>
                  </pic:spPr>
                </pic:pic>
              </a:graphicData>
            </a:graphic>
          </wp:inline>
        </w:drawing>
      </w:r>
    </w:p>
    <w:p w14:paraId="7685D54F">
      <w:pPr>
        <w:jc w:val="center"/>
      </w:pPr>
      <w:r>
        <w:rPr>
          <w:rFonts w:hint="eastAsia"/>
        </w:rPr>
        <w:t>图6.2.4-1  U型钢板桩堆放例1</w:t>
      </w:r>
    </w:p>
    <w:p w14:paraId="075527A5">
      <w:pPr>
        <w:jc w:val="center"/>
      </w:pPr>
    </w:p>
    <w:p w14:paraId="68DEA6CD">
      <w:pPr>
        <w:spacing w:line="240" w:lineRule="auto"/>
      </w:pPr>
      <w:r>
        <w:rPr>
          <w:rFonts w:hint="eastAsia"/>
        </w:rPr>
        <w:drawing>
          <wp:inline distT="0" distB="0" distL="114300" distR="114300">
            <wp:extent cx="5237480" cy="1764030"/>
            <wp:effectExtent l="0" t="0" r="5080" b="3810"/>
            <wp:docPr id="15" name="图片 15" descr="fd8a044b4e0378c32dd3be414ccd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8a044b4e0378c32dd3be414ccd2fa0"/>
                    <pic:cNvPicPr>
                      <a:picLocks noChangeAspect="1"/>
                    </pic:cNvPicPr>
                  </pic:nvPicPr>
                  <pic:blipFill>
                    <a:blip r:embed="rId112"/>
                    <a:srcRect l="3041" t="65645" r="5795" b="5294"/>
                    <a:stretch>
                      <a:fillRect/>
                    </a:stretch>
                  </pic:blipFill>
                  <pic:spPr>
                    <a:xfrm>
                      <a:off x="0" y="0"/>
                      <a:ext cx="5237480" cy="1764030"/>
                    </a:xfrm>
                    <a:prstGeom prst="rect">
                      <a:avLst/>
                    </a:prstGeom>
                  </pic:spPr>
                </pic:pic>
              </a:graphicData>
            </a:graphic>
          </wp:inline>
        </w:drawing>
      </w:r>
    </w:p>
    <w:p w14:paraId="40B1F9B6">
      <w:pPr>
        <w:jc w:val="center"/>
      </w:pPr>
      <w:r>
        <w:rPr>
          <w:rFonts w:hint="eastAsia"/>
        </w:rPr>
        <w:t>图6.2.4-2  U型钢板桩堆放例2</w:t>
      </w:r>
    </w:p>
    <w:p w14:paraId="06C5A2E6">
      <w:pPr>
        <w:sectPr>
          <w:footerReference r:id="rId25" w:type="default"/>
          <w:pgSz w:w="11906" w:h="16838"/>
          <w:pgMar w:top="1440" w:right="1800" w:bottom="1440" w:left="1800" w:header="851" w:footer="992" w:gutter="0"/>
          <w:pgNumType w:start="50"/>
          <w:cols w:space="720" w:num="1"/>
          <w:docGrid w:type="lines" w:linePitch="312" w:charSpace="0"/>
        </w:sectPr>
      </w:pPr>
    </w:p>
    <w:p w14:paraId="6706F49E"/>
    <w:p w14:paraId="10E351E7">
      <w:pPr>
        <w:pStyle w:val="3"/>
        <w:ind w:firstLine="281"/>
      </w:pPr>
      <w:r>
        <w:rPr>
          <w:rFonts w:hint="eastAsia"/>
        </w:rPr>
        <w:t>6.3</w:t>
      </w:r>
      <w:r>
        <w:t xml:space="preserve"> </w:t>
      </w:r>
      <w:r>
        <w:rPr>
          <w:rFonts w:hint="eastAsia"/>
        </w:rPr>
        <w:t xml:space="preserve"> 压桩</w:t>
      </w:r>
    </w:p>
    <w:p w14:paraId="7BC9D219">
      <w:r>
        <w:rPr>
          <w:rFonts w:hint="eastAsia"/>
          <w:b/>
          <w:bCs/>
        </w:rPr>
        <w:t>6.3.3</w:t>
      </w:r>
      <w:r>
        <w:rPr>
          <w:rFonts w:hint="eastAsia"/>
        </w:rPr>
        <w:t xml:space="preserve">  静压沉桩为逐根式打桩法，无法纠正成桩过程中钢板桩成桩方向的倾斜问题。可按照钢板桩平面内的扇形倾斜率和平面外的倾斜率来控制，一般达到3</w:t>
      </w:r>
      <w:r>
        <w:rPr>
          <w:rFonts w:hint="eastAsia" w:ascii="宋体" w:hAnsi="宋体" w:cs="宋体"/>
        </w:rPr>
        <w:t>％</w:t>
      </w:r>
      <w:r>
        <w:rPr>
          <w:rFonts w:hint="eastAsia"/>
        </w:rPr>
        <w:t>就需要进行纠偏处理了。采用这种方法打设长桩时，宜每间隔50m采用楔形桩进行矫正。</w:t>
      </w:r>
    </w:p>
    <w:p w14:paraId="088DF85B">
      <w:pPr>
        <w:rPr>
          <w:b/>
          <w:bCs/>
        </w:rPr>
      </w:pPr>
      <w:r>
        <w:rPr>
          <w:rFonts w:hint="eastAsia"/>
          <w:b/>
          <w:bCs/>
        </w:rPr>
        <w:t xml:space="preserve">6.3.6  </w:t>
      </w:r>
      <w:r>
        <w:rPr>
          <w:rFonts w:hint="eastAsia"/>
        </w:rPr>
        <w:t>螺旋钻辅助静压沉桩法施工示意：</w:t>
      </w:r>
    </w:p>
    <w:p w14:paraId="497D647E">
      <w:pPr>
        <w:spacing w:line="240" w:lineRule="auto"/>
        <w:rPr>
          <w:b/>
          <w:bCs/>
        </w:rPr>
      </w:pPr>
      <w:r>
        <w:rPr>
          <w:b/>
          <w:bCs/>
        </w:rPr>
        <w:drawing>
          <wp:inline distT="0" distB="0" distL="114300" distR="114300">
            <wp:extent cx="5192395" cy="1769745"/>
            <wp:effectExtent l="0" t="0" r="0" b="0"/>
            <wp:docPr id="19" name="图片 19" descr="ae6ff8c0e2c60b392f8dde4d03e86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e6ff8c0e2c60b392f8dde4d03e86b2b"/>
                    <pic:cNvPicPr>
                      <a:picLocks noChangeAspect="1"/>
                    </pic:cNvPicPr>
                  </pic:nvPicPr>
                  <pic:blipFill>
                    <a:blip r:embed="rId113"/>
                    <a:srcRect t="2737" r="1482" b="15244"/>
                    <a:stretch>
                      <a:fillRect/>
                    </a:stretch>
                  </pic:blipFill>
                  <pic:spPr>
                    <a:xfrm>
                      <a:off x="0" y="0"/>
                      <a:ext cx="5192395" cy="1769745"/>
                    </a:xfrm>
                    <a:prstGeom prst="rect">
                      <a:avLst/>
                    </a:prstGeom>
                  </pic:spPr>
                </pic:pic>
              </a:graphicData>
            </a:graphic>
          </wp:inline>
        </w:drawing>
      </w:r>
    </w:p>
    <w:p w14:paraId="6A8520C5">
      <w:r>
        <w:rPr>
          <w:rFonts w:hint="eastAsia"/>
        </w:rPr>
        <w:t>①夹紧钢板桩与螺旋钻套管</w:t>
      </w:r>
    </w:p>
    <w:p w14:paraId="10470E18">
      <w:r>
        <w:rPr>
          <w:rFonts w:hint="eastAsia"/>
        </w:rPr>
        <w:t>②用螺旋钻在桩底钻掘消除桩底压力球根</w:t>
      </w:r>
    </w:p>
    <w:p w14:paraId="10F4711C">
      <w:r>
        <w:rPr>
          <w:rFonts w:hint="eastAsia"/>
        </w:rPr>
        <w:t>③排出少量土体同步压入钢板桩</w:t>
      </w:r>
    </w:p>
    <w:p w14:paraId="0CA3F01A">
      <w:r>
        <w:rPr>
          <w:rFonts w:hint="eastAsia"/>
        </w:rPr>
        <w:t>④重复钻掘、压入，将桩压至设计深度</w:t>
      </w:r>
    </w:p>
    <w:p w14:paraId="083EE061">
      <w:r>
        <w:rPr>
          <w:rFonts w:hint="eastAsia"/>
          <w:b/>
          <w:bCs/>
        </w:rPr>
        <w:t>6.3.12</w:t>
      </w:r>
      <w:r>
        <w:rPr>
          <w:rFonts w:hint="eastAsia"/>
        </w:rPr>
        <w:t xml:space="preserve">  钢板桩施工中，由于在施桩与相邻已打桩锁口间阻力较大，而打桩行进方向的沉桩阻力较小，会造成钢板桩顶部向打桩行进方向倾斜。可以采用绞车钢丝绳拉住桩身，边拉边打，逐步纠正（图6.3.12-1）。</w:t>
      </w:r>
    </w:p>
    <w:p w14:paraId="6F328EED">
      <w:pPr>
        <w:spacing w:line="240" w:lineRule="auto"/>
      </w:pPr>
      <w:r>
        <w:rPr>
          <w:rFonts w:hint="eastAsia"/>
        </w:rPr>
        <w:drawing>
          <wp:inline distT="0" distB="0" distL="114300" distR="114300">
            <wp:extent cx="5132705" cy="2218690"/>
            <wp:effectExtent l="0" t="0" r="3175" b="6350"/>
            <wp:docPr id="35" name="图片 35" descr="3720cbb65894bfd0206bbe8ba88ceaf4"/>
            <wp:cNvGraphicFramePr/>
            <a:graphic xmlns:a="http://schemas.openxmlformats.org/drawingml/2006/main">
              <a:graphicData uri="http://schemas.openxmlformats.org/drawingml/2006/picture">
                <pic:pic xmlns:pic="http://schemas.openxmlformats.org/drawingml/2006/picture">
                  <pic:nvPicPr>
                    <pic:cNvPr id="35" name="图片 35" descr="3720cbb65894bfd0206bbe8ba88ceaf4"/>
                    <pic:cNvPicPr/>
                  </pic:nvPicPr>
                  <pic:blipFill>
                    <a:blip r:embed="rId114"/>
                    <a:srcRect t="49632" b="15932"/>
                    <a:stretch>
                      <a:fillRect/>
                    </a:stretch>
                  </pic:blipFill>
                  <pic:spPr>
                    <a:xfrm>
                      <a:off x="0" y="0"/>
                      <a:ext cx="5132705" cy="2218690"/>
                    </a:xfrm>
                    <a:prstGeom prst="rect">
                      <a:avLst/>
                    </a:prstGeom>
                  </pic:spPr>
                </pic:pic>
              </a:graphicData>
            </a:graphic>
          </wp:inline>
        </w:drawing>
      </w:r>
    </w:p>
    <w:p w14:paraId="01A201F4">
      <w:pPr>
        <w:spacing w:line="240" w:lineRule="auto"/>
        <w:jc w:val="center"/>
      </w:pPr>
      <w:r>
        <w:rPr>
          <w:rFonts w:hint="eastAsia"/>
        </w:rPr>
        <w:t>图6.3.12-1  钢丝绳纠正示意</w:t>
      </w:r>
    </w:p>
    <w:p w14:paraId="3F3197D3">
      <w:pPr>
        <w:spacing w:line="240" w:lineRule="auto"/>
        <w:jc w:val="center"/>
      </w:pPr>
      <w:r>
        <w:rPr>
          <w:rFonts w:hint="eastAsia"/>
        </w:rPr>
        <w:t>1—绞车  2—已打入钢板桩</w:t>
      </w:r>
    </w:p>
    <w:p w14:paraId="6C9A5D9B">
      <w:pPr>
        <w:ind w:firstLine="420" w:firstLineChars="200"/>
      </w:pPr>
      <w:r>
        <w:t>钢板桩施工中，当沉入的钢板桩沿板桩墙轴线方向已经产生过大倾斜，一般倾斜度达到允许偏差的80%时，宜采用沉设</w:t>
      </w:r>
      <w:r>
        <w:rPr>
          <w:rFonts w:hint="eastAsia"/>
        </w:rPr>
        <w:t>楔</w:t>
      </w:r>
      <w:r>
        <w:t>形钢板桩的方法进行调整</w:t>
      </w:r>
      <w:r>
        <w:rPr>
          <w:rFonts w:hint="eastAsia"/>
        </w:rPr>
        <w:t>（图6.3.12-2）。</w:t>
      </w:r>
    </w:p>
    <w:p w14:paraId="7905F472">
      <w:pPr>
        <w:spacing w:line="240" w:lineRule="auto"/>
        <w:sectPr>
          <w:footerReference r:id="rId26" w:type="default"/>
          <w:pgSz w:w="11906" w:h="16838"/>
          <w:pgMar w:top="1440" w:right="1800" w:bottom="1440" w:left="1800" w:header="851" w:footer="992" w:gutter="0"/>
          <w:pgNumType w:start="50"/>
          <w:cols w:space="720" w:num="1"/>
          <w:docGrid w:type="lines" w:linePitch="312" w:charSpace="0"/>
        </w:sectPr>
      </w:pPr>
    </w:p>
    <w:p w14:paraId="747FC467">
      <w:pPr>
        <w:spacing w:line="240" w:lineRule="auto"/>
        <w:rPr>
          <w:b/>
          <w:bCs/>
        </w:rPr>
      </w:pPr>
      <w:r>
        <w:drawing>
          <wp:inline distT="0" distB="0" distL="114300" distR="114300">
            <wp:extent cx="5162550" cy="2409190"/>
            <wp:effectExtent l="0" t="0" r="3810" b="13970"/>
            <wp:docPr id="36" name="图片 36" descr="d2f6284e6eaebe092d1dd6a975ccd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2f6284e6eaebe092d1dd6a975ccd628"/>
                    <pic:cNvPicPr>
                      <a:picLocks noChangeAspect="1"/>
                    </pic:cNvPicPr>
                  </pic:nvPicPr>
                  <pic:blipFill>
                    <a:blip r:embed="rId115"/>
                    <a:srcRect b="62014"/>
                    <a:stretch>
                      <a:fillRect/>
                    </a:stretch>
                  </pic:blipFill>
                  <pic:spPr>
                    <a:xfrm>
                      <a:off x="0" y="0"/>
                      <a:ext cx="5162550" cy="2409190"/>
                    </a:xfrm>
                    <a:prstGeom prst="rect">
                      <a:avLst/>
                    </a:prstGeom>
                  </pic:spPr>
                </pic:pic>
              </a:graphicData>
            </a:graphic>
          </wp:inline>
        </w:drawing>
      </w:r>
    </w:p>
    <w:p w14:paraId="649EA185">
      <w:pPr>
        <w:jc w:val="center"/>
      </w:pPr>
      <w:r>
        <w:rPr>
          <w:rFonts w:hint="eastAsia"/>
        </w:rPr>
        <w:t>图6.3.12-2  楔形桩纠倾示意</w:t>
      </w:r>
    </w:p>
    <w:p w14:paraId="34A76021">
      <w:pPr>
        <w:spacing w:line="240" w:lineRule="auto"/>
        <w:jc w:val="center"/>
      </w:pPr>
      <w:r>
        <w:rPr>
          <w:rFonts w:hint="eastAsia"/>
        </w:rPr>
        <w:t>1—已打入钢板桩  2—楔形钢板桩  3—拟打入钢板桩</w:t>
      </w:r>
    </w:p>
    <w:p w14:paraId="141FB2A6">
      <w:r>
        <w:rPr>
          <w:rFonts w:hint="eastAsia"/>
          <w:b/>
          <w:bCs/>
        </w:rPr>
        <w:t>6.3.13</w:t>
      </w:r>
      <w:r>
        <w:rPr>
          <w:rFonts w:hint="eastAsia"/>
        </w:rPr>
        <w:t xml:space="preserve"> </w:t>
      </w:r>
      <w:r>
        <w:t xml:space="preserve"> 钢板桩施工中，由于钢板桩锁口为铰接，会造成在施桩发生扭转。</w:t>
      </w:r>
    </w:p>
    <w:p w14:paraId="1F1549EC">
      <w:r>
        <w:rPr>
          <w:rFonts w:hint="eastAsia"/>
          <w:b/>
          <w:bCs/>
        </w:rPr>
        <w:t>6.3.14</w:t>
      </w:r>
      <w:r>
        <w:rPr>
          <w:rFonts w:hint="eastAsia"/>
        </w:rPr>
        <w:t xml:space="preserve">  压桩过程中的特殊情况很多，本条的各款都可能发生。产生的原因多种多样，当出现其中之一时，应暂停压桩作业，并根据具体情况及时研究处理，问题解决后方可继续施工。</w:t>
      </w:r>
    </w:p>
    <w:p w14:paraId="0EC19E61">
      <w:r>
        <w:rPr>
          <w:rFonts w:hint="eastAsia"/>
          <w:b/>
          <w:bCs/>
        </w:rPr>
        <w:t>6.3.15</w:t>
      </w:r>
      <w:r>
        <w:t xml:space="preserve"> </w:t>
      </w:r>
      <w:r>
        <w:rPr>
          <w:rFonts w:hint="eastAsia"/>
        </w:rPr>
        <w:t xml:space="preserve"> </w:t>
      </w:r>
      <w:r>
        <w:t>钢板桩施工中，由于锁口间阻力较大，在施</w:t>
      </w:r>
      <w:r>
        <w:rPr>
          <w:rFonts w:hint="eastAsia"/>
        </w:rPr>
        <w:t>桩</w:t>
      </w:r>
      <w:r>
        <w:t>可能会带动相邻已沉桩一起下沉。</w:t>
      </w:r>
    </w:p>
    <w:p w14:paraId="34E5B932">
      <w:r>
        <w:rPr>
          <w:rFonts w:hint="eastAsia"/>
          <w:b/>
          <w:bCs/>
        </w:rPr>
        <w:t>6.3.16</w:t>
      </w:r>
      <w:r>
        <w:rPr>
          <w:rFonts w:hint="eastAsia"/>
        </w:rPr>
        <w:t xml:space="preserve"> </w:t>
      </w:r>
      <w:r>
        <w:t xml:space="preserve"> 钢板桩在平面上应连续封闭，但钢板墙的设计总长度有时并不是钢板桩的标准宽度的整数倍</w:t>
      </w:r>
      <w:r>
        <w:rPr>
          <w:rFonts w:hint="eastAsia"/>
        </w:rPr>
        <w:t>；</w:t>
      </w:r>
      <w:r>
        <w:t>或者板桩墙的轴线较复杂</w:t>
      </w:r>
      <w:r>
        <w:rPr>
          <w:rFonts w:hint="eastAsia"/>
        </w:rPr>
        <w:t>、</w:t>
      </w:r>
      <w:r>
        <w:t>钢板桩的制作和打设有误差等，均会给钢板桩墙的最终封闭合拢施工带来困难，这时可采用异型板桩法、连接件法等方法进行调整。</w:t>
      </w:r>
    </w:p>
    <w:p w14:paraId="6BFE715A">
      <w:pPr>
        <w:ind w:firstLine="420" w:firstLineChars="200"/>
      </w:pPr>
      <w:r>
        <w:t>钢板桩墙施工长度较设计长度增加，即钢板桩打入时处于受拉状态，则应将其调整到受压状态下打桩，可打</w:t>
      </w:r>
      <w:r>
        <w:rPr>
          <w:rFonts w:hint="eastAsia"/>
        </w:rPr>
        <w:t>入</w:t>
      </w:r>
      <w:r>
        <w:t>宽度比正常尺寸大的异型钢板桩或多打入一根正常尺寸的钢板桩以调整墙长</w:t>
      </w:r>
      <w:r>
        <w:rPr>
          <w:rFonts w:hint="eastAsia"/>
        </w:rPr>
        <w:t>（图6.3.16）</w:t>
      </w:r>
      <w:r>
        <w:t>。钢板桩墙长度减小时，应采取相反措施，可打</w:t>
      </w:r>
      <w:r>
        <w:rPr>
          <w:rFonts w:hint="eastAsia"/>
        </w:rPr>
        <w:t>入</w:t>
      </w:r>
      <w:r>
        <w:t>宽度比正常尺寸小的异型钢板桩对板桩墙进行长度调整</w:t>
      </w:r>
      <w:r>
        <w:rPr>
          <w:rFonts w:hint="eastAsia"/>
        </w:rPr>
        <w:t>。</w:t>
      </w:r>
    </w:p>
    <w:p w14:paraId="1B4F80C2">
      <w:pPr>
        <w:spacing w:line="240" w:lineRule="auto"/>
      </w:pPr>
      <w:r>
        <w:drawing>
          <wp:inline distT="0" distB="0" distL="114300" distR="114300">
            <wp:extent cx="5270500" cy="2753995"/>
            <wp:effectExtent l="0" t="0" r="0" b="0"/>
            <wp:docPr id="37" name="图片 37" descr="f650c5683e8ab24beb8f088f9f0fe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650c5683e8ab24beb8f088f9f0fe5a0"/>
                    <pic:cNvPicPr>
                      <a:picLocks noChangeAspect="1"/>
                    </pic:cNvPicPr>
                  </pic:nvPicPr>
                  <pic:blipFill>
                    <a:blip r:embed="rId116"/>
                    <a:srcRect t="738" b="58760"/>
                    <a:stretch>
                      <a:fillRect/>
                    </a:stretch>
                  </pic:blipFill>
                  <pic:spPr>
                    <a:xfrm>
                      <a:off x="0" y="0"/>
                      <a:ext cx="5270500" cy="2753995"/>
                    </a:xfrm>
                    <a:prstGeom prst="rect">
                      <a:avLst/>
                    </a:prstGeom>
                  </pic:spPr>
                </pic:pic>
              </a:graphicData>
            </a:graphic>
          </wp:inline>
        </w:drawing>
      </w:r>
    </w:p>
    <w:p w14:paraId="540B5E14">
      <w:pPr>
        <w:jc w:val="center"/>
      </w:pPr>
      <w:r>
        <w:rPr>
          <w:rFonts w:hint="eastAsia"/>
        </w:rPr>
        <w:t>图6.3.16  钢板桩墙长度调整示意</w:t>
      </w:r>
    </w:p>
    <w:p w14:paraId="532509AB">
      <w:pPr>
        <w:spacing w:line="240" w:lineRule="auto"/>
        <w:jc w:val="center"/>
        <w:rPr>
          <w:sz w:val="18"/>
          <w:szCs w:val="18"/>
        </w:rPr>
      </w:pPr>
      <w:r>
        <w:rPr>
          <w:rFonts w:hint="eastAsia"/>
          <w:sz w:val="18"/>
          <w:szCs w:val="18"/>
        </w:rPr>
        <w:t>1—已打入钢板桩  2—异型钢板桩  3—拟打入钢板桩</w:t>
      </w:r>
    </w:p>
    <w:p w14:paraId="4EF0CE3F">
      <w:pPr>
        <w:pStyle w:val="3"/>
        <w:ind w:firstLine="281"/>
        <w:sectPr>
          <w:footerReference r:id="rId27" w:type="default"/>
          <w:pgSz w:w="11906" w:h="16838"/>
          <w:pgMar w:top="1440" w:right="1800" w:bottom="1440" w:left="1800" w:header="851" w:footer="992" w:gutter="0"/>
          <w:pgNumType w:start="50"/>
          <w:cols w:space="720" w:num="1"/>
          <w:docGrid w:type="lines" w:linePitch="312" w:charSpace="0"/>
        </w:sectPr>
      </w:pPr>
    </w:p>
    <w:p w14:paraId="07251AA9">
      <w:pPr>
        <w:pStyle w:val="3"/>
        <w:ind w:firstLine="281"/>
      </w:pPr>
      <w:r>
        <w:rPr>
          <w:rFonts w:hint="eastAsia"/>
        </w:rPr>
        <w:t>6.4  接桩</w:t>
      </w:r>
    </w:p>
    <w:p w14:paraId="357C7BB8">
      <w:r>
        <w:rPr>
          <w:rFonts w:hint="eastAsia"/>
          <w:b/>
          <w:bCs/>
        </w:rPr>
        <w:t xml:space="preserve">6.4.1 </w:t>
      </w:r>
      <w:r>
        <w:rPr>
          <w:rFonts w:hint="eastAsia"/>
        </w:rPr>
        <w:t xml:space="preserve"> 钢板桩接长的焊缝一般只能在腹板和侧板处施焊，锁口处往往不能施焊，使接长焊缝断面受到削弱。故规定每根钢板桩的接头只允许有1个，且相邻的接头要错开足够的距离。</w:t>
      </w:r>
    </w:p>
    <w:p w14:paraId="03A30FC6">
      <w:pPr>
        <w:ind w:firstLine="420" w:firstLineChars="200"/>
      </w:pPr>
      <w:r>
        <w:rPr>
          <w:rFonts w:hint="eastAsia"/>
        </w:rPr>
        <w:t>接长钢板桩时，在其腹板内侧和翼缘外侧加焊加强板既解决了因锁口不能施焊而造成的断面削弱，同时也不影响锁口的平直通顺。</w:t>
      </w:r>
    </w:p>
    <w:p w14:paraId="21A0CED0">
      <w:pPr>
        <w:ind w:firstLine="420" w:firstLineChars="200"/>
      </w:pPr>
      <w:r>
        <w:rPr>
          <w:rFonts w:hint="eastAsia"/>
        </w:rPr>
        <w:t>钢板桩接长或组合、异形钢板桩的加工涉及较多的焊接作业，为有效防止或减小在加工中的变形，本条中规定加工时应设置专门的胎架；且规定在发生超限的变形或扭曲时，应采取措施进行校正。</w:t>
      </w:r>
    </w:p>
    <w:p w14:paraId="312AB7A9"/>
    <w:p w14:paraId="4ED4ADC7">
      <w:pPr>
        <w:pStyle w:val="3"/>
        <w:ind w:firstLine="281"/>
      </w:pPr>
      <w:r>
        <w:rPr>
          <w:rFonts w:hint="eastAsia"/>
        </w:rPr>
        <w:t>6.5  拔桩与回收</w:t>
      </w:r>
    </w:p>
    <w:p w14:paraId="501B8DE6">
      <w:r>
        <w:rPr>
          <w:rFonts w:hint="eastAsia"/>
          <w:b/>
          <w:bCs/>
        </w:rPr>
        <w:t>6.5.3</w:t>
      </w:r>
      <w:r>
        <w:rPr>
          <w:rFonts w:hint="eastAsia"/>
        </w:rPr>
        <w:t xml:space="preserve">  地下结构施工完毕、基坑已按设计要求回填，可以对先前打入的钢板桩拔除回收。分层拆除是为了使钢板桩能顺利拔出。采用锚杆（索）或支撑的支护结构，在未达到设计规定的拆除条件时，严禁拆除锚杆（索）或支撑。钢板桩支护结构的换撑方式一般采用回填，不适用梁板式传力构件。</w:t>
      </w:r>
    </w:p>
    <w:p w14:paraId="4C1F8BE4">
      <w:pPr>
        <w:rPr>
          <w:b/>
          <w:bCs/>
        </w:rPr>
      </w:pPr>
      <w:r>
        <w:rPr>
          <w:rFonts w:hint="eastAsia"/>
          <w:b/>
          <w:bCs/>
        </w:rPr>
        <w:t>6.5.10</w:t>
      </w:r>
      <w:r>
        <w:rPr>
          <w:rFonts w:hint="eastAsia"/>
        </w:rPr>
        <w:t xml:space="preserve">  拔桩时钢板桩的断面阻力较难分析，精确求解困难，一般考虑为作用在钢板桩上的土压与桩表面间的摩阻力。当拔时，支撑或锚拉已经拆除，开挖部分是回填土，但一般不密实，实际上这部分的钢板桩成了悬臂结构，承受主动土压力。嵌固部分的钢板桩两侧主、被动土压力差予以忽略，故该部分断面阻力可不考虑。</w:t>
      </w:r>
    </w:p>
    <w:p w14:paraId="714693C6">
      <w:pPr>
        <w:rPr>
          <w:b/>
          <w:bCs/>
        </w:rPr>
      </w:pPr>
      <w:r>
        <w:rPr>
          <w:rFonts w:hint="eastAsia"/>
          <w:b/>
          <w:bCs/>
        </w:rPr>
        <w:t>6.5.11</w:t>
      </w:r>
      <w:r>
        <w:rPr>
          <w:rFonts w:hint="eastAsia"/>
        </w:rPr>
        <w:t xml:space="preserve">  拔桩过程中，一般或多或少都会形成桩孔，容易造成相邻地面沉降和出现裂缝，因此，如果拔桩部位邻近有保护要求严格的建（构）筑物、地下管线或道路等，应引起特别重视，要加强沉降监测，并按照本条桩孔处理措施做好相应的应急预案工作。一般从基坑变形较小的部位开始拔桩，间隔拔桩、分段拔桩。</w:t>
      </w:r>
    </w:p>
    <w:p w14:paraId="3BA00CFD">
      <w:r>
        <w:rPr>
          <w:rFonts w:hint="eastAsia"/>
          <w:b/>
          <w:bCs/>
        </w:rPr>
        <w:t>6.5.13</w:t>
      </w:r>
      <w:r>
        <w:rPr>
          <w:rFonts w:hint="eastAsia"/>
        </w:rPr>
        <w:t xml:space="preserve">  钢板桩虽然在设计时已经考虑了后期回收的可行性，但由于施工过程是动态的，在回收时的条件可能已经发生了变化，此时回收方案的制定需要考虑多方面的因素，如场地周边的环境保护要求、已建建筑物或管线对震动的敏感程度、拔时其它部位交叉施工的安全风险、拔桩后的预估变形对周边的影响程度等。所以回收方案应经过企业技术负责人审批，报监理单位审核通过后方可实施。</w:t>
      </w:r>
    </w:p>
    <w:p w14:paraId="061F1BB5"/>
    <w:p w14:paraId="7276A167"/>
    <w:p w14:paraId="4C1AE487"/>
    <w:p w14:paraId="3EBDEF7A"/>
    <w:p w14:paraId="1798EC65">
      <w:pPr>
        <w:pStyle w:val="2"/>
        <w:sectPr>
          <w:footerReference r:id="rId28" w:type="default"/>
          <w:pgSz w:w="11906" w:h="16838"/>
          <w:pgMar w:top="1440" w:right="1800" w:bottom="1440" w:left="1800" w:header="851" w:footer="992" w:gutter="0"/>
          <w:pgNumType w:start="50"/>
          <w:cols w:space="720" w:num="1"/>
          <w:docGrid w:type="lines" w:linePitch="312" w:charSpace="0"/>
        </w:sectPr>
      </w:pPr>
    </w:p>
    <w:p w14:paraId="60B1A6B2">
      <w:pPr>
        <w:pStyle w:val="2"/>
      </w:pPr>
      <w:r>
        <w:rPr>
          <w:rFonts w:hint="eastAsia"/>
        </w:rPr>
        <w:t>7</w:t>
      </w:r>
      <w:r>
        <w:t xml:space="preserve">  </w:t>
      </w:r>
      <w:r>
        <w:rPr>
          <w:rFonts w:hint="eastAsia"/>
        </w:rPr>
        <w:t>检测与验收</w:t>
      </w:r>
    </w:p>
    <w:p w14:paraId="1A54E9DC">
      <w:pPr>
        <w:pStyle w:val="3"/>
        <w:ind w:firstLine="281"/>
      </w:pPr>
      <w:r>
        <w:rPr>
          <w:rFonts w:hint="eastAsia"/>
        </w:rPr>
        <w:t>7.1  进场检验</w:t>
      </w:r>
    </w:p>
    <w:p w14:paraId="469C65AD">
      <w:r>
        <w:rPr>
          <w:rFonts w:hint="eastAsia"/>
          <w:b/>
          <w:bCs/>
        </w:rPr>
        <w:t>7.1.4</w:t>
      </w:r>
      <w:r>
        <w:rPr>
          <w:rFonts w:hint="eastAsia"/>
        </w:rPr>
        <w:t xml:space="preserve">  钢板桩进场应进行表面质量检查，表面不允许有裂纹、折叠、夹杂和端面分层等缺陷。</w:t>
      </w:r>
    </w:p>
    <w:p w14:paraId="78F585FF">
      <w:r>
        <w:rPr>
          <w:rFonts w:hint="eastAsia"/>
          <w:b/>
          <w:bCs/>
        </w:rPr>
        <w:t>7.1.7</w:t>
      </w:r>
      <w:r>
        <w:rPr>
          <w:rFonts w:hint="eastAsia"/>
        </w:rPr>
        <w:t xml:space="preserve">  钢板桩为多次周转使用的产品，在使用过程中会发生变形、损伤。再次使用前应进行矫正与修补，直至满足设计要求。矫正与修补方法如下：</w:t>
      </w:r>
    </w:p>
    <w:p w14:paraId="7E2273E8">
      <w:pPr>
        <w:ind w:firstLine="420" w:firstLineChars="200"/>
      </w:pPr>
      <w:r>
        <w:rPr>
          <w:rFonts w:hint="eastAsia"/>
        </w:rPr>
        <w:t>1 表面缺陷修补：先清除缺陷附近的锈蚀和油污，用焊接修补的方法补平，再用砂轮打磨平整；</w:t>
      </w:r>
    </w:p>
    <w:p w14:paraId="0AC57742">
      <w:pPr>
        <w:ind w:firstLine="420" w:firstLineChars="200"/>
      </w:pPr>
      <w:r>
        <w:rPr>
          <w:rFonts w:hint="eastAsia"/>
        </w:rPr>
        <w:t>2 端部平面矫正：切割部分桩端，使桩端部平面与轴线垂直，再用砂轮将切割面修磨平整；</w:t>
      </w:r>
    </w:p>
    <w:p w14:paraId="547CC8B6">
      <w:pPr>
        <w:ind w:firstLine="420" w:firstLineChars="200"/>
      </w:pPr>
      <w:r>
        <w:rPr>
          <w:rFonts w:hint="eastAsia"/>
        </w:rPr>
        <w:t>3 桩体挠曲、扭曲矫正：设置龙门式顶梁架钢平台，用千斤顶进行矫正；</w:t>
      </w:r>
    </w:p>
    <w:p w14:paraId="522CCEA0">
      <w:pPr>
        <w:ind w:firstLine="420" w:firstLineChars="200"/>
      </w:pPr>
      <w:r>
        <w:rPr>
          <w:rFonts w:hint="eastAsia"/>
        </w:rPr>
        <w:t>4 桩体局部变形矫正：对局部变形部位用氧气乙炔热烘与千斤顶顶压、大锤敲击相结合的方法进行矫正；</w:t>
      </w:r>
    </w:p>
    <w:p w14:paraId="1BFFA82B">
      <w:pPr>
        <w:ind w:firstLine="420" w:firstLineChars="200"/>
      </w:pPr>
      <w:r>
        <w:rPr>
          <w:rFonts w:hint="eastAsia"/>
        </w:rPr>
        <w:t>5 锁口变形矫正：用标准钢板作为锁口整形胎具，采用氧气乙炔热烘和大锤敲击的方法进行调直处理。</w:t>
      </w:r>
    </w:p>
    <w:p w14:paraId="39E33D82"/>
    <w:p w14:paraId="5DBB6D6E"/>
    <w:p w14:paraId="7A62008E"/>
    <w:p w14:paraId="1CBC417F">
      <w:pPr>
        <w:pStyle w:val="2"/>
        <w:sectPr>
          <w:footerReference r:id="rId29" w:type="default"/>
          <w:pgSz w:w="11906" w:h="16838"/>
          <w:pgMar w:top="1440" w:right="1800" w:bottom="1440" w:left="1800" w:header="851" w:footer="992" w:gutter="0"/>
          <w:pgNumType w:start="50"/>
          <w:cols w:space="720" w:num="1"/>
          <w:docGrid w:type="lines" w:linePitch="312" w:charSpace="0"/>
        </w:sectPr>
      </w:pPr>
    </w:p>
    <w:p w14:paraId="7D296CFD">
      <w:pPr>
        <w:pStyle w:val="2"/>
      </w:pPr>
      <w:r>
        <w:rPr>
          <w:rFonts w:hint="eastAsia"/>
        </w:rPr>
        <w:t>8  开挖与监测</w:t>
      </w:r>
    </w:p>
    <w:p w14:paraId="39472D88">
      <w:pPr>
        <w:pStyle w:val="3"/>
        <w:ind w:firstLine="281"/>
      </w:pPr>
      <w:r>
        <w:rPr>
          <w:rFonts w:hint="eastAsia"/>
        </w:rPr>
        <w:t xml:space="preserve">8.1  </w:t>
      </w:r>
      <w:r>
        <w:t xml:space="preserve">一般规定 </w:t>
      </w:r>
    </w:p>
    <w:p w14:paraId="7AAA8B8D">
      <w:r>
        <w:rPr>
          <w:rFonts w:hint="eastAsia"/>
          <w:b/>
          <w:bCs/>
        </w:rPr>
        <w:t>8.1.2</w:t>
      </w:r>
      <w:r>
        <w:rPr>
          <w:rFonts w:hint="eastAsia"/>
        </w:rPr>
        <w:t xml:space="preserve">  本条是对采用钢板桩支护的工程的监测实施范围的界定。</w:t>
      </w:r>
    </w:p>
    <w:p w14:paraId="7BB8958F">
      <w:pPr>
        <w:ind w:firstLine="420" w:firstLineChars="200"/>
      </w:pPr>
      <w:r>
        <w:rPr>
          <w:rFonts w:hint="eastAsia"/>
        </w:rPr>
        <w:t>支护结构以及周边环境的变形和稳定与开挖深度有关，相同条件下开挖深度越深，支护结构变形或位移以及对周边环境的影响也越大。因钢板桩支护结构很多情况下用于软土地区（松散填土、淤泥、淤泥质土、软塑黏土等可视为软土），实施过程中钢板桩变位较大，施工过程中施工单位又疏忽监测，造成了很多的工程事故。工程的安全性还与场地的岩土工程条件以及周边环境的复杂性密切相关。为确保工程安全，本条文对所有采用钢板桩作为支护结构的工程，要求进行第三方监测。</w:t>
      </w:r>
    </w:p>
    <w:p w14:paraId="734E7A2B">
      <w:r>
        <w:rPr>
          <w:rFonts w:hint="eastAsia"/>
          <w:b/>
          <w:bCs/>
        </w:rPr>
        <w:t>8.1.3</w:t>
      </w:r>
      <w:r>
        <w:rPr>
          <w:rFonts w:hint="eastAsia"/>
        </w:rPr>
        <w:t xml:space="preserve">  钢板桩支护工程的现场监测应采用仪器监测与巡视检查相结合的方法，多种观测方法互为补充、相互验证。仪器监测可以取得定量的数据，进行定量分析；以目测为主的巡视检查更加及时，可以起到定性、补充的作用，从而避免片面地分析和处理问题。例如，观察周边建筑和地表的裂缝分布规律、判别裂缝的新旧程度等，对于我们分析基坑工程对邻近建筑的影响程度有着重要作用。</w:t>
      </w:r>
    </w:p>
    <w:p w14:paraId="24B1C121">
      <w:r>
        <w:rPr>
          <w:rFonts w:hint="eastAsia"/>
          <w:b/>
          <w:bCs/>
        </w:rPr>
        <w:t>8.1.4</w:t>
      </w:r>
      <w:r>
        <w:rPr>
          <w:rFonts w:hint="eastAsia"/>
        </w:rPr>
        <w:t xml:space="preserve">  监测单位应严格按照审定后的监测方案对支护工程进行监测，不得任意减少监测项目、测点，降低监测频率。当在实施过程中，由于客观原因需要对监测方案作出调整时，应按照工程变更的程序和要求，向建设单位提出书面申请，新的监测方案经审定后方可实施。</w:t>
      </w:r>
    </w:p>
    <w:p w14:paraId="524ACC0E"/>
    <w:p w14:paraId="1A83105A">
      <w:pPr>
        <w:pStyle w:val="3"/>
        <w:ind w:firstLine="281"/>
      </w:pPr>
      <w:r>
        <w:rPr>
          <w:rFonts w:hint="eastAsia"/>
        </w:rPr>
        <w:t xml:space="preserve">8.2  土方开挖 </w:t>
      </w:r>
    </w:p>
    <w:p w14:paraId="31170950">
      <w:r>
        <w:rPr>
          <w:rFonts w:hint="eastAsia"/>
          <w:b/>
          <w:bCs/>
        </w:rPr>
        <w:t>8.2.1</w:t>
      </w:r>
      <w:r>
        <w:rPr>
          <w:rFonts w:hint="eastAsia"/>
        </w:rPr>
        <w:t xml:space="preserve">  钢板桩是需要进行回收的绿色支护方式，土方开挖和后期钢板桩的拔除回收存在较大的联系性，开挖过程如果破坏了支护结构，一是基坑安全存在风险，二是后期回收存在无法回收的现象。</w:t>
      </w:r>
    </w:p>
    <w:p w14:paraId="5BCD19E1"/>
    <w:p w14:paraId="6666A214">
      <w:pPr>
        <w:pStyle w:val="3"/>
        <w:ind w:firstLine="0" w:firstLineChars="0"/>
      </w:pPr>
      <w:r>
        <w:rPr>
          <w:rFonts w:hint="eastAsia"/>
        </w:rPr>
        <w:t>8.3</w:t>
      </w:r>
      <w:r>
        <w:t xml:space="preserve">  </w:t>
      </w:r>
      <w:r>
        <w:rPr>
          <w:rFonts w:hint="eastAsia"/>
        </w:rPr>
        <w:t>监测</w:t>
      </w:r>
    </w:p>
    <w:p w14:paraId="0A64D533">
      <w:r>
        <w:rPr>
          <w:rFonts w:hint="eastAsia"/>
          <w:b/>
          <w:bCs/>
        </w:rPr>
        <w:t>8.3.2</w:t>
      </w:r>
      <w:r>
        <w:rPr>
          <w:rFonts w:hint="eastAsia"/>
        </w:rPr>
        <w:t xml:space="preserve">  监测周期应从静压桩施工开始，直至工程桩施工全部结束，且压桩区外土体再固结引起的沉降基本稳定为止。静压桩引起的超静孔隙水压力消散需要时间，特别是在软黏土地区，由于土体渗透系数低，超静孔隙水压力的消散时间较长。因此，监测工作不能随着静压桩施工的结束而立即停止，而应等到压桩区外超静孔隙水压力基本消散、土体再固结引起的沉降基本稳定为止。</w:t>
      </w:r>
    </w:p>
    <w:p w14:paraId="5953C9A3">
      <w:r>
        <w:rPr>
          <w:rFonts w:hint="eastAsia"/>
          <w:b/>
          <w:bCs/>
        </w:rPr>
        <w:t>8.3.3</w:t>
      </w:r>
      <w:r>
        <w:rPr>
          <w:rFonts w:hint="eastAsia"/>
        </w:rPr>
        <w:t xml:space="preserve">  对采用钢板桩作为永久性支护结构的支护工程，使用期间的监测工作要求，应根据工程项目自身特点和设计要求，动态调整监测频率。</w:t>
      </w:r>
    </w:p>
    <w:p w14:paraId="7E6B5052">
      <w:pPr>
        <w:rPr>
          <w:b/>
          <w:bCs/>
        </w:rPr>
      </w:pPr>
      <w:r>
        <w:rPr>
          <w:rFonts w:hint="eastAsia"/>
          <w:b/>
          <w:bCs/>
        </w:rPr>
        <w:t>8.3.4</w:t>
      </w:r>
      <w:r>
        <w:rPr>
          <w:rFonts w:hint="eastAsia"/>
        </w:rPr>
        <w:t xml:space="preserve">  静压桩施工监测应包括工程桩监测和周边环境监测。周边环境监测范围应根据压桩影响范围、保护要求和周边环境情况确定。</w:t>
      </w:r>
    </w:p>
    <w:p w14:paraId="75F55F62">
      <w:pPr>
        <w:rPr>
          <w:b/>
          <w:bCs/>
        </w:rPr>
      </w:pPr>
    </w:p>
    <w:p w14:paraId="61592DB5">
      <w:pPr>
        <w:rPr>
          <w:b/>
          <w:bCs/>
        </w:rPr>
        <w:sectPr>
          <w:footerReference r:id="rId30" w:type="default"/>
          <w:pgSz w:w="11906" w:h="16838"/>
          <w:pgMar w:top="1440" w:right="1800" w:bottom="1440" w:left="1800" w:header="851" w:footer="992" w:gutter="0"/>
          <w:pgNumType w:start="50"/>
          <w:cols w:space="720" w:num="1"/>
          <w:docGrid w:type="lines" w:linePitch="312" w:charSpace="0"/>
        </w:sectPr>
      </w:pPr>
    </w:p>
    <w:p w14:paraId="353B6361">
      <w:r>
        <w:rPr>
          <w:rFonts w:hint="eastAsia"/>
          <w:b/>
          <w:bCs/>
        </w:rPr>
        <w:t>8.3.7</w:t>
      </w:r>
      <w:r>
        <w:rPr>
          <w:rFonts w:hint="eastAsia"/>
        </w:rPr>
        <w:t xml:space="preserve">  本条主要规定监测报警值内容。管线报警值累计变化量应根据管线单位的要求确定，一般不宜超过20mm，日报警值宜为2mm/d~3mm/d。道路地表沉降报警值累计变化量不宜超过30mm，日报警值宜为2mm/d~3mm/d。周边建筑物累计沉降量一般不宜超过20mm，日报警值宜为2mm/d~3mm/d，并结合压桩前的建筑物状况、裂缝观测等综合进行控制。工程上浮累计变化量报警值宜为5cm~10cm。</w:t>
      </w:r>
    </w:p>
    <w:p w14:paraId="426045EC">
      <w:r>
        <w:rPr>
          <w:rFonts w:hint="eastAsia"/>
          <w:b/>
          <w:bCs/>
        </w:rPr>
        <w:t>8.3.8</w:t>
      </w:r>
      <w:r>
        <w:rPr>
          <w:rFonts w:hint="eastAsia"/>
        </w:rPr>
        <w:t xml:space="preserve">  为保证监测效果，实现信息化施工或使用，监测成果的及时反馈及分析非常重要，相关单位应结合监测数据和自然环境条件、施工工况等因素，对施工或使用的实际状况进行实时分析。如发现可能产生安全隐患，应及时采取减缓施工速度、减小使用荷载、加密监测频率或结构加强等措施。</w:t>
      </w:r>
    </w:p>
    <w:p w14:paraId="026745BB">
      <w:r>
        <w:rPr>
          <w:rFonts w:hint="eastAsia"/>
          <w:b/>
          <w:bCs/>
        </w:rPr>
        <w:t>8.3.11</w:t>
      </w:r>
      <w:r>
        <w:rPr>
          <w:rFonts w:hint="eastAsia"/>
        </w:rPr>
        <w:t xml:space="preserve">  对于不同情况下的钢板桩监测取用不同的监测内容，以下分类可供参考：</w:t>
      </w:r>
    </w:p>
    <w:p w14:paraId="4EEAC5FD">
      <w:pPr>
        <w:ind w:firstLine="420" w:firstLineChars="200"/>
      </w:pPr>
      <w:r>
        <w:rPr>
          <w:rFonts w:hint="eastAsia"/>
        </w:rPr>
        <w:t>一、钢板桩用作围堰结构的仪器监测的项目包含：</w:t>
      </w:r>
    </w:p>
    <w:p w14:paraId="1FBA5774">
      <w:pPr>
        <w:ind w:firstLine="420" w:firstLineChars="200"/>
      </w:pPr>
      <w:r>
        <w:rPr>
          <w:rFonts w:hint="eastAsia"/>
        </w:rPr>
        <w:t>1 钢板桩顶部或顶圈梁水平位移；</w:t>
      </w:r>
    </w:p>
    <w:p w14:paraId="4AB9ADC5">
      <w:pPr>
        <w:ind w:firstLine="420" w:firstLineChars="200"/>
      </w:pPr>
      <w:r>
        <w:rPr>
          <w:rFonts w:hint="eastAsia"/>
        </w:rPr>
        <w:t>2 钢板桩顶部或顶圈梁竖向位移；</w:t>
      </w:r>
    </w:p>
    <w:p w14:paraId="504C33FC">
      <w:pPr>
        <w:ind w:firstLine="420" w:firstLineChars="200"/>
      </w:pPr>
      <w:r>
        <w:rPr>
          <w:rFonts w:hint="eastAsia"/>
        </w:rPr>
        <w:t>3 钢板桩深层水平位移；</w:t>
      </w:r>
    </w:p>
    <w:p w14:paraId="16732716">
      <w:pPr>
        <w:ind w:firstLine="420" w:firstLineChars="200"/>
      </w:pPr>
      <w:r>
        <w:rPr>
          <w:rFonts w:hint="eastAsia"/>
        </w:rPr>
        <w:t>4 钢板桩应力；</w:t>
      </w:r>
    </w:p>
    <w:p w14:paraId="5AAF36FB">
      <w:pPr>
        <w:ind w:firstLine="420" w:firstLineChars="200"/>
      </w:pPr>
      <w:r>
        <w:rPr>
          <w:rFonts w:hint="eastAsia"/>
        </w:rPr>
        <w:t>5 钢板桩前后土压力；</w:t>
      </w:r>
    </w:p>
    <w:p w14:paraId="0EDD19AC">
      <w:pPr>
        <w:ind w:firstLine="420" w:firstLineChars="200"/>
      </w:pPr>
      <w:r>
        <w:rPr>
          <w:rFonts w:hint="eastAsia"/>
        </w:rPr>
        <w:t>6 钢板桩后土体深层沉降；</w:t>
      </w:r>
    </w:p>
    <w:p w14:paraId="532E90D5">
      <w:pPr>
        <w:ind w:firstLine="420" w:firstLineChars="200"/>
      </w:pPr>
      <w:r>
        <w:rPr>
          <w:rFonts w:hint="eastAsia"/>
        </w:rPr>
        <w:t>7 钢板桩前后地下水水位；</w:t>
      </w:r>
    </w:p>
    <w:p w14:paraId="3C7721CE">
      <w:pPr>
        <w:ind w:firstLine="420" w:firstLineChars="200"/>
      </w:pPr>
      <w:r>
        <w:rPr>
          <w:rFonts w:hint="eastAsia"/>
        </w:rPr>
        <w:t>8拉杆应力；</w:t>
      </w:r>
    </w:p>
    <w:p w14:paraId="4158C14A">
      <w:pPr>
        <w:ind w:firstLine="420" w:firstLineChars="200"/>
      </w:pPr>
      <w:r>
        <w:rPr>
          <w:rFonts w:hint="eastAsia"/>
        </w:rPr>
        <w:t>9 水下边坡稳定；</w:t>
      </w:r>
    </w:p>
    <w:p w14:paraId="04FC0B7A">
      <w:pPr>
        <w:ind w:firstLine="420" w:firstLineChars="200"/>
      </w:pPr>
      <w:r>
        <w:rPr>
          <w:rFonts w:hint="eastAsia"/>
        </w:rPr>
        <w:t>10 其他应监测的内容：如周边结构的稳定及结构内力。</w:t>
      </w:r>
    </w:p>
    <w:p w14:paraId="545107C2">
      <w:pPr>
        <w:ind w:firstLine="420" w:firstLineChars="200"/>
      </w:pPr>
      <w:r>
        <w:rPr>
          <w:rFonts w:hint="eastAsia"/>
        </w:rPr>
        <w:t>二、钢板桩用作临时围护结构的仪器监测的项目包含：</w:t>
      </w:r>
    </w:p>
    <w:p w14:paraId="43A37F68">
      <w:pPr>
        <w:ind w:firstLine="420" w:firstLineChars="200"/>
      </w:pPr>
      <w:r>
        <w:rPr>
          <w:rFonts w:hint="eastAsia"/>
        </w:rPr>
        <w:t>1 钢板桩顶部或顶圈梁水平位移；</w:t>
      </w:r>
    </w:p>
    <w:p w14:paraId="725BA221">
      <w:pPr>
        <w:ind w:firstLine="420" w:firstLineChars="200"/>
      </w:pPr>
      <w:r>
        <w:rPr>
          <w:rFonts w:hint="eastAsia"/>
        </w:rPr>
        <w:t>2 钢板桩顶部或顶圈梁竖向位移；</w:t>
      </w:r>
    </w:p>
    <w:p w14:paraId="4067B4AA">
      <w:pPr>
        <w:ind w:firstLine="420" w:firstLineChars="200"/>
      </w:pPr>
      <w:r>
        <w:rPr>
          <w:rFonts w:hint="eastAsia"/>
        </w:rPr>
        <w:t>3 钢板桩深层水平位移；</w:t>
      </w:r>
    </w:p>
    <w:p w14:paraId="658AAE27">
      <w:pPr>
        <w:ind w:firstLine="420" w:firstLineChars="200"/>
      </w:pPr>
      <w:r>
        <w:rPr>
          <w:rFonts w:hint="eastAsia"/>
        </w:rPr>
        <w:t>4 钢板桩前后地下水水位；</w:t>
      </w:r>
    </w:p>
    <w:p w14:paraId="14480A8D">
      <w:pPr>
        <w:ind w:firstLine="420" w:firstLineChars="200"/>
      </w:pPr>
      <w:r>
        <w:rPr>
          <w:rFonts w:hint="eastAsia"/>
        </w:rPr>
        <w:t>5 钢板桩后土体深层沉降；</w:t>
      </w:r>
    </w:p>
    <w:p w14:paraId="2AC98AC8">
      <w:pPr>
        <w:ind w:firstLine="420" w:firstLineChars="200"/>
      </w:pPr>
      <w:r>
        <w:rPr>
          <w:rFonts w:hint="eastAsia"/>
        </w:rPr>
        <w:t>6 拉杆应力或支撑、围檩内力的监测；</w:t>
      </w:r>
    </w:p>
    <w:p w14:paraId="10DDE00B">
      <w:pPr>
        <w:ind w:firstLine="420" w:firstLineChars="200"/>
      </w:pPr>
      <w:r>
        <w:rPr>
          <w:rFonts w:hint="eastAsia"/>
        </w:rPr>
        <w:t>7 立柱沉降；</w:t>
      </w:r>
    </w:p>
    <w:p w14:paraId="2AE8C11E">
      <w:pPr>
        <w:ind w:firstLine="420" w:firstLineChars="200"/>
      </w:pPr>
      <w:r>
        <w:rPr>
          <w:rFonts w:hint="eastAsia"/>
        </w:rPr>
        <w:t>8 其他应监测的内容如水下边坡稳定、周边结构的稳定及结构内力等。</w:t>
      </w:r>
    </w:p>
    <w:p w14:paraId="3E455B70">
      <w:r>
        <w:rPr>
          <w:rFonts w:hint="eastAsia"/>
          <w:b/>
          <w:bCs/>
        </w:rPr>
        <w:t>8.3.13</w:t>
      </w:r>
      <w:r>
        <w:rPr>
          <w:rFonts w:hint="eastAsia"/>
        </w:rPr>
        <w:t xml:space="preserve">  因钢板桩支护结构相对较柔，且一般支护结构平面尺寸不大，因此监测点水平间距不宜过大，本条规定的监测点水平间距取15m，略小于国标监测规范20m，有利于控制钢板支护结构安全。一般基坑每边的中部、阳角处变形较大，所以中部、阳角处宜设测点。为便于监测，水平位移观测点宜同时作为垂直位移的观测点。为了测量观测点与基线的距离变化，基坑每边的测点不宜少于3点。观测点设置在钢板桩顶上，有利于提高观测精度；对于上部放坡下部钢板桩支护的支护形式，坡体和钢板桩的变形存在差异，为准确量测钢板桩的变形，建议钢板桩顶部和坡顶同时设置水平和竖向监测点。</w:t>
      </w:r>
    </w:p>
    <w:p w14:paraId="05D1B2BB">
      <w:pPr>
        <w:rPr>
          <w:b/>
          <w:bCs/>
        </w:rPr>
      </w:pPr>
    </w:p>
    <w:p w14:paraId="58C257A5">
      <w:pPr>
        <w:rPr>
          <w:b/>
          <w:bCs/>
        </w:rPr>
        <w:sectPr>
          <w:footerReference r:id="rId31" w:type="default"/>
          <w:pgSz w:w="11906" w:h="16838"/>
          <w:pgMar w:top="1440" w:right="1800" w:bottom="1440" w:left="1800" w:header="851" w:footer="992" w:gutter="0"/>
          <w:pgNumType w:start="50"/>
          <w:cols w:space="720" w:num="1"/>
          <w:docGrid w:type="lines" w:linePitch="312" w:charSpace="0"/>
        </w:sectPr>
      </w:pPr>
    </w:p>
    <w:p w14:paraId="32A9391F">
      <w:r>
        <w:rPr>
          <w:rFonts w:hint="eastAsia"/>
          <w:b/>
          <w:bCs/>
        </w:rPr>
        <w:t>8.3.14</w:t>
      </w:r>
      <w:r>
        <w:rPr>
          <w:rFonts w:hint="eastAsia"/>
        </w:rPr>
        <w:t xml:space="preserve">  钢板桩深层水平位移的监测是观测支护体系变形最直接的手段，监测孔应布置在基坑平面上挠曲计算值最大的位置。一般情况下基坑每侧中部、阳角处的变形较大，因此该处宜设监测孔；因钢板桩支护结构刚度相对较小，平面尺寸不大，故相对国标监测规范适当加密了监测孔。</w:t>
      </w:r>
    </w:p>
    <w:p w14:paraId="21012E7C">
      <w:pPr>
        <w:ind w:firstLine="420" w:firstLineChars="200"/>
      </w:pPr>
      <w:r>
        <w:rPr>
          <w:rFonts w:hint="eastAsia"/>
        </w:rPr>
        <w:t>深层水平位移观测目前多用测斜仪观测，因钢板无法在体上安装测斜孔，因此一般安置在桩后土体中。为确保土体测斜精度尽可能和钢板桩深部位移一致，故本条约束了测斜孔的平面位置。</w:t>
      </w:r>
    </w:p>
    <w:p w14:paraId="456104D1">
      <w:pPr>
        <w:ind w:firstLine="420" w:firstLineChars="200"/>
      </w:pPr>
      <w:r>
        <w:rPr>
          <w:rFonts w:hint="eastAsia"/>
        </w:rPr>
        <w:t>因为测斜仪测出的是相对位移，若以测斜管底端为固定起算点（基准点），应保持管底端不动，否则就无法准确推算各点的水平位移，所以要求测斜管管底嵌入到稳定的土体中。</w:t>
      </w:r>
    </w:p>
    <w:p w14:paraId="3602A17D">
      <w:r>
        <w:rPr>
          <w:rFonts w:hint="eastAsia"/>
          <w:b/>
          <w:bCs/>
        </w:rPr>
        <w:t>8.3.15</w:t>
      </w:r>
      <w:r>
        <w:rPr>
          <w:rFonts w:hint="eastAsia"/>
        </w:rPr>
        <w:t xml:space="preserve">  钢板桩内力监测是保证钢板桩支护结构安全的必要手段，但限于目前监测手段的局限性，很难在钢板桩上监测到桩身应力，故本条文仅作原则说明。</w:t>
      </w:r>
    </w:p>
    <w:p w14:paraId="1DFA10E7">
      <w:r>
        <w:rPr>
          <w:rFonts w:hint="eastAsia"/>
          <w:b/>
          <w:bCs/>
        </w:rPr>
        <w:t>8.3.19</w:t>
      </w:r>
      <w:r>
        <w:rPr>
          <w:rFonts w:hint="eastAsia"/>
        </w:rPr>
        <w:t xml:space="preserve">  支撑内力的监测多根据支撑杆件采用的不同材料，选择不同的监测方法和监测传感器。对于混凝土支撑杆件，目前主要采用钢筋应力计或混凝土应变计；对于钢支撑杆件，多采用轴力计（也称反力计）或表面应变计。</w:t>
      </w:r>
    </w:p>
    <w:p w14:paraId="1D673541">
      <w:pPr>
        <w:ind w:firstLine="420" w:firstLineChars="200"/>
      </w:pPr>
      <w:r>
        <w:rPr>
          <w:rFonts w:hint="eastAsia"/>
        </w:rPr>
        <w:t>支撑内力监测断面的位置应根据支护结构计算书确定，监测截面应选择在轴力较大杆件上受剪力影响小的部位，当采用应力计和应变计测试时，监测截面宜选择在两相邻立柱支点间支撑杆件的1/3部位；钢管支撑采用轴力计测试时，轴力计宜设置在支撑端头。</w:t>
      </w:r>
    </w:p>
    <w:p w14:paraId="1B72AF18">
      <w:pPr>
        <w:ind w:firstLine="420" w:firstLineChars="200"/>
      </w:pPr>
      <w:r>
        <w:rPr>
          <w:rFonts w:hint="eastAsia"/>
        </w:rPr>
        <w:t>为了分析不同工况下锚杆内力的变化情况，对监测到的锚杆内力值与设计计算值进行比较，各层监测点位置在竖向上宜保持一致。锚头附近位置锚杆拉力大，当用锚杆测力计时，测试点宜设置在锚头附近。</w:t>
      </w:r>
    </w:p>
    <w:p w14:paraId="19B3F334">
      <w:pPr>
        <w:ind w:firstLine="420" w:firstLineChars="200"/>
      </w:pPr>
      <w:r>
        <w:rPr>
          <w:rFonts w:hint="eastAsia"/>
        </w:rPr>
        <w:t>地下水位测量主要是通过水位观测孔（地下水位监测点）进行。地下水位监测点的作用</w:t>
      </w:r>
    </w:p>
    <w:p w14:paraId="2785D04F">
      <w:r>
        <w:rPr>
          <w:rFonts w:hint="eastAsia"/>
        </w:rPr>
        <w:t>一是检验降水井的降水效果，二是观测降水对周边环境的影响。</w:t>
      </w:r>
    </w:p>
    <w:p w14:paraId="539525F0">
      <w:pPr>
        <w:ind w:firstLine="420" w:firstLineChars="200"/>
      </w:pPr>
      <w:r>
        <w:rPr>
          <w:rFonts w:hint="eastAsia"/>
        </w:rPr>
        <w:t>检验降水井降水效果的水位监测点应布置在降水井点（群）降水区降水能力弱的部位，因此当采用深井降水时，水位监测点宜布置在基坑中央和两相邻降水井的中间部位；当采用轻型井点、喷射井点降水时，水位监测点宜布置在基坑中央和周边拐角处。</w:t>
      </w:r>
    </w:p>
    <w:p w14:paraId="1BDD4DB8">
      <w:pPr>
        <w:ind w:firstLine="420" w:firstLineChars="200"/>
      </w:pPr>
      <w:r>
        <w:rPr>
          <w:rFonts w:hint="eastAsia"/>
        </w:rPr>
        <w:t>当用水位监测点观测降水对周边环境的影响时，地下水位监测点应沿被保护对象的周边布置。如有止水帷幕，水位监测点宜布置在帷幕的施工搭接处、转角处等有代表性的部位，位置在止水帷幕的外侧约2m处，以便于观测止水帷幕的止水效果。</w:t>
      </w:r>
    </w:p>
    <w:p w14:paraId="13FB440B">
      <w:pPr>
        <w:ind w:firstLine="420" w:firstLineChars="200"/>
      </w:pPr>
      <w:r>
        <w:rPr>
          <w:rFonts w:hint="eastAsia"/>
        </w:rPr>
        <w:t>检验降水井降水效果的水位监测点，观测管的管底埋置深度应在最低设计水位之下3m~5m。观测降水对周边环境影响的监测点，观测管的管底埋置深度应在最低允许地下水位之下3m~5m。</w:t>
      </w:r>
    </w:p>
    <w:p w14:paraId="296E1651">
      <w:pPr>
        <w:ind w:firstLine="420" w:firstLineChars="200"/>
      </w:pPr>
      <w:r>
        <w:rPr>
          <w:rFonts w:hint="eastAsia"/>
        </w:rPr>
        <w:t>承压水的观测孔埋设深度应保证能反映承压水水位的变化。</w:t>
      </w:r>
    </w:p>
    <w:p w14:paraId="7F5ADD5D"/>
    <w:p w14:paraId="5BEB44FA"/>
    <w:p w14:paraId="6BC1FEF6"/>
    <w:p w14:paraId="0C5F22E6"/>
    <w:sectPr>
      <w:footerReference r:id="rId32" w:type="default"/>
      <w:pgSz w:w="11906" w:h="16838"/>
      <w:pgMar w:top="1440" w:right="1800" w:bottom="1440" w:left="1800" w:header="851" w:footer="992" w:gutter="0"/>
      <w:pgNumType w:start="5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Calibri Light">
    <w:panose1 w:val="020F03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SJQY">
    <w:altName w:val="微软雅黑"/>
    <w:panose1 w:val="00000000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C60A">
    <w:pPr>
      <w:pStyle w:val="11"/>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643A2">
    <w:pPr>
      <w:pStyle w:val="11"/>
      <w:jc w:val="center"/>
    </w:pPr>
    <w:r>
      <w:rPr>
        <w:rFonts w:hint="eastAsia"/>
      </w:rPr>
      <w:t>44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B6344">
    <w:pPr>
      <w:pStyle w:val="11"/>
      <w:jc w:val="center"/>
    </w:pPr>
    <w:r>
      <w:rPr>
        <w:rFonts w:hint="eastAsia"/>
      </w:rPr>
      <w:t>45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66096">
    <w:pPr>
      <w:pStyle w:val="11"/>
      <w:jc w:val="center"/>
    </w:pPr>
    <w:r>
      <w:rPr>
        <w:rFonts w:hint="eastAsia"/>
      </w:rPr>
      <w:t>46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3B8C">
    <w:pPr>
      <w:pStyle w:val="11"/>
      <w:jc w:val="center"/>
    </w:pPr>
    <w:r>
      <w:rPr>
        <w:rFonts w:hint="eastAsia"/>
      </w:rPr>
      <w:t>47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458FC">
    <w:pPr>
      <w:pStyle w:val="11"/>
      <w:jc w:val="center"/>
    </w:pPr>
    <w:r>
      <w:rPr>
        <w:rFonts w:hint="eastAsia"/>
      </w:rPr>
      <w:t>48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3FA5C">
    <w:pPr>
      <w:pStyle w:val="11"/>
      <w:jc w:val="center"/>
    </w:pPr>
    <w:r>
      <w:rPr>
        <w:rFonts w:hint="eastAsia"/>
      </w:rPr>
      <w:t>49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592C0">
    <w:pPr>
      <w:pStyle w:val="11"/>
      <w:jc w:val="center"/>
    </w:pPr>
    <w:r>
      <w:rPr>
        <w:rFonts w:hint="eastAsia"/>
      </w:rPr>
      <w:t>50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C076B">
    <w:pPr>
      <w:pStyle w:val="11"/>
      <w:jc w:val="center"/>
    </w:pPr>
    <w:r>
      <w:rPr>
        <w:rFonts w:hint="eastAsia"/>
      </w:rPr>
      <w:t>51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32B4E">
    <w:pPr>
      <w:pStyle w:val="11"/>
      <w:jc w:val="center"/>
    </w:pPr>
    <w:r>
      <w:rPr>
        <w:rFonts w:hint="eastAsia"/>
      </w:rPr>
      <w:t>52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F6ED0">
    <w:pPr>
      <w:pStyle w:val="11"/>
      <w:jc w:val="center"/>
    </w:pPr>
    <w:r>
      <w:rPr>
        <w:rFonts w:hint="eastAsia"/>
      </w:rPr>
      <w:t>53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AE3BC">
    <w:pPr>
      <w:pStyle w:val="11"/>
    </w:pPr>
  </w:p>
  <w:p w14:paraId="11CF908C">
    <w:pPr>
      <w:pStyle w:val="1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43B37">
    <w:pPr>
      <w:pStyle w:val="11"/>
      <w:jc w:val="center"/>
    </w:pPr>
    <w:r>
      <w:rPr>
        <w:rFonts w:hint="eastAsia"/>
      </w:rPr>
      <w:t>54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EAB2E">
    <w:pPr>
      <w:pStyle w:val="11"/>
      <w:jc w:val="center"/>
    </w:pPr>
    <w:r>
      <w:rPr>
        <w:rFonts w:hint="eastAsia"/>
      </w:rPr>
      <w:t>55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DDD68">
    <w:pPr>
      <w:pStyle w:val="11"/>
      <w:jc w:val="center"/>
    </w:pPr>
    <w:r>
      <w:rPr>
        <w:rFonts w:hint="eastAsia"/>
      </w:rPr>
      <w:t>56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77E78">
    <w:pPr>
      <w:pStyle w:val="11"/>
      <w:jc w:val="center"/>
    </w:pPr>
    <w:r>
      <w:rPr>
        <w:rFonts w:hint="eastAsia"/>
      </w:rPr>
      <w:t>57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68D16">
    <w:pPr>
      <w:pStyle w:val="11"/>
      <w:jc w:val="center"/>
    </w:pPr>
    <w:r>
      <w:rPr>
        <w:rFonts w:hint="eastAsia"/>
      </w:rPr>
      <w:t>58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28CF3">
    <w:pPr>
      <w:pStyle w:val="11"/>
      <w:jc w:val="center"/>
    </w:pPr>
    <w:r>
      <w:rPr>
        <w:rFonts w:hint="eastAsia"/>
      </w:rPr>
      <w:t>59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9FC23">
    <w:pPr>
      <w:pStyle w:val="11"/>
      <w:jc w:val="center"/>
    </w:pPr>
    <w:r>
      <w:rPr>
        <w:rFonts w:hint="eastAsia"/>
      </w:rPr>
      <w:t>60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AE867">
    <w:pPr>
      <w:pStyle w:val="11"/>
      <w:jc w:val="center"/>
    </w:pPr>
    <w:r>
      <w:rPr>
        <w:rFonts w:hint="eastAsia"/>
      </w:rPr>
      <w:t>61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F315C">
    <w:pPr>
      <w:pStyle w:val="11"/>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C71D7">
    <w:pPr>
      <w:pStyle w:val="11"/>
    </w:pPr>
  </w:p>
  <w:p w14:paraId="6A98332C">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EF5D7">
    <w:pPr>
      <w:pStyle w:val="11"/>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211AD">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CDF47F">
                          <w:pPr>
                            <w:pStyle w:val="11"/>
                            <w:jc w:val="center"/>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DvBtsPXAQAAswMAAA4AAAAAAAAAAQAgAAAA&#10;HgEAAGRycy9lMm9Eb2MueG1sUEsFBgAAAAAGAAYAWQEAAGcFAAAAAA==&#10;">
              <v:fill on="f" focussize="0,0"/>
              <v:stroke on="f"/>
              <v:imagedata o:title=""/>
              <o:lock v:ext="edit" aspectratio="f"/>
              <v:textbox inset="0mm,0mm,0mm,0mm" style="mso-fit-shape-to-text:t;">
                <w:txbxContent>
                  <w:p w14:paraId="5CCDF47F">
                    <w:pPr>
                      <w:pStyle w:val="11"/>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A6299">
    <w:pPr>
      <w:pStyle w:val="11"/>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6D14D7">
                          <w:pPr>
                            <w:pStyle w:val="11"/>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Oh8HK/XAQAAswMAAA4AAAAAAAAAAQAgAAAA&#10;HgEAAGRycy9lMm9Eb2MueG1sUEsFBgAAAAAGAAYAWQEAAGcFAAAAAA==&#10;">
              <v:fill on="f" focussize="0,0"/>
              <v:stroke on="f"/>
              <v:imagedata o:title=""/>
              <o:lock v:ext="edit" aspectratio="f"/>
              <v:textbox inset="0mm,0mm,0mm,0mm" style="mso-fit-shape-to-text:t;">
                <w:txbxContent>
                  <w:p w14:paraId="286D14D7">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5E24F">
    <w:pPr>
      <w:pStyle w:val="11"/>
    </w:pPr>
  </w:p>
  <w:p w14:paraId="0DF7CC57">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54016">
    <w:pPr>
      <w:pStyle w:val="1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8A331">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BC0F33"/>
    <w:rsid w:val="00004A31"/>
    <w:rsid w:val="000133A5"/>
    <w:rsid w:val="0001780A"/>
    <w:rsid w:val="000246EC"/>
    <w:rsid w:val="000317C8"/>
    <w:rsid w:val="00042898"/>
    <w:rsid w:val="000473C1"/>
    <w:rsid w:val="000548CC"/>
    <w:rsid w:val="000563B6"/>
    <w:rsid w:val="000571F8"/>
    <w:rsid w:val="00071E34"/>
    <w:rsid w:val="00081B74"/>
    <w:rsid w:val="0008726D"/>
    <w:rsid w:val="0009429A"/>
    <w:rsid w:val="00097472"/>
    <w:rsid w:val="000A0B2D"/>
    <w:rsid w:val="000A4CB1"/>
    <w:rsid w:val="000E029B"/>
    <w:rsid w:val="000E1470"/>
    <w:rsid w:val="000E5BB8"/>
    <w:rsid w:val="00100DC3"/>
    <w:rsid w:val="00120ABB"/>
    <w:rsid w:val="00131576"/>
    <w:rsid w:val="00142CFC"/>
    <w:rsid w:val="001465B3"/>
    <w:rsid w:val="001472FF"/>
    <w:rsid w:val="001648D9"/>
    <w:rsid w:val="001773FB"/>
    <w:rsid w:val="00191172"/>
    <w:rsid w:val="001A332B"/>
    <w:rsid w:val="001B067D"/>
    <w:rsid w:val="001C3A3F"/>
    <w:rsid w:val="001D5664"/>
    <w:rsid w:val="001E2104"/>
    <w:rsid w:val="001E2453"/>
    <w:rsid w:val="001E4ED4"/>
    <w:rsid w:val="001F3B1F"/>
    <w:rsid w:val="00205116"/>
    <w:rsid w:val="002077D4"/>
    <w:rsid w:val="00207ADE"/>
    <w:rsid w:val="002174A6"/>
    <w:rsid w:val="00226EBB"/>
    <w:rsid w:val="00243657"/>
    <w:rsid w:val="00265344"/>
    <w:rsid w:val="002756AE"/>
    <w:rsid w:val="00286BF2"/>
    <w:rsid w:val="002A6B4B"/>
    <w:rsid w:val="002B247F"/>
    <w:rsid w:val="002E12C4"/>
    <w:rsid w:val="002F142A"/>
    <w:rsid w:val="002F30AD"/>
    <w:rsid w:val="003045E2"/>
    <w:rsid w:val="00310814"/>
    <w:rsid w:val="00332973"/>
    <w:rsid w:val="003340D4"/>
    <w:rsid w:val="00334110"/>
    <w:rsid w:val="0036029F"/>
    <w:rsid w:val="003707A1"/>
    <w:rsid w:val="00372E4D"/>
    <w:rsid w:val="00377076"/>
    <w:rsid w:val="00377F8E"/>
    <w:rsid w:val="003822A7"/>
    <w:rsid w:val="00391833"/>
    <w:rsid w:val="003A405A"/>
    <w:rsid w:val="003A6EB9"/>
    <w:rsid w:val="003B1536"/>
    <w:rsid w:val="003D1EA6"/>
    <w:rsid w:val="003E01D4"/>
    <w:rsid w:val="003E2F81"/>
    <w:rsid w:val="003E4FCD"/>
    <w:rsid w:val="004149BE"/>
    <w:rsid w:val="004210B8"/>
    <w:rsid w:val="00422573"/>
    <w:rsid w:val="004307A4"/>
    <w:rsid w:val="004402D6"/>
    <w:rsid w:val="0045053A"/>
    <w:rsid w:val="00455CC7"/>
    <w:rsid w:val="004562FA"/>
    <w:rsid w:val="0046631D"/>
    <w:rsid w:val="00474E60"/>
    <w:rsid w:val="0047546A"/>
    <w:rsid w:val="00482D38"/>
    <w:rsid w:val="00493B16"/>
    <w:rsid w:val="004A18E4"/>
    <w:rsid w:val="004C1FB1"/>
    <w:rsid w:val="00503AD5"/>
    <w:rsid w:val="005120EC"/>
    <w:rsid w:val="005146BD"/>
    <w:rsid w:val="00522A58"/>
    <w:rsid w:val="005304C1"/>
    <w:rsid w:val="005420CF"/>
    <w:rsid w:val="005573D8"/>
    <w:rsid w:val="005B325A"/>
    <w:rsid w:val="005C4033"/>
    <w:rsid w:val="005D199D"/>
    <w:rsid w:val="005D5630"/>
    <w:rsid w:val="005D5BB1"/>
    <w:rsid w:val="005D7130"/>
    <w:rsid w:val="005F1FFE"/>
    <w:rsid w:val="005F2A1A"/>
    <w:rsid w:val="0060575B"/>
    <w:rsid w:val="00607AD3"/>
    <w:rsid w:val="0062054F"/>
    <w:rsid w:val="0063799E"/>
    <w:rsid w:val="0065491E"/>
    <w:rsid w:val="00670B6A"/>
    <w:rsid w:val="00673F37"/>
    <w:rsid w:val="006808C1"/>
    <w:rsid w:val="0069701D"/>
    <w:rsid w:val="006B32B6"/>
    <w:rsid w:val="006B4207"/>
    <w:rsid w:val="006D1EFD"/>
    <w:rsid w:val="006E76A2"/>
    <w:rsid w:val="006F2DE3"/>
    <w:rsid w:val="006F5C22"/>
    <w:rsid w:val="00701B34"/>
    <w:rsid w:val="00706597"/>
    <w:rsid w:val="0071567D"/>
    <w:rsid w:val="0072344C"/>
    <w:rsid w:val="0074154B"/>
    <w:rsid w:val="00771275"/>
    <w:rsid w:val="00785159"/>
    <w:rsid w:val="007A783E"/>
    <w:rsid w:val="007E0340"/>
    <w:rsid w:val="007E48AB"/>
    <w:rsid w:val="007F47A7"/>
    <w:rsid w:val="00812350"/>
    <w:rsid w:val="008221D0"/>
    <w:rsid w:val="00830DBB"/>
    <w:rsid w:val="00837F91"/>
    <w:rsid w:val="0084036B"/>
    <w:rsid w:val="008421C4"/>
    <w:rsid w:val="00842943"/>
    <w:rsid w:val="008463D8"/>
    <w:rsid w:val="00857D0C"/>
    <w:rsid w:val="00862412"/>
    <w:rsid w:val="00873EA1"/>
    <w:rsid w:val="00883012"/>
    <w:rsid w:val="008864CA"/>
    <w:rsid w:val="008923C8"/>
    <w:rsid w:val="00896F6C"/>
    <w:rsid w:val="008A3374"/>
    <w:rsid w:val="008D0976"/>
    <w:rsid w:val="008E3C55"/>
    <w:rsid w:val="00900B2B"/>
    <w:rsid w:val="0090180A"/>
    <w:rsid w:val="009402AB"/>
    <w:rsid w:val="00940ADB"/>
    <w:rsid w:val="00942B16"/>
    <w:rsid w:val="00946C68"/>
    <w:rsid w:val="00954278"/>
    <w:rsid w:val="00954E27"/>
    <w:rsid w:val="00956E4D"/>
    <w:rsid w:val="0097081D"/>
    <w:rsid w:val="00976C40"/>
    <w:rsid w:val="009831DE"/>
    <w:rsid w:val="00985DB8"/>
    <w:rsid w:val="009878C1"/>
    <w:rsid w:val="00992771"/>
    <w:rsid w:val="009A5906"/>
    <w:rsid w:val="009A64BC"/>
    <w:rsid w:val="009B4F85"/>
    <w:rsid w:val="00A00CA5"/>
    <w:rsid w:val="00A13DDA"/>
    <w:rsid w:val="00A16F42"/>
    <w:rsid w:val="00A32569"/>
    <w:rsid w:val="00A45823"/>
    <w:rsid w:val="00A535FD"/>
    <w:rsid w:val="00A54A9D"/>
    <w:rsid w:val="00A637BF"/>
    <w:rsid w:val="00A96F46"/>
    <w:rsid w:val="00AC0068"/>
    <w:rsid w:val="00AC2C8A"/>
    <w:rsid w:val="00AC4765"/>
    <w:rsid w:val="00B05E77"/>
    <w:rsid w:val="00B14083"/>
    <w:rsid w:val="00B222CC"/>
    <w:rsid w:val="00B50B4A"/>
    <w:rsid w:val="00B7154D"/>
    <w:rsid w:val="00B728DA"/>
    <w:rsid w:val="00B83472"/>
    <w:rsid w:val="00B87685"/>
    <w:rsid w:val="00B9558C"/>
    <w:rsid w:val="00BA6029"/>
    <w:rsid w:val="00BB5BB0"/>
    <w:rsid w:val="00BC12C8"/>
    <w:rsid w:val="00BC3A1F"/>
    <w:rsid w:val="00BD30A2"/>
    <w:rsid w:val="00BD700C"/>
    <w:rsid w:val="00BF0E03"/>
    <w:rsid w:val="00C03CE5"/>
    <w:rsid w:val="00C0788F"/>
    <w:rsid w:val="00C6371E"/>
    <w:rsid w:val="00C80265"/>
    <w:rsid w:val="00C9066A"/>
    <w:rsid w:val="00C91C98"/>
    <w:rsid w:val="00C95D03"/>
    <w:rsid w:val="00CA0433"/>
    <w:rsid w:val="00CA3891"/>
    <w:rsid w:val="00CB01C3"/>
    <w:rsid w:val="00CC16D1"/>
    <w:rsid w:val="00CD2C4B"/>
    <w:rsid w:val="00CD5486"/>
    <w:rsid w:val="00CD63A9"/>
    <w:rsid w:val="00D06B84"/>
    <w:rsid w:val="00D71EE3"/>
    <w:rsid w:val="00D7476C"/>
    <w:rsid w:val="00D94D58"/>
    <w:rsid w:val="00DA183B"/>
    <w:rsid w:val="00DA2781"/>
    <w:rsid w:val="00DA2E12"/>
    <w:rsid w:val="00DA7AB1"/>
    <w:rsid w:val="00DC3687"/>
    <w:rsid w:val="00DE1BD6"/>
    <w:rsid w:val="00DE3634"/>
    <w:rsid w:val="00DE3FAC"/>
    <w:rsid w:val="00DF3275"/>
    <w:rsid w:val="00E12860"/>
    <w:rsid w:val="00E155F8"/>
    <w:rsid w:val="00E25191"/>
    <w:rsid w:val="00E31125"/>
    <w:rsid w:val="00E32B9B"/>
    <w:rsid w:val="00E32DAB"/>
    <w:rsid w:val="00E55F6E"/>
    <w:rsid w:val="00E97325"/>
    <w:rsid w:val="00EA697F"/>
    <w:rsid w:val="00EB0764"/>
    <w:rsid w:val="00EB7707"/>
    <w:rsid w:val="00EC13B2"/>
    <w:rsid w:val="00ED391F"/>
    <w:rsid w:val="00ED68F5"/>
    <w:rsid w:val="00F028F2"/>
    <w:rsid w:val="00F10911"/>
    <w:rsid w:val="00F139E7"/>
    <w:rsid w:val="00F177CF"/>
    <w:rsid w:val="00F200FB"/>
    <w:rsid w:val="00F257EE"/>
    <w:rsid w:val="00F25FE7"/>
    <w:rsid w:val="00F316BF"/>
    <w:rsid w:val="00F34E42"/>
    <w:rsid w:val="00F578F7"/>
    <w:rsid w:val="00F62B72"/>
    <w:rsid w:val="00F70364"/>
    <w:rsid w:val="00F75670"/>
    <w:rsid w:val="00F7745C"/>
    <w:rsid w:val="00F907C8"/>
    <w:rsid w:val="00F917D6"/>
    <w:rsid w:val="00F91FC4"/>
    <w:rsid w:val="00FA03CB"/>
    <w:rsid w:val="00FA5479"/>
    <w:rsid w:val="00FB4A77"/>
    <w:rsid w:val="00FB592C"/>
    <w:rsid w:val="00FD20EB"/>
    <w:rsid w:val="00FE52A8"/>
    <w:rsid w:val="00FF55B4"/>
    <w:rsid w:val="01422176"/>
    <w:rsid w:val="01883901"/>
    <w:rsid w:val="01DE1773"/>
    <w:rsid w:val="01EC3E90"/>
    <w:rsid w:val="02004145"/>
    <w:rsid w:val="021D673F"/>
    <w:rsid w:val="02663CF7"/>
    <w:rsid w:val="02CD3CC1"/>
    <w:rsid w:val="03044C13"/>
    <w:rsid w:val="035B12CD"/>
    <w:rsid w:val="037979A5"/>
    <w:rsid w:val="040A4AA1"/>
    <w:rsid w:val="04602913"/>
    <w:rsid w:val="04763EE5"/>
    <w:rsid w:val="04806B11"/>
    <w:rsid w:val="04A70542"/>
    <w:rsid w:val="04AF58BC"/>
    <w:rsid w:val="04C63BD8"/>
    <w:rsid w:val="04EB6681"/>
    <w:rsid w:val="051308D9"/>
    <w:rsid w:val="057A17B3"/>
    <w:rsid w:val="05C173E2"/>
    <w:rsid w:val="05EE467B"/>
    <w:rsid w:val="05F73A7F"/>
    <w:rsid w:val="06A92350"/>
    <w:rsid w:val="06BA27AF"/>
    <w:rsid w:val="07350087"/>
    <w:rsid w:val="07506C6F"/>
    <w:rsid w:val="075F150C"/>
    <w:rsid w:val="07610E7C"/>
    <w:rsid w:val="07677C87"/>
    <w:rsid w:val="078472EB"/>
    <w:rsid w:val="078828AD"/>
    <w:rsid w:val="07D53466"/>
    <w:rsid w:val="0802312B"/>
    <w:rsid w:val="08055CAB"/>
    <w:rsid w:val="084D31AF"/>
    <w:rsid w:val="084F4F9C"/>
    <w:rsid w:val="0862434F"/>
    <w:rsid w:val="08C61576"/>
    <w:rsid w:val="08D50F17"/>
    <w:rsid w:val="08E256E7"/>
    <w:rsid w:val="09350D51"/>
    <w:rsid w:val="093D3223"/>
    <w:rsid w:val="09494B17"/>
    <w:rsid w:val="09774863"/>
    <w:rsid w:val="098D5F59"/>
    <w:rsid w:val="09931095"/>
    <w:rsid w:val="09B907C2"/>
    <w:rsid w:val="09C53944"/>
    <w:rsid w:val="09DE4A06"/>
    <w:rsid w:val="09FE29B2"/>
    <w:rsid w:val="0A0A6C5B"/>
    <w:rsid w:val="0A424F95"/>
    <w:rsid w:val="0A663B4C"/>
    <w:rsid w:val="0A6C0264"/>
    <w:rsid w:val="0A8941B2"/>
    <w:rsid w:val="0ABA0FCF"/>
    <w:rsid w:val="0ABE2142"/>
    <w:rsid w:val="0AFB5144"/>
    <w:rsid w:val="0B494101"/>
    <w:rsid w:val="0B50723E"/>
    <w:rsid w:val="0BAE21B6"/>
    <w:rsid w:val="0BB27EF8"/>
    <w:rsid w:val="0BBC0F33"/>
    <w:rsid w:val="0BC5416A"/>
    <w:rsid w:val="0BCF0AAA"/>
    <w:rsid w:val="0BDA2FAB"/>
    <w:rsid w:val="0BF65382"/>
    <w:rsid w:val="0C452A7D"/>
    <w:rsid w:val="0C6B2155"/>
    <w:rsid w:val="0C874EE1"/>
    <w:rsid w:val="0CCC323C"/>
    <w:rsid w:val="0D1A5D55"/>
    <w:rsid w:val="0D660F9A"/>
    <w:rsid w:val="0D690A8B"/>
    <w:rsid w:val="0DAE3D1E"/>
    <w:rsid w:val="0DB22432"/>
    <w:rsid w:val="0E082052"/>
    <w:rsid w:val="0E1C75C7"/>
    <w:rsid w:val="0E3E5A73"/>
    <w:rsid w:val="0E664FCA"/>
    <w:rsid w:val="0F5C7872"/>
    <w:rsid w:val="0F6A2898"/>
    <w:rsid w:val="0F781459"/>
    <w:rsid w:val="0F985657"/>
    <w:rsid w:val="0FA644E8"/>
    <w:rsid w:val="0FAC2EB1"/>
    <w:rsid w:val="0FB24BD6"/>
    <w:rsid w:val="0FE91A0F"/>
    <w:rsid w:val="0FEB3F6C"/>
    <w:rsid w:val="105772C0"/>
    <w:rsid w:val="10973B61"/>
    <w:rsid w:val="11124953"/>
    <w:rsid w:val="111F1AF1"/>
    <w:rsid w:val="114A2981"/>
    <w:rsid w:val="118216AC"/>
    <w:rsid w:val="11AB1672"/>
    <w:rsid w:val="11FC3C7B"/>
    <w:rsid w:val="120C1E5B"/>
    <w:rsid w:val="12140AB9"/>
    <w:rsid w:val="121865DB"/>
    <w:rsid w:val="12703C36"/>
    <w:rsid w:val="12A96885"/>
    <w:rsid w:val="12B74046"/>
    <w:rsid w:val="12BB5704"/>
    <w:rsid w:val="13082AF4"/>
    <w:rsid w:val="134747F7"/>
    <w:rsid w:val="13B660AC"/>
    <w:rsid w:val="144679F0"/>
    <w:rsid w:val="14C22532"/>
    <w:rsid w:val="1517701E"/>
    <w:rsid w:val="15475B55"/>
    <w:rsid w:val="15512530"/>
    <w:rsid w:val="15520056"/>
    <w:rsid w:val="1594066F"/>
    <w:rsid w:val="163A4284"/>
    <w:rsid w:val="16695657"/>
    <w:rsid w:val="167C538B"/>
    <w:rsid w:val="16EB0762"/>
    <w:rsid w:val="171C091C"/>
    <w:rsid w:val="1722468F"/>
    <w:rsid w:val="179B27AF"/>
    <w:rsid w:val="17B648CC"/>
    <w:rsid w:val="17C50FB3"/>
    <w:rsid w:val="17CD41D4"/>
    <w:rsid w:val="17F43647"/>
    <w:rsid w:val="180E64B6"/>
    <w:rsid w:val="1816718F"/>
    <w:rsid w:val="183D3240"/>
    <w:rsid w:val="1844012A"/>
    <w:rsid w:val="185540E5"/>
    <w:rsid w:val="18F77B25"/>
    <w:rsid w:val="19114756"/>
    <w:rsid w:val="192E532F"/>
    <w:rsid w:val="19306900"/>
    <w:rsid w:val="19353F17"/>
    <w:rsid w:val="193A152D"/>
    <w:rsid w:val="19406B43"/>
    <w:rsid w:val="19550115"/>
    <w:rsid w:val="19924EC5"/>
    <w:rsid w:val="19D351B1"/>
    <w:rsid w:val="19E36B84"/>
    <w:rsid w:val="19F31E08"/>
    <w:rsid w:val="1A042F67"/>
    <w:rsid w:val="1A2753D8"/>
    <w:rsid w:val="1A330456"/>
    <w:rsid w:val="1A3D7527"/>
    <w:rsid w:val="1A407E0C"/>
    <w:rsid w:val="1A7673F8"/>
    <w:rsid w:val="1A907657"/>
    <w:rsid w:val="1A9A6727"/>
    <w:rsid w:val="1ABC2B6F"/>
    <w:rsid w:val="1B241AB7"/>
    <w:rsid w:val="1B397CEE"/>
    <w:rsid w:val="1B563176"/>
    <w:rsid w:val="1BA17641"/>
    <w:rsid w:val="1BAF6202"/>
    <w:rsid w:val="1C055E22"/>
    <w:rsid w:val="1C192D9A"/>
    <w:rsid w:val="1C2564C4"/>
    <w:rsid w:val="1C317EDF"/>
    <w:rsid w:val="1C632B49"/>
    <w:rsid w:val="1C662D65"/>
    <w:rsid w:val="1C7B4336"/>
    <w:rsid w:val="1C9D3F7E"/>
    <w:rsid w:val="1CC7757C"/>
    <w:rsid w:val="1CCD02A7"/>
    <w:rsid w:val="1D126A49"/>
    <w:rsid w:val="1D1F2359"/>
    <w:rsid w:val="1D556936"/>
    <w:rsid w:val="1D644DCB"/>
    <w:rsid w:val="1D7575D8"/>
    <w:rsid w:val="1DB16262"/>
    <w:rsid w:val="1DC15D79"/>
    <w:rsid w:val="1E110AAE"/>
    <w:rsid w:val="1E5C5DB1"/>
    <w:rsid w:val="1E8B6985"/>
    <w:rsid w:val="1E8F5E77"/>
    <w:rsid w:val="1EC45B21"/>
    <w:rsid w:val="1EC75611"/>
    <w:rsid w:val="1ED3082D"/>
    <w:rsid w:val="1F3A7811"/>
    <w:rsid w:val="1FBC154B"/>
    <w:rsid w:val="20074CCE"/>
    <w:rsid w:val="20094E09"/>
    <w:rsid w:val="201C7BDE"/>
    <w:rsid w:val="203647FC"/>
    <w:rsid w:val="206155F1"/>
    <w:rsid w:val="20C462AC"/>
    <w:rsid w:val="20E73D48"/>
    <w:rsid w:val="21246D4B"/>
    <w:rsid w:val="21332F90"/>
    <w:rsid w:val="213D1BBA"/>
    <w:rsid w:val="21583244"/>
    <w:rsid w:val="219A0DBB"/>
    <w:rsid w:val="21B027D1"/>
    <w:rsid w:val="21E14C3C"/>
    <w:rsid w:val="21E62252"/>
    <w:rsid w:val="22462CF1"/>
    <w:rsid w:val="22484CBB"/>
    <w:rsid w:val="22B1477A"/>
    <w:rsid w:val="22BB34AA"/>
    <w:rsid w:val="22F4274D"/>
    <w:rsid w:val="231F6524"/>
    <w:rsid w:val="233E779B"/>
    <w:rsid w:val="23575EA4"/>
    <w:rsid w:val="23867849"/>
    <w:rsid w:val="23D15AE5"/>
    <w:rsid w:val="240F7F39"/>
    <w:rsid w:val="24247062"/>
    <w:rsid w:val="24C21A4A"/>
    <w:rsid w:val="24DC4011"/>
    <w:rsid w:val="24E94533"/>
    <w:rsid w:val="25657C54"/>
    <w:rsid w:val="25891872"/>
    <w:rsid w:val="25AC238A"/>
    <w:rsid w:val="25DC4098"/>
    <w:rsid w:val="262E5F76"/>
    <w:rsid w:val="26373E8B"/>
    <w:rsid w:val="263F6BA8"/>
    <w:rsid w:val="26D802DF"/>
    <w:rsid w:val="272C4BAB"/>
    <w:rsid w:val="274917E9"/>
    <w:rsid w:val="2778394C"/>
    <w:rsid w:val="27934C2A"/>
    <w:rsid w:val="279E3272"/>
    <w:rsid w:val="27D112AE"/>
    <w:rsid w:val="282020B8"/>
    <w:rsid w:val="282615FA"/>
    <w:rsid w:val="28397580"/>
    <w:rsid w:val="288A1B89"/>
    <w:rsid w:val="289C18BC"/>
    <w:rsid w:val="289C7B0E"/>
    <w:rsid w:val="28B05368"/>
    <w:rsid w:val="28B60BD0"/>
    <w:rsid w:val="28E514B5"/>
    <w:rsid w:val="28F50014"/>
    <w:rsid w:val="292C2C40"/>
    <w:rsid w:val="295108F9"/>
    <w:rsid w:val="295201CD"/>
    <w:rsid w:val="29616F9E"/>
    <w:rsid w:val="298A3E0B"/>
    <w:rsid w:val="29B5777F"/>
    <w:rsid w:val="29B669AE"/>
    <w:rsid w:val="29F72FB0"/>
    <w:rsid w:val="29F96E19"/>
    <w:rsid w:val="2A8645D2"/>
    <w:rsid w:val="2AB77BA3"/>
    <w:rsid w:val="2B2F07C6"/>
    <w:rsid w:val="2B4324C3"/>
    <w:rsid w:val="2B62397F"/>
    <w:rsid w:val="2B936FA7"/>
    <w:rsid w:val="2B9E76FA"/>
    <w:rsid w:val="2BC96E6C"/>
    <w:rsid w:val="2BDA4BD6"/>
    <w:rsid w:val="2BE27F2E"/>
    <w:rsid w:val="2C01206D"/>
    <w:rsid w:val="2C0C0B07"/>
    <w:rsid w:val="2C11611D"/>
    <w:rsid w:val="2C1A3224"/>
    <w:rsid w:val="2C2108BE"/>
    <w:rsid w:val="2C4350B0"/>
    <w:rsid w:val="2C7C5C8D"/>
    <w:rsid w:val="2C931228"/>
    <w:rsid w:val="2CA451E4"/>
    <w:rsid w:val="2CCE400E"/>
    <w:rsid w:val="2CE53343"/>
    <w:rsid w:val="2CE657FC"/>
    <w:rsid w:val="2D8A0E99"/>
    <w:rsid w:val="2D8F5E37"/>
    <w:rsid w:val="2D940A86"/>
    <w:rsid w:val="2D984D48"/>
    <w:rsid w:val="2DB651CE"/>
    <w:rsid w:val="2DCE2591"/>
    <w:rsid w:val="2E150147"/>
    <w:rsid w:val="2E1E337C"/>
    <w:rsid w:val="2E1F2D74"/>
    <w:rsid w:val="2E50117F"/>
    <w:rsid w:val="2E565999"/>
    <w:rsid w:val="2E5D389C"/>
    <w:rsid w:val="2E76670C"/>
    <w:rsid w:val="2E7F3812"/>
    <w:rsid w:val="2E9940F9"/>
    <w:rsid w:val="2E9C43C4"/>
    <w:rsid w:val="2EC1207D"/>
    <w:rsid w:val="2EE7354C"/>
    <w:rsid w:val="2F5A7DDB"/>
    <w:rsid w:val="2F634EE2"/>
    <w:rsid w:val="2F9822A3"/>
    <w:rsid w:val="2FD14541"/>
    <w:rsid w:val="2FE83639"/>
    <w:rsid w:val="2FF132CF"/>
    <w:rsid w:val="2FFB0EBC"/>
    <w:rsid w:val="30474804"/>
    <w:rsid w:val="30601421"/>
    <w:rsid w:val="3071362F"/>
    <w:rsid w:val="308570DA"/>
    <w:rsid w:val="30A15470"/>
    <w:rsid w:val="30CE6CD3"/>
    <w:rsid w:val="30F93D50"/>
    <w:rsid w:val="30FD4EC2"/>
    <w:rsid w:val="31135645"/>
    <w:rsid w:val="312C3C9C"/>
    <w:rsid w:val="313E1763"/>
    <w:rsid w:val="31413001"/>
    <w:rsid w:val="316D2048"/>
    <w:rsid w:val="31A3127F"/>
    <w:rsid w:val="31D10829"/>
    <w:rsid w:val="31EF7018"/>
    <w:rsid w:val="31F462C5"/>
    <w:rsid w:val="320504D2"/>
    <w:rsid w:val="325F5A23"/>
    <w:rsid w:val="327B0795"/>
    <w:rsid w:val="327D450D"/>
    <w:rsid w:val="32940808"/>
    <w:rsid w:val="32A970B0"/>
    <w:rsid w:val="32C00C39"/>
    <w:rsid w:val="32FF3174"/>
    <w:rsid w:val="33266952"/>
    <w:rsid w:val="3337290D"/>
    <w:rsid w:val="336A2CE3"/>
    <w:rsid w:val="33A31168"/>
    <w:rsid w:val="33B7454C"/>
    <w:rsid w:val="33F56325"/>
    <w:rsid w:val="34153282"/>
    <w:rsid w:val="34CA4544"/>
    <w:rsid w:val="34D80120"/>
    <w:rsid w:val="35020CF9"/>
    <w:rsid w:val="350A44D8"/>
    <w:rsid w:val="35472BB0"/>
    <w:rsid w:val="354B6B44"/>
    <w:rsid w:val="35642908"/>
    <w:rsid w:val="356D0868"/>
    <w:rsid w:val="35831E3A"/>
    <w:rsid w:val="359202CF"/>
    <w:rsid w:val="359A53D6"/>
    <w:rsid w:val="359D0A22"/>
    <w:rsid w:val="35A3428A"/>
    <w:rsid w:val="35A95619"/>
    <w:rsid w:val="3600792F"/>
    <w:rsid w:val="360A1CEC"/>
    <w:rsid w:val="360C62D3"/>
    <w:rsid w:val="366A2FFA"/>
    <w:rsid w:val="368816D2"/>
    <w:rsid w:val="36AF4EB1"/>
    <w:rsid w:val="36DD37CC"/>
    <w:rsid w:val="36E36908"/>
    <w:rsid w:val="37166CDE"/>
    <w:rsid w:val="372413FB"/>
    <w:rsid w:val="37461371"/>
    <w:rsid w:val="3747333B"/>
    <w:rsid w:val="376E5A18"/>
    <w:rsid w:val="37702892"/>
    <w:rsid w:val="379E73FF"/>
    <w:rsid w:val="37AB38CA"/>
    <w:rsid w:val="37B26A07"/>
    <w:rsid w:val="37C52BDE"/>
    <w:rsid w:val="37E42938"/>
    <w:rsid w:val="381F0BD8"/>
    <w:rsid w:val="3824116E"/>
    <w:rsid w:val="38312021"/>
    <w:rsid w:val="383D5F25"/>
    <w:rsid w:val="384358B1"/>
    <w:rsid w:val="384B29B7"/>
    <w:rsid w:val="38DB01DF"/>
    <w:rsid w:val="38E250CA"/>
    <w:rsid w:val="390C0398"/>
    <w:rsid w:val="393F251C"/>
    <w:rsid w:val="3942025E"/>
    <w:rsid w:val="394E275F"/>
    <w:rsid w:val="39AD6DB5"/>
    <w:rsid w:val="39D96894"/>
    <w:rsid w:val="39DF3CFF"/>
    <w:rsid w:val="3A131E50"/>
    <w:rsid w:val="3A3556CD"/>
    <w:rsid w:val="3A726921"/>
    <w:rsid w:val="3AE3337B"/>
    <w:rsid w:val="3AE74C19"/>
    <w:rsid w:val="3B46744C"/>
    <w:rsid w:val="3B5B1163"/>
    <w:rsid w:val="3BC855F1"/>
    <w:rsid w:val="3BD258C9"/>
    <w:rsid w:val="3C265C15"/>
    <w:rsid w:val="3C430575"/>
    <w:rsid w:val="3C7324DC"/>
    <w:rsid w:val="3CA56B3A"/>
    <w:rsid w:val="3CB97C27"/>
    <w:rsid w:val="3D31120F"/>
    <w:rsid w:val="3D672041"/>
    <w:rsid w:val="3DE713D4"/>
    <w:rsid w:val="3E19718E"/>
    <w:rsid w:val="3E442382"/>
    <w:rsid w:val="3E491747"/>
    <w:rsid w:val="3E4962ED"/>
    <w:rsid w:val="3E594080"/>
    <w:rsid w:val="3E5A3954"/>
    <w:rsid w:val="3E5A7DF8"/>
    <w:rsid w:val="3E772758"/>
    <w:rsid w:val="3E9B4698"/>
    <w:rsid w:val="3EA10986"/>
    <w:rsid w:val="3EC75002"/>
    <w:rsid w:val="3F275F2C"/>
    <w:rsid w:val="3FB62E0C"/>
    <w:rsid w:val="3FB97E1F"/>
    <w:rsid w:val="3FC01EDD"/>
    <w:rsid w:val="3FC079FF"/>
    <w:rsid w:val="40776A3F"/>
    <w:rsid w:val="40A71F63"/>
    <w:rsid w:val="40C41559"/>
    <w:rsid w:val="40DE086C"/>
    <w:rsid w:val="41913B31"/>
    <w:rsid w:val="41962EF5"/>
    <w:rsid w:val="41AA2E44"/>
    <w:rsid w:val="41B15F81"/>
    <w:rsid w:val="41CC6917"/>
    <w:rsid w:val="41E83C6B"/>
    <w:rsid w:val="42873E92"/>
    <w:rsid w:val="429531AD"/>
    <w:rsid w:val="42D77C69"/>
    <w:rsid w:val="43095949"/>
    <w:rsid w:val="434C71F8"/>
    <w:rsid w:val="43784FA8"/>
    <w:rsid w:val="43803E5D"/>
    <w:rsid w:val="43916ACB"/>
    <w:rsid w:val="43A36231"/>
    <w:rsid w:val="43B63721"/>
    <w:rsid w:val="43D441A9"/>
    <w:rsid w:val="43EF4B3E"/>
    <w:rsid w:val="43FD54AD"/>
    <w:rsid w:val="441B2C89"/>
    <w:rsid w:val="44BC7116"/>
    <w:rsid w:val="450E7246"/>
    <w:rsid w:val="45352A25"/>
    <w:rsid w:val="454113CA"/>
    <w:rsid w:val="454964D0"/>
    <w:rsid w:val="455F7AA2"/>
    <w:rsid w:val="45666CD5"/>
    <w:rsid w:val="45B222C8"/>
    <w:rsid w:val="45B63B66"/>
    <w:rsid w:val="45D466E2"/>
    <w:rsid w:val="461D1E37"/>
    <w:rsid w:val="467C28B2"/>
    <w:rsid w:val="46C329DE"/>
    <w:rsid w:val="46DD5122"/>
    <w:rsid w:val="47282841"/>
    <w:rsid w:val="47305B9A"/>
    <w:rsid w:val="47431856"/>
    <w:rsid w:val="47460F19"/>
    <w:rsid w:val="475C24EB"/>
    <w:rsid w:val="47AF6ABF"/>
    <w:rsid w:val="47BA7C11"/>
    <w:rsid w:val="47CD5197"/>
    <w:rsid w:val="47E726FC"/>
    <w:rsid w:val="48052B82"/>
    <w:rsid w:val="48111527"/>
    <w:rsid w:val="485B6C46"/>
    <w:rsid w:val="485D651B"/>
    <w:rsid w:val="48B40105"/>
    <w:rsid w:val="48C93BB0"/>
    <w:rsid w:val="48ED6256"/>
    <w:rsid w:val="4941408E"/>
    <w:rsid w:val="49731D6E"/>
    <w:rsid w:val="49A62143"/>
    <w:rsid w:val="49A95790"/>
    <w:rsid w:val="49CD147E"/>
    <w:rsid w:val="49E8450A"/>
    <w:rsid w:val="4A9401EE"/>
    <w:rsid w:val="4AAF6DD6"/>
    <w:rsid w:val="4AB83EDC"/>
    <w:rsid w:val="4B2772B4"/>
    <w:rsid w:val="4B410375"/>
    <w:rsid w:val="4B4734B2"/>
    <w:rsid w:val="4B48478F"/>
    <w:rsid w:val="4C0373D9"/>
    <w:rsid w:val="4C0D0258"/>
    <w:rsid w:val="4C3D6D8F"/>
    <w:rsid w:val="4C3E6663"/>
    <w:rsid w:val="4C757967"/>
    <w:rsid w:val="4C757D7E"/>
    <w:rsid w:val="4CB86415"/>
    <w:rsid w:val="4CBD7ED0"/>
    <w:rsid w:val="4CC34DBA"/>
    <w:rsid w:val="4CE93B9C"/>
    <w:rsid w:val="4CFC09B5"/>
    <w:rsid w:val="4D0B3E71"/>
    <w:rsid w:val="4D0C050F"/>
    <w:rsid w:val="4DDA685F"/>
    <w:rsid w:val="4E27641D"/>
    <w:rsid w:val="4EBB21ED"/>
    <w:rsid w:val="4F0516BA"/>
    <w:rsid w:val="4F0F42E7"/>
    <w:rsid w:val="4F563CC4"/>
    <w:rsid w:val="4F710AFD"/>
    <w:rsid w:val="4F714FA1"/>
    <w:rsid w:val="4F820F5D"/>
    <w:rsid w:val="4FAB1042"/>
    <w:rsid w:val="4FF20A93"/>
    <w:rsid w:val="50025995"/>
    <w:rsid w:val="5006042F"/>
    <w:rsid w:val="50131BB5"/>
    <w:rsid w:val="50373AF5"/>
    <w:rsid w:val="505F6CEB"/>
    <w:rsid w:val="50827466"/>
    <w:rsid w:val="509E1DC6"/>
    <w:rsid w:val="50AA2519"/>
    <w:rsid w:val="50B9275C"/>
    <w:rsid w:val="50C555A5"/>
    <w:rsid w:val="51165E00"/>
    <w:rsid w:val="51291F7F"/>
    <w:rsid w:val="51450494"/>
    <w:rsid w:val="516A7EFA"/>
    <w:rsid w:val="516E79EA"/>
    <w:rsid w:val="51C66E61"/>
    <w:rsid w:val="51F37EF0"/>
    <w:rsid w:val="51FA127E"/>
    <w:rsid w:val="520420FD"/>
    <w:rsid w:val="52224331"/>
    <w:rsid w:val="52287B99"/>
    <w:rsid w:val="527C6137"/>
    <w:rsid w:val="52AC605F"/>
    <w:rsid w:val="52FB3500"/>
    <w:rsid w:val="5318796C"/>
    <w:rsid w:val="53191BD8"/>
    <w:rsid w:val="531E2D4A"/>
    <w:rsid w:val="533D2B81"/>
    <w:rsid w:val="536966BB"/>
    <w:rsid w:val="53B4545D"/>
    <w:rsid w:val="541A3254"/>
    <w:rsid w:val="546926EB"/>
    <w:rsid w:val="5480660F"/>
    <w:rsid w:val="54890697"/>
    <w:rsid w:val="54BE6593"/>
    <w:rsid w:val="54F55D2D"/>
    <w:rsid w:val="55202DAA"/>
    <w:rsid w:val="55284354"/>
    <w:rsid w:val="553D57C0"/>
    <w:rsid w:val="56175C35"/>
    <w:rsid w:val="56302D1E"/>
    <w:rsid w:val="56334D5F"/>
    <w:rsid w:val="564A67EB"/>
    <w:rsid w:val="56535401"/>
    <w:rsid w:val="56762305"/>
    <w:rsid w:val="56B37C4E"/>
    <w:rsid w:val="56F444EE"/>
    <w:rsid w:val="56F810BD"/>
    <w:rsid w:val="57AC4DC9"/>
    <w:rsid w:val="57E75E01"/>
    <w:rsid w:val="580402F6"/>
    <w:rsid w:val="58242BB1"/>
    <w:rsid w:val="58262DCD"/>
    <w:rsid w:val="582A3F3F"/>
    <w:rsid w:val="58953AAF"/>
    <w:rsid w:val="58A3441E"/>
    <w:rsid w:val="58C61EBA"/>
    <w:rsid w:val="59162FD1"/>
    <w:rsid w:val="592219EB"/>
    <w:rsid w:val="592B38E6"/>
    <w:rsid w:val="593C217C"/>
    <w:rsid w:val="593C3C41"/>
    <w:rsid w:val="593E7CA2"/>
    <w:rsid w:val="59831B59"/>
    <w:rsid w:val="5A0233C6"/>
    <w:rsid w:val="5A1153B7"/>
    <w:rsid w:val="5A623E64"/>
    <w:rsid w:val="5A671CDE"/>
    <w:rsid w:val="5A6A2AE0"/>
    <w:rsid w:val="5A81078E"/>
    <w:rsid w:val="5AC16DDD"/>
    <w:rsid w:val="5AC95C92"/>
    <w:rsid w:val="5AED33BD"/>
    <w:rsid w:val="5B2308C0"/>
    <w:rsid w:val="5B3550D5"/>
    <w:rsid w:val="5BD20B76"/>
    <w:rsid w:val="5C1B251D"/>
    <w:rsid w:val="5C5F709D"/>
    <w:rsid w:val="5CAE15E3"/>
    <w:rsid w:val="5CB07109"/>
    <w:rsid w:val="5CCD7CBB"/>
    <w:rsid w:val="5CCF51F0"/>
    <w:rsid w:val="5CE93616"/>
    <w:rsid w:val="5D0B2591"/>
    <w:rsid w:val="5D323FC2"/>
    <w:rsid w:val="5D616655"/>
    <w:rsid w:val="5D704AEA"/>
    <w:rsid w:val="5D8214C6"/>
    <w:rsid w:val="5DAB212C"/>
    <w:rsid w:val="5DB669A1"/>
    <w:rsid w:val="5DFE3EA4"/>
    <w:rsid w:val="5E0805D6"/>
    <w:rsid w:val="5E104167"/>
    <w:rsid w:val="5E3653EC"/>
    <w:rsid w:val="5E4C4C10"/>
    <w:rsid w:val="5E850121"/>
    <w:rsid w:val="5E86789D"/>
    <w:rsid w:val="5EA22A81"/>
    <w:rsid w:val="5ED75D25"/>
    <w:rsid w:val="5F661D01"/>
    <w:rsid w:val="5F762CE0"/>
    <w:rsid w:val="5F781A34"/>
    <w:rsid w:val="5F8605F5"/>
    <w:rsid w:val="5F8B5C0B"/>
    <w:rsid w:val="5F9C5723"/>
    <w:rsid w:val="5FA32F55"/>
    <w:rsid w:val="5FA42829"/>
    <w:rsid w:val="5FFB68ED"/>
    <w:rsid w:val="6042276E"/>
    <w:rsid w:val="604A3732"/>
    <w:rsid w:val="609F196E"/>
    <w:rsid w:val="60D94755"/>
    <w:rsid w:val="6105554A"/>
    <w:rsid w:val="61A44D62"/>
    <w:rsid w:val="61AE798F"/>
    <w:rsid w:val="61BA6334"/>
    <w:rsid w:val="61C96577"/>
    <w:rsid w:val="62237EC2"/>
    <w:rsid w:val="62522A10"/>
    <w:rsid w:val="6256027A"/>
    <w:rsid w:val="628E1C9B"/>
    <w:rsid w:val="62A3501A"/>
    <w:rsid w:val="62AA476A"/>
    <w:rsid w:val="62C31A1B"/>
    <w:rsid w:val="62E278F0"/>
    <w:rsid w:val="62FE04A2"/>
    <w:rsid w:val="640B10C9"/>
    <w:rsid w:val="64506037"/>
    <w:rsid w:val="646A4041"/>
    <w:rsid w:val="6477050C"/>
    <w:rsid w:val="64966BE4"/>
    <w:rsid w:val="649D4417"/>
    <w:rsid w:val="64A37553"/>
    <w:rsid w:val="64DB5214"/>
    <w:rsid w:val="64FD6C64"/>
    <w:rsid w:val="652F6E0E"/>
    <w:rsid w:val="65562818"/>
    <w:rsid w:val="65622518"/>
    <w:rsid w:val="6578278E"/>
    <w:rsid w:val="65D218E8"/>
    <w:rsid w:val="65F242EE"/>
    <w:rsid w:val="65F55B8D"/>
    <w:rsid w:val="65FA13F5"/>
    <w:rsid w:val="661C136B"/>
    <w:rsid w:val="662A5F15"/>
    <w:rsid w:val="666176C6"/>
    <w:rsid w:val="6666618F"/>
    <w:rsid w:val="667411A7"/>
    <w:rsid w:val="668531CE"/>
    <w:rsid w:val="66AC6B93"/>
    <w:rsid w:val="66BA6ED5"/>
    <w:rsid w:val="66BC48FC"/>
    <w:rsid w:val="66C57C55"/>
    <w:rsid w:val="66F916AD"/>
    <w:rsid w:val="670E33AA"/>
    <w:rsid w:val="671309C0"/>
    <w:rsid w:val="6716225F"/>
    <w:rsid w:val="67254250"/>
    <w:rsid w:val="673646AF"/>
    <w:rsid w:val="675D1C3B"/>
    <w:rsid w:val="67A535E2"/>
    <w:rsid w:val="67B52DF3"/>
    <w:rsid w:val="67D57A24"/>
    <w:rsid w:val="680622D3"/>
    <w:rsid w:val="681E586F"/>
    <w:rsid w:val="68291781"/>
    <w:rsid w:val="68653DB6"/>
    <w:rsid w:val="68680898"/>
    <w:rsid w:val="686D4100"/>
    <w:rsid w:val="687C07E7"/>
    <w:rsid w:val="68CA77A4"/>
    <w:rsid w:val="68DC4DE2"/>
    <w:rsid w:val="698711F2"/>
    <w:rsid w:val="69D00DEB"/>
    <w:rsid w:val="69D106BF"/>
    <w:rsid w:val="6A047711"/>
    <w:rsid w:val="6A1150CD"/>
    <w:rsid w:val="6A786D8C"/>
    <w:rsid w:val="6B0F569E"/>
    <w:rsid w:val="6B225676"/>
    <w:rsid w:val="6B2F38EF"/>
    <w:rsid w:val="6B3610CD"/>
    <w:rsid w:val="6B39651C"/>
    <w:rsid w:val="6BA22313"/>
    <w:rsid w:val="6BC06C3D"/>
    <w:rsid w:val="6BE26BB3"/>
    <w:rsid w:val="6C0703C8"/>
    <w:rsid w:val="6C0C7CDD"/>
    <w:rsid w:val="6C1E6480"/>
    <w:rsid w:val="6C2E0EFD"/>
    <w:rsid w:val="6C2E1DF8"/>
    <w:rsid w:val="6CCA7D73"/>
    <w:rsid w:val="6CDC7AA6"/>
    <w:rsid w:val="6CEF1588"/>
    <w:rsid w:val="6D4F64CA"/>
    <w:rsid w:val="6D512242"/>
    <w:rsid w:val="6D5A03DE"/>
    <w:rsid w:val="6D714693"/>
    <w:rsid w:val="6D920165"/>
    <w:rsid w:val="6DE17F47"/>
    <w:rsid w:val="6DE4438C"/>
    <w:rsid w:val="6E0A419F"/>
    <w:rsid w:val="6E290AC9"/>
    <w:rsid w:val="6E6639AE"/>
    <w:rsid w:val="6E663B0E"/>
    <w:rsid w:val="6EB9177E"/>
    <w:rsid w:val="6F487CDD"/>
    <w:rsid w:val="6F567F7E"/>
    <w:rsid w:val="6F811819"/>
    <w:rsid w:val="6F8D32DA"/>
    <w:rsid w:val="6FEA4288"/>
    <w:rsid w:val="6FFF5F13"/>
    <w:rsid w:val="7013369C"/>
    <w:rsid w:val="702966B0"/>
    <w:rsid w:val="704C0A9F"/>
    <w:rsid w:val="70514307"/>
    <w:rsid w:val="70787AE6"/>
    <w:rsid w:val="70840239"/>
    <w:rsid w:val="70A21A7B"/>
    <w:rsid w:val="70BC5C25"/>
    <w:rsid w:val="70D24001"/>
    <w:rsid w:val="71145A61"/>
    <w:rsid w:val="7121017E"/>
    <w:rsid w:val="7128150C"/>
    <w:rsid w:val="71397275"/>
    <w:rsid w:val="714300F4"/>
    <w:rsid w:val="716F0EE9"/>
    <w:rsid w:val="71AC3EEB"/>
    <w:rsid w:val="72273572"/>
    <w:rsid w:val="72480BA0"/>
    <w:rsid w:val="72676064"/>
    <w:rsid w:val="727B566C"/>
    <w:rsid w:val="72EC6569"/>
    <w:rsid w:val="72F13B80"/>
    <w:rsid w:val="73090EC9"/>
    <w:rsid w:val="732B3CF3"/>
    <w:rsid w:val="73357F10"/>
    <w:rsid w:val="735E7467"/>
    <w:rsid w:val="737D3686"/>
    <w:rsid w:val="739F35DC"/>
    <w:rsid w:val="73B76B77"/>
    <w:rsid w:val="73C03C7E"/>
    <w:rsid w:val="73DE3DAD"/>
    <w:rsid w:val="74237D69"/>
    <w:rsid w:val="74343D24"/>
    <w:rsid w:val="744568C7"/>
    <w:rsid w:val="744C3764"/>
    <w:rsid w:val="745D23B9"/>
    <w:rsid w:val="747B7BA5"/>
    <w:rsid w:val="7480340D"/>
    <w:rsid w:val="74954CD8"/>
    <w:rsid w:val="74C82B09"/>
    <w:rsid w:val="74CE4179"/>
    <w:rsid w:val="75157FF9"/>
    <w:rsid w:val="754352B2"/>
    <w:rsid w:val="75436915"/>
    <w:rsid w:val="754461E9"/>
    <w:rsid w:val="757A1C0A"/>
    <w:rsid w:val="757B6DFF"/>
    <w:rsid w:val="75A61DBB"/>
    <w:rsid w:val="75AD3D8E"/>
    <w:rsid w:val="75CA033B"/>
    <w:rsid w:val="75DC28C5"/>
    <w:rsid w:val="76120095"/>
    <w:rsid w:val="762D4ECF"/>
    <w:rsid w:val="769136B0"/>
    <w:rsid w:val="76CD220E"/>
    <w:rsid w:val="76D27BEF"/>
    <w:rsid w:val="77150947"/>
    <w:rsid w:val="771D6E84"/>
    <w:rsid w:val="7746449A"/>
    <w:rsid w:val="778154D2"/>
    <w:rsid w:val="77904DB5"/>
    <w:rsid w:val="77A17922"/>
    <w:rsid w:val="77B92EBE"/>
    <w:rsid w:val="77CA50CB"/>
    <w:rsid w:val="786372CE"/>
    <w:rsid w:val="78862FB0"/>
    <w:rsid w:val="78910929"/>
    <w:rsid w:val="78A82EFF"/>
    <w:rsid w:val="78BD078C"/>
    <w:rsid w:val="78BE4504"/>
    <w:rsid w:val="78DA2614"/>
    <w:rsid w:val="78FD4950"/>
    <w:rsid w:val="7983686A"/>
    <w:rsid w:val="799365D5"/>
    <w:rsid w:val="799F27C1"/>
    <w:rsid w:val="79CC5057"/>
    <w:rsid w:val="7A0643B5"/>
    <w:rsid w:val="7A1268B5"/>
    <w:rsid w:val="7A460C55"/>
    <w:rsid w:val="7A777060"/>
    <w:rsid w:val="7B271E4E"/>
    <w:rsid w:val="7B2C39A7"/>
    <w:rsid w:val="7B30793B"/>
    <w:rsid w:val="7B522387"/>
    <w:rsid w:val="7B7D4202"/>
    <w:rsid w:val="7BD007D6"/>
    <w:rsid w:val="7C045812"/>
    <w:rsid w:val="7C0A7652"/>
    <w:rsid w:val="7C0C3FBA"/>
    <w:rsid w:val="7C6D4277"/>
    <w:rsid w:val="7C943EFA"/>
    <w:rsid w:val="7C9C2DAE"/>
    <w:rsid w:val="7CCB71F0"/>
    <w:rsid w:val="7D0F532E"/>
    <w:rsid w:val="7D124E1E"/>
    <w:rsid w:val="7D2019F3"/>
    <w:rsid w:val="7D2D1C58"/>
    <w:rsid w:val="7D384885"/>
    <w:rsid w:val="7D4776B6"/>
    <w:rsid w:val="7D961A86"/>
    <w:rsid w:val="7DAE0FEB"/>
    <w:rsid w:val="7DD02D0F"/>
    <w:rsid w:val="7E1C41A7"/>
    <w:rsid w:val="7E2E3EDA"/>
    <w:rsid w:val="7E4D25B2"/>
    <w:rsid w:val="7E7713DD"/>
    <w:rsid w:val="7E7A711F"/>
    <w:rsid w:val="7E97382D"/>
    <w:rsid w:val="7E9C7095"/>
    <w:rsid w:val="7ED625A7"/>
    <w:rsid w:val="7F030EC3"/>
    <w:rsid w:val="7F4339B5"/>
    <w:rsid w:val="7F47219E"/>
    <w:rsid w:val="7F58120E"/>
    <w:rsid w:val="7F610BA1"/>
    <w:rsid w:val="7F755AA9"/>
    <w:rsid w:val="7F7B4EFD"/>
    <w:rsid w:val="7FA31D45"/>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340" w:after="50" w:line="576" w:lineRule="auto"/>
      <w:jc w:val="center"/>
      <w:outlineLvl w:val="0"/>
    </w:pPr>
    <w:rPr>
      <w:b/>
      <w:kern w:val="44"/>
      <w:sz w:val="30"/>
    </w:rPr>
  </w:style>
  <w:style w:type="paragraph" w:styleId="3">
    <w:name w:val="heading 2"/>
    <w:basedOn w:val="1"/>
    <w:link w:val="24"/>
    <w:qFormat/>
    <w:uiPriority w:val="0"/>
    <w:pPr>
      <w:spacing w:line="360" w:lineRule="auto"/>
      <w:ind w:firstLine="320" w:firstLineChars="100"/>
      <w:jc w:val="center"/>
      <w:textAlignment w:val="bottom"/>
      <w:outlineLvl w:val="1"/>
    </w:pPr>
    <w:rPr>
      <w:b/>
      <w:color w:val="000000"/>
      <w:sz w:val="28"/>
      <w:szCs w:val="32"/>
    </w:rPr>
  </w:style>
  <w:style w:type="paragraph" w:styleId="4">
    <w:name w:val="heading 3"/>
    <w:basedOn w:val="1"/>
    <w:link w:val="25"/>
    <w:qFormat/>
    <w:uiPriority w:val="0"/>
    <w:pPr>
      <w:spacing w:before="104" w:after="104" w:line="365" w:lineRule="atLeast"/>
      <w:ind w:left="1"/>
      <w:textAlignment w:val="bottom"/>
      <w:outlineLvl w:val="2"/>
    </w:pPr>
    <w:rPr>
      <w:rFonts w:eastAsia="黑体"/>
      <w:kern w:val="0"/>
      <w:sz w:val="24"/>
      <w:szCs w:val="20"/>
    </w:rPr>
  </w:style>
  <w:style w:type="paragraph" w:styleId="5">
    <w:name w:val="heading 4"/>
    <w:basedOn w:val="1"/>
    <w:next w:val="1"/>
    <w:link w:val="26"/>
    <w:qFormat/>
    <w:uiPriority w:val="0"/>
    <w:pPr>
      <w:keepNext/>
      <w:keepLines/>
      <w:spacing w:line="360" w:lineRule="auto"/>
      <w:jc w:val="center"/>
      <w:outlineLvl w:val="3"/>
    </w:pPr>
    <w:rPr>
      <w:rFonts w:eastAsia="黑体"/>
      <w:kern w:val="0"/>
      <w:szCs w:val="20"/>
    </w:rPr>
  </w:style>
  <w:style w:type="paragraph" w:styleId="6">
    <w:name w:val="heading 5"/>
    <w:basedOn w:val="1"/>
    <w:next w:val="1"/>
    <w:qFormat/>
    <w:uiPriority w:val="0"/>
    <w:pPr>
      <w:keepNext/>
      <w:spacing w:line="360" w:lineRule="auto"/>
      <w:ind w:left="120" w:leftChars="50"/>
      <w:jc w:val="center"/>
      <w:outlineLvl w:val="4"/>
    </w:pPr>
  </w:style>
  <w:style w:type="character" w:default="1" w:styleId="20">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7"/>
    <w:unhideWhenUsed/>
    <w:qFormat/>
    <w:uiPriority w:val="99"/>
    <w:pPr>
      <w:jc w:val="left"/>
    </w:pPr>
  </w:style>
  <w:style w:type="paragraph" w:styleId="8">
    <w:name w:val="Body Text"/>
    <w:basedOn w:val="1"/>
    <w:link w:val="28"/>
    <w:qFormat/>
    <w:uiPriority w:val="1"/>
    <w:rPr>
      <w:kern w:val="0"/>
      <w:sz w:val="24"/>
      <w:szCs w:val="24"/>
    </w:rPr>
  </w:style>
  <w:style w:type="paragraph" w:styleId="9">
    <w:name w:val="Plain Text"/>
    <w:basedOn w:val="1"/>
    <w:qFormat/>
    <w:uiPriority w:val="0"/>
    <w:rPr>
      <w:rFonts w:ascii="宋体" w:hAnsi="Courier New"/>
      <w:szCs w:val="20"/>
    </w:rPr>
  </w:style>
  <w:style w:type="paragraph" w:styleId="10">
    <w:name w:val="Date"/>
    <w:basedOn w:val="1"/>
    <w:next w:val="1"/>
    <w:link w:val="29"/>
    <w:qFormat/>
    <w:uiPriority w:val="0"/>
    <w:pPr>
      <w:ind w:left="100" w:leftChars="2500"/>
    </w:pPr>
  </w:style>
  <w:style w:type="paragraph" w:styleId="11">
    <w:name w:val="footer"/>
    <w:basedOn w:val="1"/>
    <w:link w:val="30"/>
    <w:unhideWhenUsed/>
    <w:qFormat/>
    <w:uiPriority w:val="99"/>
    <w:pPr>
      <w:tabs>
        <w:tab w:val="center" w:pos="4153"/>
        <w:tab w:val="right" w:pos="8306"/>
      </w:tabs>
      <w:snapToGrid w:val="0"/>
      <w:jc w:val="left"/>
    </w:pPr>
    <w:rPr>
      <w:sz w:val="18"/>
      <w:szCs w:val="18"/>
    </w:rPr>
  </w:style>
  <w:style w:type="paragraph" w:styleId="12">
    <w:name w:val="header"/>
    <w:basedOn w:val="1"/>
    <w:link w:val="3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unhideWhenUsed/>
    <w:qFormat/>
    <w:uiPriority w:val="39"/>
    <w:pPr>
      <w:tabs>
        <w:tab w:val="right" w:leader="middleDot" w:pos="8306"/>
      </w:tabs>
      <w:spacing w:line="360" w:lineRule="auto"/>
    </w:pPr>
  </w:style>
  <w:style w:type="paragraph" w:styleId="14">
    <w:name w:val="toc 2"/>
    <w:basedOn w:val="1"/>
    <w:next w:val="1"/>
    <w:unhideWhenUsed/>
    <w:qFormat/>
    <w:uiPriority w:val="39"/>
    <w:pPr>
      <w:tabs>
        <w:tab w:val="right" w:leader="middleDot" w:pos="8306"/>
      </w:tabs>
      <w:spacing w:line="360" w:lineRule="auto"/>
      <w:ind w:firstLine="420" w:firstLineChars="200"/>
    </w:pPr>
  </w:style>
  <w:style w:type="paragraph" w:styleId="15">
    <w:name w:val="HTML Preformatted"/>
    <w:basedOn w:val="1"/>
    <w:link w:val="3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MS Gothic" w:hAnsi="MS Gothic" w:eastAsia="MS Gothic"/>
      <w:kern w:val="0"/>
      <w:sz w:val="24"/>
      <w:szCs w:val="24"/>
      <w:lang w:eastAsia="ja-JP"/>
    </w:rPr>
  </w:style>
  <w:style w:type="paragraph" w:styleId="16">
    <w:name w:val="annotation subject"/>
    <w:basedOn w:val="7"/>
    <w:next w:val="7"/>
    <w:link w:val="32"/>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Theme"/>
    <w:basedOn w:val="17"/>
    <w:qFormat/>
    <w:uiPriority w:val="0"/>
    <w:pPr>
      <w:widowControl w:val="0"/>
      <w:spacing w:line="36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unhideWhenUsed/>
    <w:qFormat/>
    <w:uiPriority w:val="99"/>
    <w:rPr>
      <w:color w:val="0026E5"/>
      <w:u w:val="single"/>
    </w:rPr>
  </w:style>
  <w:style w:type="character" w:styleId="23">
    <w:name w:val="annotation reference"/>
    <w:unhideWhenUsed/>
    <w:qFormat/>
    <w:uiPriority w:val="99"/>
    <w:rPr>
      <w:sz w:val="21"/>
      <w:szCs w:val="21"/>
    </w:rPr>
  </w:style>
  <w:style w:type="character" w:customStyle="1" w:styleId="24">
    <w:name w:val="标题 2 字符"/>
    <w:link w:val="3"/>
    <w:qFormat/>
    <w:uiPriority w:val="0"/>
    <w:rPr>
      <w:b/>
      <w:color w:val="000000"/>
      <w:kern w:val="2"/>
      <w:sz w:val="28"/>
      <w:szCs w:val="32"/>
    </w:rPr>
  </w:style>
  <w:style w:type="character" w:customStyle="1" w:styleId="25">
    <w:name w:val="标题 3 字符"/>
    <w:link w:val="4"/>
    <w:qFormat/>
    <w:uiPriority w:val="0"/>
    <w:rPr>
      <w:rFonts w:ascii="Times New Roman" w:hAnsi="Times New Roman" w:eastAsia="黑体" w:cs="黑体"/>
      <w:kern w:val="0"/>
      <w:sz w:val="24"/>
      <w:szCs w:val="20"/>
    </w:rPr>
  </w:style>
  <w:style w:type="character" w:customStyle="1" w:styleId="26">
    <w:name w:val="标题 4 字符"/>
    <w:link w:val="5"/>
    <w:qFormat/>
    <w:uiPriority w:val="0"/>
    <w:rPr>
      <w:rFonts w:eastAsia="黑体"/>
      <w:sz w:val="21"/>
    </w:rPr>
  </w:style>
  <w:style w:type="character" w:customStyle="1" w:styleId="27">
    <w:name w:val="批注文字 字符"/>
    <w:link w:val="7"/>
    <w:qFormat/>
    <w:uiPriority w:val="99"/>
    <w:rPr>
      <w:kern w:val="2"/>
      <w:sz w:val="21"/>
      <w:szCs w:val="22"/>
    </w:rPr>
  </w:style>
  <w:style w:type="character" w:customStyle="1" w:styleId="28">
    <w:name w:val="正文文本 字符"/>
    <w:link w:val="8"/>
    <w:qFormat/>
    <w:uiPriority w:val="1"/>
    <w:rPr>
      <w:rFonts w:ascii="Times New Roman" w:hAnsi="Times New Roman" w:eastAsia="宋体" w:cs="Times New Roman"/>
      <w:sz w:val="24"/>
      <w:szCs w:val="24"/>
      <w:lang w:val="en-US" w:eastAsia="zh-CN" w:bidi="ar-SA"/>
    </w:rPr>
  </w:style>
  <w:style w:type="character" w:customStyle="1" w:styleId="29">
    <w:name w:val="日期 字符"/>
    <w:link w:val="10"/>
    <w:qFormat/>
    <w:uiPriority w:val="0"/>
    <w:rPr>
      <w:kern w:val="2"/>
      <w:sz w:val="21"/>
      <w:szCs w:val="22"/>
    </w:rPr>
  </w:style>
  <w:style w:type="character" w:customStyle="1" w:styleId="30">
    <w:name w:val="页脚 字符"/>
    <w:link w:val="11"/>
    <w:qFormat/>
    <w:uiPriority w:val="99"/>
    <w:rPr>
      <w:kern w:val="2"/>
      <w:sz w:val="18"/>
      <w:szCs w:val="18"/>
    </w:rPr>
  </w:style>
  <w:style w:type="character" w:customStyle="1" w:styleId="31">
    <w:name w:val="HTML 预设格式 字符"/>
    <w:link w:val="15"/>
    <w:qFormat/>
    <w:uiPriority w:val="99"/>
    <w:rPr>
      <w:rFonts w:ascii="MS Gothic" w:hAnsi="MS Gothic" w:eastAsia="MS Gothic" w:cs="MS Gothic"/>
      <w:sz w:val="24"/>
      <w:szCs w:val="24"/>
      <w:lang w:eastAsia="ja-JP"/>
    </w:rPr>
  </w:style>
  <w:style w:type="character" w:customStyle="1" w:styleId="32">
    <w:name w:val="批注主题 字符"/>
    <w:link w:val="16"/>
    <w:qFormat/>
    <w:uiPriority w:val="0"/>
    <w:rPr>
      <w:b/>
      <w:bCs/>
      <w:kern w:val="2"/>
      <w:sz w:val="21"/>
      <w:szCs w:val="22"/>
    </w:rPr>
  </w:style>
  <w:style w:type="paragraph" w:customStyle="1" w:styleId="33">
    <w:name w:val="TOC 标题1"/>
    <w:basedOn w:val="2"/>
    <w:next w:val="1"/>
    <w:unhideWhenUsed/>
    <w:qFormat/>
    <w:uiPriority w:val="39"/>
    <w:pPr>
      <w:widowControl/>
      <w:spacing w:before="240" w:line="259" w:lineRule="auto"/>
      <w:jc w:val="left"/>
      <w:outlineLvl w:val="9"/>
    </w:pPr>
    <w:rPr>
      <w:rFonts w:ascii="Calibri Light" w:hAnsi="Calibri Light"/>
      <w:b w:val="0"/>
      <w:color w:val="2D54A0"/>
      <w:kern w:val="0"/>
      <w:sz w:val="32"/>
      <w:szCs w:val="32"/>
    </w:rPr>
  </w:style>
  <w:style w:type="character" w:customStyle="1" w:styleId="34">
    <w:name w:val="HTML 预设格式 字符1"/>
    <w:qFormat/>
    <w:uiPriority w:val="0"/>
    <w:rPr>
      <w:rFonts w:ascii="Courier New" w:hAnsi="Courier New" w:cs="Courier New"/>
      <w:kern w:val="2"/>
    </w:rPr>
  </w:style>
  <w:style w:type="paragraph" w:customStyle="1" w:styleId="35">
    <w:name w:val="Table Text"/>
    <w:basedOn w:val="1"/>
    <w:semiHidden/>
    <w:qFormat/>
    <w:uiPriority w:val="0"/>
    <w:rPr>
      <w:rFonts w:ascii="宋体" w:hAnsi="宋体" w:cs="宋体"/>
      <w:sz w:val="30"/>
      <w:szCs w:val="30"/>
      <w:lang w:eastAsia="en-US"/>
    </w:rPr>
  </w:style>
  <w:style w:type="table" w:customStyle="1" w:styleId="36">
    <w:name w:val="Table Normal"/>
    <w:unhideWhenUsed/>
    <w:qFormat/>
    <w:uiPriority w:val="0"/>
    <w:tblPr>
      <w:tblCellMar>
        <w:top w:w="0" w:type="dxa"/>
        <w:left w:w="0" w:type="dxa"/>
        <w:bottom w:w="0" w:type="dxa"/>
        <w:right w:w="0" w:type="dxa"/>
      </w:tblCellMar>
    </w:tblPr>
  </w:style>
  <w:style w:type="character" w:customStyle="1" w:styleId="37">
    <w:name w:val="页眉 字符"/>
    <w:link w:val="12"/>
    <w:qFormat/>
    <w:uiPriority w:val="0"/>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31.wmf"/><Relationship Id="rId98" Type="http://schemas.openxmlformats.org/officeDocument/2006/relationships/oleObject" Target="embeddings/oleObject35.bin"/><Relationship Id="rId97" Type="http://schemas.openxmlformats.org/officeDocument/2006/relationships/image" Target="media/image30.wmf"/><Relationship Id="rId96" Type="http://schemas.openxmlformats.org/officeDocument/2006/relationships/oleObject" Target="embeddings/oleObject34.bin"/><Relationship Id="rId95" Type="http://schemas.openxmlformats.org/officeDocument/2006/relationships/image" Target="media/image29.wmf"/><Relationship Id="rId94" Type="http://schemas.openxmlformats.org/officeDocument/2006/relationships/oleObject" Target="embeddings/oleObject33.bin"/><Relationship Id="rId93" Type="http://schemas.openxmlformats.org/officeDocument/2006/relationships/image" Target="media/image28.wmf"/><Relationship Id="rId92" Type="http://schemas.openxmlformats.org/officeDocument/2006/relationships/oleObject" Target="embeddings/oleObject32.bin"/><Relationship Id="rId91" Type="http://schemas.openxmlformats.org/officeDocument/2006/relationships/image" Target="media/image27.wmf"/><Relationship Id="rId90" Type="http://schemas.openxmlformats.org/officeDocument/2006/relationships/image" Target="media/image26.wmf"/><Relationship Id="rId9" Type="http://schemas.openxmlformats.org/officeDocument/2006/relationships/footer" Target="footer4.xml"/><Relationship Id="rId89" Type="http://schemas.openxmlformats.org/officeDocument/2006/relationships/image" Target="media/image25.wmf"/><Relationship Id="rId88" Type="http://schemas.openxmlformats.org/officeDocument/2006/relationships/oleObject" Target="embeddings/oleObject31.bin"/><Relationship Id="rId87" Type="http://schemas.openxmlformats.org/officeDocument/2006/relationships/image" Target="media/image24.wmf"/><Relationship Id="rId86" Type="http://schemas.openxmlformats.org/officeDocument/2006/relationships/oleObject" Target="embeddings/oleObject30.bin"/><Relationship Id="rId85" Type="http://schemas.openxmlformats.org/officeDocument/2006/relationships/image" Target="media/image23.wmf"/><Relationship Id="rId84" Type="http://schemas.openxmlformats.org/officeDocument/2006/relationships/oleObject" Target="embeddings/oleObject29.bin"/><Relationship Id="rId83" Type="http://schemas.openxmlformats.org/officeDocument/2006/relationships/image" Target="media/image22.wmf"/><Relationship Id="rId82" Type="http://schemas.openxmlformats.org/officeDocument/2006/relationships/oleObject" Target="embeddings/oleObject28.bin"/><Relationship Id="rId81" Type="http://schemas.openxmlformats.org/officeDocument/2006/relationships/image" Target="media/image21.png"/><Relationship Id="rId80" Type="http://schemas.openxmlformats.org/officeDocument/2006/relationships/image" Target="media/image20.png"/><Relationship Id="rId8" Type="http://schemas.openxmlformats.org/officeDocument/2006/relationships/footer" Target="footer3.xml"/><Relationship Id="rId79" Type="http://schemas.openxmlformats.org/officeDocument/2006/relationships/image" Target="media/image19.png"/><Relationship Id="rId78" Type="http://schemas.openxmlformats.org/officeDocument/2006/relationships/image" Target="media/image18.wmf"/><Relationship Id="rId77" Type="http://schemas.openxmlformats.org/officeDocument/2006/relationships/oleObject" Target="embeddings/oleObject27.bin"/><Relationship Id="rId76" Type="http://schemas.openxmlformats.org/officeDocument/2006/relationships/image" Target="media/image17.wmf"/><Relationship Id="rId75" Type="http://schemas.openxmlformats.org/officeDocument/2006/relationships/oleObject" Target="embeddings/oleObject26.bin"/><Relationship Id="rId74" Type="http://schemas.openxmlformats.org/officeDocument/2006/relationships/image" Target="media/image16.wmf"/><Relationship Id="rId73" Type="http://schemas.openxmlformats.org/officeDocument/2006/relationships/oleObject" Target="embeddings/oleObject25.bin"/><Relationship Id="rId72" Type="http://schemas.openxmlformats.org/officeDocument/2006/relationships/oleObject" Target="embeddings/oleObject24.bin"/><Relationship Id="rId71" Type="http://schemas.openxmlformats.org/officeDocument/2006/relationships/image" Target="media/image15.wmf"/><Relationship Id="rId70" Type="http://schemas.openxmlformats.org/officeDocument/2006/relationships/oleObject" Target="embeddings/oleObject23.bin"/><Relationship Id="rId7" Type="http://schemas.openxmlformats.org/officeDocument/2006/relationships/footer" Target="footer2.xml"/><Relationship Id="rId69" Type="http://schemas.openxmlformats.org/officeDocument/2006/relationships/oleObject" Target="embeddings/oleObject22.bin"/><Relationship Id="rId68" Type="http://schemas.openxmlformats.org/officeDocument/2006/relationships/image" Target="media/image14.wmf"/><Relationship Id="rId67" Type="http://schemas.openxmlformats.org/officeDocument/2006/relationships/oleObject" Target="embeddings/oleObject21.bin"/><Relationship Id="rId66" Type="http://schemas.openxmlformats.org/officeDocument/2006/relationships/image" Target="media/image13.png"/><Relationship Id="rId65" Type="http://schemas.openxmlformats.org/officeDocument/2006/relationships/image" Target="media/image12.png"/><Relationship Id="rId64" Type="http://schemas.openxmlformats.org/officeDocument/2006/relationships/oleObject" Target="embeddings/oleObject20.bin"/><Relationship Id="rId63" Type="http://schemas.openxmlformats.org/officeDocument/2006/relationships/oleObject" Target="embeddings/oleObject19.bin"/><Relationship Id="rId62" Type="http://schemas.openxmlformats.org/officeDocument/2006/relationships/oleObject" Target="embeddings/oleObject18.bin"/><Relationship Id="rId61" Type="http://schemas.openxmlformats.org/officeDocument/2006/relationships/oleObject" Target="embeddings/oleObject17.bin"/><Relationship Id="rId60" Type="http://schemas.openxmlformats.org/officeDocument/2006/relationships/oleObject" Target="embeddings/oleObject16.bin"/><Relationship Id="rId6" Type="http://schemas.openxmlformats.org/officeDocument/2006/relationships/footer" Target="footer1.xml"/><Relationship Id="rId59" Type="http://schemas.openxmlformats.org/officeDocument/2006/relationships/oleObject" Target="embeddings/oleObject15.bin"/><Relationship Id="rId58" Type="http://schemas.openxmlformats.org/officeDocument/2006/relationships/image" Target="media/image11.wmf"/><Relationship Id="rId57" Type="http://schemas.openxmlformats.org/officeDocument/2006/relationships/oleObject" Target="embeddings/oleObject14.bin"/><Relationship Id="rId56" Type="http://schemas.openxmlformats.org/officeDocument/2006/relationships/image" Target="media/image10.wmf"/><Relationship Id="rId55" Type="http://schemas.openxmlformats.org/officeDocument/2006/relationships/oleObject" Target="embeddings/oleObject13.bin"/><Relationship Id="rId54" Type="http://schemas.openxmlformats.org/officeDocument/2006/relationships/oleObject" Target="embeddings/oleObject12.bin"/><Relationship Id="rId53" Type="http://schemas.openxmlformats.org/officeDocument/2006/relationships/oleObject" Target="embeddings/oleObject11.bin"/><Relationship Id="rId52" Type="http://schemas.openxmlformats.org/officeDocument/2006/relationships/oleObject" Target="embeddings/oleObject10.bin"/><Relationship Id="rId51" Type="http://schemas.openxmlformats.org/officeDocument/2006/relationships/oleObject" Target="embeddings/oleObject9.bin"/><Relationship Id="rId50" Type="http://schemas.openxmlformats.org/officeDocument/2006/relationships/image" Target="media/image9.wmf"/><Relationship Id="rId5" Type="http://schemas.openxmlformats.org/officeDocument/2006/relationships/header" Target="header1.xml"/><Relationship Id="rId49" Type="http://schemas.openxmlformats.org/officeDocument/2006/relationships/oleObject" Target="embeddings/oleObject8.bin"/><Relationship Id="rId48" Type="http://schemas.openxmlformats.org/officeDocument/2006/relationships/image" Target="media/image8.wmf"/><Relationship Id="rId47" Type="http://schemas.openxmlformats.org/officeDocument/2006/relationships/oleObject" Target="embeddings/oleObject7.bin"/><Relationship Id="rId46" Type="http://schemas.openxmlformats.org/officeDocument/2006/relationships/image" Target="media/image7.wmf"/><Relationship Id="rId45" Type="http://schemas.openxmlformats.org/officeDocument/2006/relationships/oleObject" Target="embeddings/oleObject6.bin"/><Relationship Id="rId44" Type="http://schemas.openxmlformats.org/officeDocument/2006/relationships/image" Target="media/image6.wmf"/><Relationship Id="rId43" Type="http://schemas.openxmlformats.org/officeDocument/2006/relationships/oleObject" Target="embeddings/oleObject5.bin"/><Relationship Id="rId42" Type="http://schemas.openxmlformats.org/officeDocument/2006/relationships/image" Target="media/image5.wmf"/><Relationship Id="rId41" Type="http://schemas.openxmlformats.org/officeDocument/2006/relationships/oleObject" Target="embeddings/oleObject4.bin"/><Relationship Id="rId40" Type="http://schemas.openxmlformats.org/officeDocument/2006/relationships/image" Target="media/image4.wmf"/><Relationship Id="rId4" Type="http://schemas.openxmlformats.org/officeDocument/2006/relationships/endnotes" Target="endnotes.xml"/><Relationship Id="rId39" Type="http://schemas.openxmlformats.org/officeDocument/2006/relationships/oleObject" Target="embeddings/oleObject3.bin"/><Relationship Id="rId38" Type="http://schemas.openxmlformats.org/officeDocument/2006/relationships/image" Target="media/image3.wmf"/><Relationship Id="rId37" Type="http://schemas.openxmlformats.org/officeDocument/2006/relationships/oleObject" Target="embeddings/oleObject2.bin"/><Relationship Id="rId36" Type="http://schemas.openxmlformats.org/officeDocument/2006/relationships/image" Target="media/image2.wmf"/><Relationship Id="rId35" Type="http://schemas.openxmlformats.org/officeDocument/2006/relationships/image" Target="media/image1.wmf"/><Relationship Id="rId34" Type="http://schemas.openxmlformats.org/officeDocument/2006/relationships/oleObject" Target="embeddings/oleObject1.bin"/><Relationship Id="rId33" Type="http://schemas.openxmlformats.org/officeDocument/2006/relationships/theme" Target="theme/theme1.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8" Type="http://schemas.openxmlformats.org/officeDocument/2006/relationships/fontTable" Target="fontTable.xml"/><Relationship Id="rId117" Type="http://schemas.openxmlformats.org/officeDocument/2006/relationships/customXml" Target="../customXml/item1.xml"/><Relationship Id="rId116" Type="http://schemas.openxmlformats.org/officeDocument/2006/relationships/image" Target="media/image44.png"/><Relationship Id="rId115" Type="http://schemas.openxmlformats.org/officeDocument/2006/relationships/image" Target="media/image43.png"/><Relationship Id="rId114" Type="http://schemas.openxmlformats.org/officeDocument/2006/relationships/image" Target="media/image42.png"/><Relationship Id="rId113" Type="http://schemas.openxmlformats.org/officeDocument/2006/relationships/image" Target="media/image41.png"/><Relationship Id="rId112" Type="http://schemas.openxmlformats.org/officeDocument/2006/relationships/image" Target="media/image40.png"/><Relationship Id="rId111" Type="http://schemas.openxmlformats.org/officeDocument/2006/relationships/image" Target="media/image39.png"/><Relationship Id="rId110" Type="http://schemas.openxmlformats.org/officeDocument/2006/relationships/image" Target="media/image38.png"/><Relationship Id="rId11" Type="http://schemas.openxmlformats.org/officeDocument/2006/relationships/footer" Target="footer6.xml"/><Relationship Id="rId109" Type="http://schemas.openxmlformats.org/officeDocument/2006/relationships/image" Target="media/image37.png"/><Relationship Id="rId108" Type="http://schemas.openxmlformats.org/officeDocument/2006/relationships/image" Target="media/image36.png"/><Relationship Id="rId107" Type="http://schemas.openxmlformats.org/officeDocument/2006/relationships/image" Target="media/image35.wmf"/><Relationship Id="rId106" Type="http://schemas.openxmlformats.org/officeDocument/2006/relationships/oleObject" Target="embeddings/oleObject39.bin"/><Relationship Id="rId105" Type="http://schemas.openxmlformats.org/officeDocument/2006/relationships/image" Target="media/image34.wmf"/><Relationship Id="rId104" Type="http://schemas.openxmlformats.org/officeDocument/2006/relationships/oleObject" Target="embeddings/oleObject38.bin"/><Relationship Id="rId103" Type="http://schemas.openxmlformats.org/officeDocument/2006/relationships/image" Target="media/image33.wmf"/><Relationship Id="rId102" Type="http://schemas.openxmlformats.org/officeDocument/2006/relationships/oleObject" Target="embeddings/oleObject37.bin"/><Relationship Id="rId101" Type="http://schemas.openxmlformats.org/officeDocument/2006/relationships/image" Target="media/image32.wmf"/><Relationship Id="rId100" Type="http://schemas.openxmlformats.org/officeDocument/2006/relationships/oleObject" Target="embeddings/oleObject36.bin"/><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11316</Words>
  <Characters>13702</Characters>
  <Lines>1905</Lines>
  <Paragraphs>2257</Paragraphs>
  <TotalTime>30</TotalTime>
  <ScaleCrop>false</ScaleCrop>
  <LinksUpToDate>false</LinksUpToDate>
  <CharactersWithSpaces>15137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2025-10-22T03:16:00Z</dcterms:created>
  <dc:creator>邩王</dc:creator>
  <cp:lastModifiedBy>李毅</cp:lastModifiedBy>
  <dcterms:modified xsi:type="dcterms:W3CDTF">2025-10-28T03:01:12Z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3E550F63BADF4AD981D821059C797304_13</vt:lpwstr>
  </property>
  <property fmtid="{D5CDD505-2E9C-101B-9397-08002B2CF9AE}" pid="4" name="KSOTemplateDocerSaveRecord">
    <vt:lpwstr>eyJoZGlkIjoiYTYyNGUxYzcxMWVmZTM5M2E2YWU0NTYxMDkyNjU1Y2UiLCJ1c2VySWQiOiI0MjUzMzg4OTcifQ==</vt:lpwstr>
  </property>
</Properties>
</file>