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napToGrid w:val="0"/>
          <w:color w:val="000000"/>
          <w:sz w:val="32"/>
          <w:szCs w:val="32"/>
          <w:lang w:val="en-US" w:eastAsia="zh-CN"/>
        </w:rPr>
      </w:pPr>
      <mc:AlternateContent>
        <mc:Choice Requires="wpsCustomData">
          <wpsCustomData:docfieldStart id="0" docfieldname="Content" hidden="false" print="true" readonly="false" index="1"/>
        </mc:Choice>
      </mc:AlternateContent>
      <w:bookmarkStart w:id="0" w:name="_GoBack"/>
      <w:r>
        <w:rPr>
          <w:rFonts w:hint="eastAsia" w:ascii="方正黑体_GBK" w:hAnsi="方正黑体_GBK" w:eastAsia="方正黑体_GBK" w:cs="方正黑体_GBK"/>
          <w:snapToGrid w:val="0"/>
          <w:color w:val="000000"/>
          <w:sz w:val="32"/>
          <w:szCs w:val="32"/>
          <w:lang w:eastAsia="zh-CN"/>
        </w:rPr>
        <w:t>附件</w:t>
      </w:r>
      <w:r>
        <w:rPr>
          <w:rFonts w:hint="eastAsia" w:ascii="方正黑体_GBK" w:hAnsi="方正黑体_GBK" w:eastAsia="方正黑体_GBK" w:cs="方正黑体_GBK"/>
          <w:snapToGrid w:val="0"/>
          <w:color w:val="000000"/>
          <w:sz w:val="32"/>
          <w:szCs w:val="32"/>
          <w:lang w:val="en-US" w:eastAsia="zh-CN"/>
        </w:rPr>
        <w:t>1</w:t>
      </w:r>
    </w:p>
    <w:bookmarkEnd w:id="0"/>
    <w:p>
      <w:pPr>
        <w:keepNext w:val="0"/>
        <w:keepLines w:val="0"/>
        <w:pageBreakBefore w:val="0"/>
        <w:widowControl w:val="0"/>
        <w:kinsoku/>
        <w:wordWrap/>
        <w:overflowPunct/>
        <w:topLinePunct w:val="0"/>
        <w:autoSpaceDE/>
        <w:autoSpaceDN/>
        <w:bidi w:val="0"/>
        <w:adjustRightInd w:val="0"/>
        <w:snapToGrid w:val="0"/>
        <w:spacing w:line="610" w:lineRule="exact"/>
        <w:jc w:val="center"/>
        <w:textAlignment w:val="auto"/>
        <w:rPr>
          <w:rFonts w:hint="eastAsia" w:ascii="方正小标宋_GBK" w:eastAsia="方正小标宋_GBK"/>
          <w:snapToGrid w:val="0"/>
          <w:color w:val="00000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10" w:lineRule="exact"/>
        <w:jc w:val="center"/>
        <w:textAlignment w:val="auto"/>
        <w:rPr>
          <w:rFonts w:hint="eastAsia" w:ascii="方正小标宋_GBK" w:eastAsia="方正小标宋_GBK"/>
          <w:snapToGrid w:val="0"/>
          <w:color w:val="000000"/>
          <w:sz w:val="44"/>
          <w:szCs w:val="44"/>
          <w:lang w:eastAsia="zh-CN"/>
        </w:rPr>
      </w:pPr>
      <w:r>
        <w:rPr>
          <w:rFonts w:hint="eastAsia" w:ascii="方正小标宋_GBK" w:eastAsia="方正小标宋_GBK"/>
          <w:snapToGrid w:val="0"/>
          <w:color w:val="000000"/>
          <w:sz w:val="44"/>
          <w:szCs w:val="44"/>
          <w:lang w:eastAsia="zh-CN"/>
        </w:rPr>
        <w:t>广西壮族自治区房屋交易网签合同</w:t>
      </w:r>
    </w:p>
    <w:p>
      <w:pPr>
        <w:keepNext w:val="0"/>
        <w:keepLines w:val="0"/>
        <w:pageBreakBefore w:val="0"/>
        <w:widowControl w:val="0"/>
        <w:kinsoku/>
        <w:wordWrap/>
        <w:overflowPunct/>
        <w:topLinePunct w:val="0"/>
        <w:autoSpaceDE/>
        <w:autoSpaceDN/>
        <w:bidi w:val="0"/>
        <w:adjustRightInd w:val="0"/>
        <w:snapToGrid w:val="0"/>
        <w:spacing w:line="61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eastAsia="方正小标宋_GBK"/>
          <w:snapToGrid w:val="0"/>
          <w:color w:val="000000"/>
          <w:sz w:val="44"/>
          <w:szCs w:val="44"/>
          <w:lang w:eastAsia="zh-CN"/>
        </w:rPr>
        <w:t>示范文本</w:t>
      </w:r>
      <w:r>
        <w:rPr>
          <w:rFonts w:hint="eastAsia" w:ascii="方正小标宋_GBK" w:hAnsi="方正小标宋_GBK" w:eastAsia="方正小标宋_GBK" w:cs="方正小标宋_GBK"/>
          <w:sz w:val="44"/>
          <w:szCs w:val="44"/>
          <w:lang w:eastAsia="zh-CN"/>
        </w:rPr>
        <w:t>修订说明</w:t>
      </w:r>
    </w:p>
    <w:p>
      <w:pPr>
        <w:numPr>
          <w:ilvl w:val="0"/>
          <w:numId w:val="0"/>
        </w:numPr>
        <w:spacing w:line="590" w:lineRule="exact"/>
        <w:ind w:firstLine="640" w:firstLineChars="200"/>
        <w:rPr>
          <w:rFonts w:hint="default" w:ascii="Times New Roman" w:hAnsi="Times New Roman" w:eastAsia="黑体" w:cs="Times New Roman"/>
          <w:color w:val="auto"/>
          <w:sz w:val="32"/>
          <w:szCs w:val="32"/>
        </w:rPr>
      </w:pPr>
    </w:p>
    <w:p>
      <w:pPr>
        <w:keepNext w:val="0"/>
        <w:keepLines w:val="0"/>
        <w:pageBreakBefore w:val="0"/>
        <w:numPr>
          <w:ilvl w:val="0"/>
          <w:numId w:val="0"/>
        </w:numPr>
        <w:kinsoku/>
        <w:wordWrap/>
        <w:overflowPunct/>
        <w:topLinePunct w:val="0"/>
        <w:bidi w:val="0"/>
        <w:adjustRightInd/>
        <w:snapToGrid/>
        <w:spacing w:line="59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一、修订背景</w:t>
      </w:r>
    </w:p>
    <w:p>
      <w:pPr>
        <w:pStyle w:val="29"/>
        <w:keepNext w:val="0"/>
        <w:keepLines w:val="0"/>
        <w:pageBreakBefore w:val="0"/>
        <w:kinsoku/>
        <w:wordWrap/>
        <w:overflowPunct/>
        <w:topLinePunct w:val="0"/>
        <w:bidi w:val="0"/>
        <w:adjustRightInd/>
        <w:snapToGrid/>
        <w:spacing w:line="590" w:lineRule="exact"/>
        <w:ind w:firstLine="64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val="en-US" w:eastAsia="zh-CN"/>
        </w:rPr>
        <w:t>2014年</w:t>
      </w:r>
      <w:r>
        <w:rPr>
          <w:rFonts w:hint="default" w:ascii="Times New Roman" w:hAnsi="Times New Roman" w:eastAsia="方正仿宋_GBK" w:cs="Times New Roman"/>
          <w:b w:val="0"/>
          <w:bCs w:val="0"/>
          <w:color w:val="auto"/>
          <w:sz w:val="32"/>
          <w:szCs w:val="32"/>
          <w:lang w:val="zh-CN"/>
        </w:rPr>
        <w:t>，</w:t>
      </w:r>
      <w:r>
        <w:rPr>
          <w:rFonts w:hint="default" w:ascii="Times New Roman" w:hAnsi="Times New Roman" w:eastAsia="方正仿宋_GBK"/>
          <w:b w:val="0"/>
          <w:bCs w:val="0"/>
          <w:color w:val="auto"/>
          <w:sz w:val="32"/>
          <w:szCs w:val="32"/>
          <w:lang w:val="en-US"/>
        </w:rPr>
        <w:t>为进一步规范商品房交易行为，保障交易当事人的合法权益，切实维护公平公正的商品房交易秩序，</w:t>
      </w:r>
      <w:r>
        <w:rPr>
          <w:rFonts w:hint="default" w:ascii="Times New Roman" w:hAnsi="Times New Roman" w:eastAsia="方正仿宋_GBK" w:cs="Times New Roman"/>
          <w:b w:val="0"/>
          <w:bCs w:val="0"/>
          <w:color w:val="auto"/>
          <w:sz w:val="32"/>
          <w:szCs w:val="32"/>
          <w:lang w:val="zh-CN"/>
        </w:rPr>
        <w:t>住房城乡建设部</w:t>
      </w:r>
      <w:r>
        <w:rPr>
          <w:rFonts w:hint="eastAsia" w:ascii="Times New Roman" w:hAnsi="Times New Roman" w:eastAsia="方正仿宋_GBK" w:cs="Times New Roman"/>
          <w:b w:val="0"/>
          <w:bCs w:val="0"/>
          <w:color w:val="auto"/>
          <w:sz w:val="32"/>
          <w:szCs w:val="32"/>
          <w:lang w:val="zh-CN"/>
        </w:rPr>
        <w:t>、</w:t>
      </w:r>
      <w:r>
        <w:rPr>
          <w:rFonts w:hint="default" w:ascii="Times New Roman" w:hAnsi="Times New Roman" w:eastAsia="方正仿宋_GBK" w:cs="Times New Roman"/>
          <w:b w:val="0"/>
          <w:bCs w:val="0"/>
          <w:color w:val="auto"/>
          <w:sz w:val="32"/>
          <w:szCs w:val="32"/>
          <w:lang w:val="zh-CN"/>
        </w:rPr>
        <w:t>工商总局联合印发了《商品房买卖合同示范文本》（</w:t>
      </w:r>
      <w:r>
        <w:rPr>
          <w:rFonts w:hint="default" w:ascii="Times New Roman" w:hAnsi="Times New Roman" w:eastAsia="方正仿宋_GBK"/>
          <w:b w:val="0"/>
          <w:bCs w:val="0"/>
          <w:color w:val="auto"/>
          <w:sz w:val="32"/>
          <w:szCs w:val="32"/>
        </w:rPr>
        <w:t>建房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b w:val="0"/>
          <w:bCs w:val="0"/>
          <w:color w:val="auto"/>
          <w:sz w:val="32"/>
          <w:szCs w:val="32"/>
        </w:rPr>
        <w:t>2014</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b w:val="0"/>
          <w:bCs w:val="0"/>
          <w:color w:val="auto"/>
          <w:sz w:val="32"/>
          <w:szCs w:val="32"/>
        </w:rPr>
        <w:t>53号</w:t>
      </w:r>
      <w:r>
        <w:rPr>
          <w:rFonts w:hint="default" w:ascii="Times New Roman" w:hAnsi="Times New Roman" w:eastAsia="方正仿宋_GBK" w:cs="Times New Roman"/>
          <w:b w:val="0"/>
          <w:bCs w:val="0"/>
          <w:color w:val="auto"/>
          <w:sz w:val="32"/>
          <w:szCs w:val="32"/>
          <w:lang w:val="zh-CN"/>
        </w:rPr>
        <w:t>）。</w:t>
      </w:r>
      <w:r>
        <w:rPr>
          <w:rFonts w:hint="default" w:ascii="Times New Roman" w:hAnsi="Times New Roman" w:eastAsia="方正仿宋_GBK" w:cs="Times New Roman"/>
          <w:b w:val="0"/>
          <w:bCs w:val="0"/>
          <w:color w:val="auto"/>
          <w:sz w:val="32"/>
          <w:szCs w:val="32"/>
          <w:lang w:val="en-US" w:eastAsia="zh-CN"/>
        </w:rPr>
        <w:t>2019年6月，</w:t>
      </w:r>
      <w:r>
        <w:rPr>
          <w:rFonts w:hint="default" w:ascii="Times New Roman" w:hAnsi="Times New Roman" w:eastAsia="方正仿宋_GBK" w:cs="Times New Roman"/>
          <w:b w:val="0"/>
          <w:bCs w:val="0"/>
          <w:color w:val="auto"/>
          <w:sz w:val="32"/>
          <w:szCs w:val="32"/>
          <w:lang w:eastAsia="zh-CN"/>
        </w:rPr>
        <w:t>参照</w:t>
      </w:r>
      <w:r>
        <w:rPr>
          <w:rFonts w:hint="default" w:ascii="Times New Roman" w:hAnsi="Times New Roman" w:eastAsia="方正仿宋_GBK" w:cs="Times New Roman"/>
          <w:b w:val="0"/>
          <w:bCs w:val="0"/>
          <w:color w:val="auto"/>
          <w:sz w:val="32"/>
          <w:szCs w:val="32"/>
        </w:rPr>
        <w:t>国</w:t>
      </w:r>
      <w:r>
        <w:rPr>
          <w:rFonts w:hint="eastAsia" w:ascii="Times New Roman" w:hAnsi="Times New Roman" w:eastAsia="方正仿宋_GBK" w:cs="Times New Roman"/>
          <w:b w:val="0"/>
          <w:bCs w:val="0"/>
          <w:color w:val="auto"/>
          <w:sz w:val="32"/>
          <w:szCs w:val="32"/>
          <w:lang w:eastAsia="zh-CN"/>
        </w:rPr>
        <w:t>家</w:t>
      </w:r>
      <w:r>
        <w:rPr>
          <w:rFonts w:hint="default" w:ascii="Times New Roman" w:hAnsi="Times New Roman" w:eastAsia="方正仿宋_GBK" w:cs="Times New Roman"/>
          <w:b w:val="0"/>
          <w:bCs w:val="0"/>
          <w:color w:val="auto"/>
          <w:sz w:val="32"/>
          <w:szCs w:val="32"/>
        </w:rPr>
        <w:t>示范文本，结合</w:t>
      </w:r>
      <w:r>
        <w:rPr>
          <w:rFonts w:hint="default" w:ascii="Times New Roman" w:hAnsi="Times New Roman" w:eastAsia="方正仿宋_GBK" w:cs="Times New Roman"/>
          <w:b w:val="0"/>
          <w:bCs w:val="0"/>
          <w:color w:val="auto"/>
          <w:sz w:val="32"/>
          <w:szCs w:val="32"/>
          <w:lang w:eastAsia="zh-CN"/>
        </w:rPr>
        <w:t>广西</w:t>
      </w:r>
      <w:r>
        <w:rPr>
          <w:rFonts w:hint="default" w:ascii="Times New Roman" w:hAnsi="Times New Roman" w:eastAsia="方正仿宋_GBK" w:cs="Times New Roman"/>
          <w:b w:val="0"/>
          <w:bCs w:val="0"/>
          <w:color w:val="auto"/>
          <w:sz w:val="32"/>
          <w:szCs w:val="32"/>
        </w:rPr>
        <w:t>房地产市场实际，自治区住房城乡建设厅</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自治区市场监管局</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广西税务局</w:t>
      </w:r>
      <w:r>
        <w:rPr>
          <w:rFonts w:hint="default"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eastAsia="zh-CN"/>
        </w:rPr>
        <w:t>原</w:t>
      </w:r>
      <w:r>
        <w:rPr>
          <w:rFonts w:hint="default" w:ascii="Times New Roman" w:hAnsi="Times New Roman" w:eastAsia="方正仿宋_GBK" w:cs="Times New Roman"/>
          <w:b w:val="0"/>
          <w:bCs w:val="0"/>
          <w:color w:val="auto"/>
          <w:sz w:val="32"/>
          <w:szCs w:val="32"/>
        </w:rPr>
        <w:t>人民银行南宁中心支行</w:t>
      </w:r>
      <w:r>
        <w:rPr>
          <w:rFonts w:hint="default"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eastAsia="zh-CN"/>
        </w:rPr>
        <w:t>原</w:t>
      </w:r>
      <w:r>
        <w:rPr>
          <w:rFonts w:hint="default" w:ascii="Times New Roman" w:hAnsi="Times New Roman" w:eastAsia="方正仿宋_GBK" w:cs="Times New Roman"/>
          <w:b w:val="0"/>
          <w:bCs w:val="0"/>
          <w:color w:val="auto"/>
          <w:sz w:val="32"/>
          <w:szCs w:val="32"/>
        </w:rPr>
        <w:t>广西银保监局</w:t>
      </w:r>
      <w:r>
        <w:rPr>
          <w:rFonts w:hint="default" w:ascii="Times New Roman" w:hAnsi="Times New Roman" w:eastAsia="方正仿宋_GBK" w:cs="Times New Roman"/>
          <w:b w:val="0"/>
          <w:bCs w:val="0"/>
          <w:color w:val="auto"/>
          <w:sz w:val="32"/>
          <w:szCs w:val="32"/>
          <w:lang w:eastAsia="zh-CN"/>
        </w:rPr>
        <w:t>联合</w:t>
      </w:r>
      <w:r>
        <w:rPr>
          <w:rFonts w:hint="default" w:ascii="Times New Roman" w:hAnsi="Times New Roman" w:eastAsia="方正仿宋_GBK" w:cs="Times New Roman"/>
          <w:b w:val="0"/>
          <w:bCs w:val="0"/>
          <w:color w:val="auto"/>
          <w:sz w:val="32"/>
          <w:szCs w:val="32"/>
        </w:rPr>
        <w:t>印发</w:t>
      </w:r>
      <w:r>
        <w:rPr>
          <w:rFonts w:hint="default" w:ascii="Times New Roman" w:hAnsi="Times New Roman" w:eastAsia="方正仿宋_GBK" w:cs="Times New Roman"/>
          <w:b w:val="0"/>
          <w:bCs w:val="0"/>
          <w:color w:val="auto"/>
          <w:sz w:val="32"/>
          <w:szCs w:val="32"/>
          <w:lang w:eastAsia="zh-CN"/>
        </w:rPr>
        <w:t>了《</w:t>
      </w:r>
      <w:r>
        <w:rPr>
          <w:rFonts w:hint="default" w:ascii="Times New Roman" w:hAnsi="Times New Roman" w:eastAsia="方正仿宋_GBK" w:cs="Times New Roman"/>
          <w:b w:val="0"/>
          <w:bCs w:val="0"/>
          <w:color w:val="auto"/>
          <w:sz w:val="32"/>
          <w:szCs w:val="32"/>
        </w:rPr>
        <w:t>全区房屋交易网签合同示范文本</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（桂建房〔2019〕6号）</w:t>
      </w:r>
      <w:r>
        <w:rPr>
          <w:rFonts w:hint="default" w:ascii="Times New Roman" w:hAnsi="Times New Roman" w:eastAsia="方正仿宋_GBK" w:cs="Times New Roman"/>
          <w:b w:val="0"/>
          <w:bCs w:val="0"/>
          <w:color w:val="auto"/>
          <w:sz w:val="32"/>
          <w:szCs w:val="32"/>
          <w:lang w:eastAsia="zh-CN"/>
        </w:rPr>
        <w:t>，其中包含了《广西壮族自治区商品房买卖合同（预售）（示范文本）》《广西壮族自治区商品房买卖合同（现售）（示范文本）》《广西壮族自治区存量房买卖合同（示范文本）》《广西壮族自治区房屋租赁合同（示范文本）》《广西壮族自治区房地产抵押合同（示范文本）》共五个示范文本。</w:t>
      </w:r>
    </w:p>
    <w:p>
      <w:pPr>
        <w:pStyle w:val="29"/>
        <w:keepNext w:val="0"/>
        <w:keepLines w:val="0"/>
        <w:pageBreakBefore w:val="0"/>
        <w:kinsoku/>
        <w:wordWrap/>
        <w:overflowPunct/>
        <w:topLinePunct w:val="0"/>
        <w:bidi w:val="0"/>
        <w:adjustRightInd/>
        <w:snapToGrid/>
        <w:spacing w:line="59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z w:val="32"/>
          <w:szCs w:val="32"/>
          <w:lang w:eastAsia="zh-CN"/>
        </w:rPr>
        <w:t>经过近年来的实践证明</w:t>
      </w:r>
      <w:r>
        <w:rPr>
          <w:rFonts w:hint="default" w:ascii="Times New Roman" w:hAnsi="Times New Roman" w:eastAsia="方正仿宋_GBK" w:cs="Times New Roman"/>
          <w:b w:val="0"/>
          <w:bCs w:val="0"/>
          <w:color w:val="auto"/>
          <w:sz w:val="32"/>
          <w:szCs w:val="32"/>
        </w:rPr>
        <w:t>，无论是在商品房、存量房市场，还是住房租赁市场，全</w:t>
      </w:r>
      <w:r>
        <w:rPr>
          <w:rFonts w:hint="default" w:ascii="Times New Roman" w:hAnsi="Times New Roman" w:eastAsia="方正仿宋_GBK" w:cs="Times New Roman"/>
          <w:b w:val="0"/>
          <w:bCs w:val="0"/>
          <w:color w:val="auto"/>
          <w:sz w:val="32"/>
          <w:szCs w:val="32"/>
          <w:lang w:val="en"/>
        </w:rPr>
        <w:t>区</w:t>
      </w:r>
      <w:r>
        <w:rPr>
          <w:rFonts w:hint="default" w:ascii="Times New Roman" w:hAnsi="Times New Roman" w:eastAsia="方正仿宋_GBK" w:cs="Times New Roman"/>
          <w:b w:val="0"/>
          <w:bCs w:val="0"/>
          <w:color w:val="auto"/>
          <w:sz w:val="32"/>
          <w:szCs w:val="32"/>
        </w:rPr>
        <w:t>统一的合同示范文本在规范房地产市场秩序、保障房屋交易当事人权益、促进房地产业平稳健康发展等方面都发挥了积极作用。</w:t>
      </w:r>
      <w:r>
        <w:rPr>
          <w:rFonts w:hint="default" w:ascii="Times New Roman" w:hAnsi="Times New Roman" w:eastAsia="方正仿宋_GBK" w:cs="Times New Roman"/>
          <w:b w:val="0"/>
          <w:bCs w:val="0"/>
          <w:color w:val="auto"/>
          <w:sz w:val="32"/>
          <w:szCs w:val="32"/>
          <w:lang w:val="en-US"/>
        </w:rPr>
        <w:t>但是，随着</w:t>
      </w:r>
      <w:r>
        <w:rPr>
          <w:rFonts w:hint="eastAsia" w:ascii="Times New Roman" w:hAnsi="Times New Roman" w:eastAsia="方正仿宋_GBK" w:cs="Times New Roman"/>
          <w:b w:val="0"/>
          <w:bCs w:val="0"/>
          <w:color w:val="auto"/>
          <w:sz w:val="32"/>
          <w:szCs w:val="32"/>
          <w:lang w:val="en-US" w:eastAsia="zh-CN"/>
        </w:rPr>
        <w:t>我国</w:t>
      </w:r>
      <w:r>
        <w:rPr>
          <w:rFonts w:hint="default" w:ascii="Times New Roman" w:hAnsi="Times New Roman" w:eastAsia="方正仿宋_GBK" w:cs="Times New Roman"/>
          <w:b w:val="0"/>
          <w:bCs w:val="0"/>
          <w:color w:val="auto"/>
          <w:sz w:val="32"/>
          <w:szCs w:val="32"/>
          <w:lang w:val="en-US"/>
        </w:rPr>
        <w:t>法律法规体系的不断健全和完善，</w:t>
      </w:r>
      <w:r>
        <w:rPr>
          <w:rFonts w:hint="default" w:ascii="Times New Roman" w:hAnsi="Times New Roman" w:eastAsia="方正仿宋_GBK" w:cs="Times New Roman"/>
          <w:b w:val="0"/>
          <w:bCs w:val="0"/>
          <w:color w:val="auto"/>
          <w:sz w:val="32"/>
          <w:szCs w:val="32"/>
        </w:rPr>
        <w:t>群众</w:t>
      </w:r>
      <w:r>
        <w:rPr>
          <w:rFonts w:hint="default" w:ascii="Times New Roman" w:hAnsi="Times New Roman" w:eastAsia="方正仿宋_GBK" w:cs="Times New Roman"/>
          <w:b w:val="0"/>
          <w:bCs w:val="0"/>
          <w:color w:val="auto"/>
          <w:sz w:val="32"/>
          <w:szCs w:val="32"/>
          <w:lang w:val="en-US" w:eastAsia="zh-CN"/>
        </w:rPr>
        <w:t>法治</w:t>
      </w:r>
      <w:r>
        <w:rPr>
          <w:rFonts w:hint="default" w:ascii="Times New Roman" w:hAnsi="Times New Roman" w:eastAsia="方正仿宋_GBK" w:cs="Times New Roman"/>
          <w:b w:val="0"/>
          <w:bCs w:val="0"/>
          <w:color w:val="auto"/>
          <w:sz w:val="32"/>
          <w:szCs w:val="32"/>
        </w:rPr>
        <w:t>意识的</w:t>
      </w:r>
      <w:r>
        <w:rPr>
          <w:rFonts w:hint="default" w:ascii="Times New Roman" w:hAnsi="Times New Roman" w:eastAsia="方正仿宋_GBK" w:cs="Times New Roman"/>
          <w:b w:val="0"/>
          <w:bCs w:val="0"/>
          <w:color w:val="auto"/>
          <w:sz w:val="32"/>
          <w:szCs w:val="32"/>
          <w:lang w:val="en-US"/>
        </w:rPr>
        <w:t>不断提升，数字化改革的持续深入，以及</w:t>
      </w:r>
      <w:r>
        <w:rPr>
          <w:rFonts w:hint="default" w:ascii="Times New Roman" w:hAnsi="Times New Roman" w:eastAsia="方正仿宋_GBK" w:cs="Times New Roman"/>
          <w:b w:val="0"/>
          <w:bCs w:val="0"/>
          <w:color w:val="auto"/>
          <w:sz w:val="32"/>
          <w:szCs w:val="32"/>
        </w:rPr>
        <w:t>房地产</w:t>
      </w:r>
      <w:r>
        <w:rPr>
          <w:rFonts w:hint="default" w:ascii="Times New Roman" w:hAnsi="Times New Roman" w:eastAsia="方正仿宋_GBK" w:cs="Times New Roman"/>
          <w:b w:val="0"/>
          <w:bCs w:val="0"/>
          <w:color w:val="auto"/>
          <w:sz w:val="32"/>
          <w:szCs w:val="32"/>
          <w:lang w:val="en-US"/>
        </w:rPr>
        <w:t>新</w:t>
      </w:r>
      <w:r>
        <w:rPr>
          <w:rFonts w:hint="default" w:ascii="Times New Roman" w:hAnsi="Times New Roman" w:eastAsia="方正仿宋_GBK" w:cs="Times New Roman"/>
          <w:b w:val="0"/>
          <w:bCs w:val="0"/>
          <w:color w:val="auto"/>
          <w:sz w:val="32"/>
          <w:szCs w:val="32"/>
        </w:rPr>
        <w:t>发展模式</w:t>
      </w:r>
      <w:r>
        <w:rPr>
          <w:rFonts w:hint="eastAsia" w:ascii="Times New Roman" w:hAnsi="Times New Roman" w:eastAsia="方正仿宋_GBK" w:cs="Times New Roman"/>
          <w:b w:val="0"/>
          <w:bCs w:val="0"/>
          <w:color w:val="auto"/>
          <w:sz w:val="32"/>
          <w:szCs w:val="32"/>
          <w:lang w:eastAsia="zh-CN"/>
        </w:rPr>
        <w:t>的</w:t>
      </w:r>
      <w:r>
        <w:rPr>
          <w:rFonts w:hint="default" w:ascii="Times New Roman" w:hAnsi="Times New Roman" w:eastAsia="方正仿宋_GBK" w:cs="Times New Roman"/>
          <w:b w:val="0"/>
          <w:bCs w:val="0"/>
          <w:color w:val="auto"/>
          <w:sz w:val="32"/>
          <w:szCs w:val="32"/>
        </w:rPr>
        <w:t>要求</w:t>
      </w:r>
      <w:r>
        <w:rPr>
          <w:rFonts w:hint="eastAsia" w:ascii="Times New Roman" w:hAnsi="Times New Roman" w:eastAsia="方正仿宋_GBK" w:cs="Times New Roman"/>
          <w:b w:val="0"/>
          <w:bCs w:val="0"/>
          <w:color w:val="auto"/>
          <w:sz w:val="32"/>
          <w:szCs w:val="32"/>
          <w:lang w:eastAsia="zh-CN"/>
        </w:rPr>
        <w:t>等</w:t>
      </w:r>
      <w:r>
        <w:rPr>
          <w:rFonts w:hint="default" w:ascii="Times New Roman" w:hAnsi="Times New Roman" w:eastAsia="方正仿宋_GBK" w:cs="Times New Roman"/>
          <w:b w:val="0"/>
          <w:bCs w:val="0"/>
          <w:color w:val="auto"/>
          <w:sz w:val="32"/>
          <w:szCs w:val="32"/>
        </w:rPr>
        <w:t>，需要对</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全区房屋交易网签合同示范文本</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rPr>
        <w:t>进行修订完善</w:t>
      </w:r>
      <w:r>
        <w:rPr>
          <w:rFonts w:hint="default" w:ascii="Times New Roman" w:hAnsi="Times New Roman" w:eastAsia="方正仿宋_GBK" w:cs="Times New Roman"/>
          <w:b w:val="0"/>
          <w:bCs w:val="0"/>
          <w:color w:val="auto"/>
          <w:sz w:val="32"/>
          <w:szCs w:val="32"/>
        </w:rPr>
        <w:t>。</w:t>
      </w:r>
    </w:p>
    <w:p>
      <w:pPr>
        <w:pStyle w:val="29"/>
        <w:keepNext w:val="0"/>
        <w:keepLines w:val="0"/>
        <w:pageBreakBefore w:val="0"/>
        <w:kinsoku/>
        <w:wordWrap/>
        <w:overflowPunct/>
        <w:topLinePunct w:val="0"/>
        <w:bidi w:val="0"/>
        <w:adjustRightInd/>
        <w:snapToGrid/>
        <w:spacing w:line="590" w:lineRule="exact"/>
        <w:ind w:firstLine="643"/>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rPr>
        <w:t>一是在合同制定依据上</w:t>
      </w:r>
      <w:r>
        <w:rPr>
          <w:rFonts w:hint="default" w:ascii="Times New Roman" w:hAnsi="Times New Roman" w:eastAsia="方正仿宋_GBK" w:cs="Times New Roman"/>
          <w:b w:val="0"/>
          <w:bCs w:val="0"/>
          <w:color w:val="auto"/>
          <w:sz w:val="32"/>
          <w:szCs w:val="32"/>
          <w:lang w:val="en-US"/>
        </w:rPr>
        <w:t>，201</w:t>
      </w:r>
      <w:r>
        <w:rPr>
          <w:rFonts w:hint="eastAsia"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lang w:val="en-US"/>
        </w:rPr>
        <w:t>版合同示范文本制定的主要依据包括《中华人民共和国物权法》《中华人民共和国合同法》等，2021年1月1日起《中华人民共和国民法典》正式实施，物权法、合同法同时废止，</w:t>
      </w:r>
      <w:r>
        <w:rPr>
          <w:rFonts w:hint="eastAsia" w:ascii="Times New Roman" w:hAnsi="Times New Roman" w:eastAsia="方正仿宋_GBK" w:cs="Times New Roman"/>
          <w:b w:val="0"/>
          <w:bCs w:val="0"/>
          <w:color w:val="auto"/>
          <w:sz w:val="32"/>
          <w:szCs w:val="32"/>
          <w:lang w:val="en-US" w:eastAsia="zh-CN"/>
        </w:rPr>
        <w:t>2025年9月，《住房租赁条例》正式实施，</w:t>
      </w:r>
      <w:r>
        <w:rPr>
          <w:rFonts w:hint="default" w:ascii="Times New Roman" w:hAnsi="Times New Roman" w:eastAsia="方正仿宋_GBK" w:cs="Times New Roman"/>
          <w:b w:val="0"/>
          <w:bCs w:val="0"/>
          <w:color w:val="auto"/>
          <w:sz w:val="32"/>
          <w:szCs w:val="32"/>
          <w:lang w:val="en-US"/>
        </w:rPr>
        <w:t>因此合同示范文本依据</w:t>
      </w:r>
      <w:r>
        <w:rPr>
          <w:rFonts w:hint="eastAsia" w:ascii="Times New Roman" w:hAnsi="Times New Roman" w:eastAsia="方正仿宋_GBK" w:cs="Times New Roman"/>
          <w:b w:val="0"/>
          <w:bCs w:val="0"/>
          <w:color w:val="auto"/>
          <w:sz w:val="32"/>
          <w:szCs w:val="32"/>
          <w:lang w:val="en-US" w:eastAsia="zh-CN"/>
        </w:rPr>
        <w:t>和内容</w:t>
      </w:r>
      <w:r>
        <w:rPr>
          <w:rFonts w:hint="default" w:ascii="Times New Roman" w:hAnsi="Times New Roman" w:eastAsia="方正仿宋_GBK" w:cs="Times New Roman"/>
          <w:b w:val="0"/>
          <w:bCs w:val="0"/>
          <w:color w:val="auto"/>
          <w:sz w:val="32"/>
          <w:szCs w:val="32"/>
          <w:lang w:val="en-US"/>
        </w:rPr>
        <w:t>亟需修订。</w:t>
      </w:r>
    </w:p>
    <w:p>
      <w:pPr>
        <w:pStyle w:val="29"/>
        <w:keepNext w:val="0"/>
        <w:keepLines w:val="0"/>
        <w:pageBreakBefore w:val="0"/>
        <w:kinsoku/>
        <w:wordWrap/>
        <w:overflowPunct/>
        <w:topLinePunct w:val="0"/>
        <w:bidi w:val="0"/>
        <w:adjustRightInd/>
        <w:snapToGrid/>
        <w:spacing w:line="590" w:lineRule="exact"/>
        <w:ind w:firstLine="643"/>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二是在印发部门名称调整上</w:t>
      </w:r>
      <w:r>
        <w:rPr>
          <w:rFonts w:hint="default" w:ascii="Times New Roman" w:hAnsi="Times New Roman" w:eastAsia="方正仿宋_GBK" w:cs="Times New Roman"/>
          <w:b w:val="0"/>
          <w:bCs w:val="0"/>
          <w:color w:val="auto"/>
          <w:sz w:val="32"/>
          <w:szCs w:val="32"/>
          <w:lang w:val="en-US" w:eastAsia="zh-CN"/>
        </w:rPr>
        <w:t>，原</w:t>
      </w:r>
      <w:r>
        <w:rPr>
          <w:rFonts w:hint="default" w:ascii="Times New Roman" w:hAnsi="Times New Roman" w:eastAsia="方正仿宋_GBK"/>
          <w:b w:val="0"/>
          <w:bCs w:val="0"/>
          <w:color w:val="auto"/>
          <w:sz w:val="32"/>
          <w:szCs w:val="32"/>
          <w:lang w:val="en-US"/>
        </w:rPr>
        <w:t>中国人民银行南宁中心支行</w:t>
      </w:r>
      <w:r>
        <w:rPr>
          <w:rFonts w:hint="default" w:ascii="Times New Roman" w:hAnsi="Times New Roman" w:eastAsia="方正仿宋_GBK"/>
          <w:b w:val="0"/>
          <w:bCs w:val="0"/>
          <w:color w:val="auto"/>
          <w:sz w:val="32"/>
          <w:szCs w:val="32"/>
          <w:lang w:val="en-US" w:eastAsia="zh-CN"/>
        </w:rPr>
        <w:t>已更名为</w:t>
      </w:r>
      <w:r>
        <w:rPr>
          <w:rFonts w:hint="default" w:ascii="Times New Roman" w:hAnsi="Times New Roman" w:eastAsia="方正仿宋_GBK"/>
          <w:b w:val="0"/>
          <w:bCs w:val="0"/>
          <w:color w:val="auto"/>
          <w:sz w:val="32"/>
          <w:szCs w:val="32"/>
          <w:lang w:val="en-US"/>
        </w:rPr>
        <w:t>中国人民银行广西壮族自治区分行</w:t>
      </w:r>
      <w:r>
        <w:rPr>
          <w:rFonts w:hint="default" w:ascii="Times New Roman" w:hAnsi="Times New Roman" w:eastAsia="方正仿宋_GBK"/>
          <w:b w:val="0"/>
          <w:bCs w:val="0"/>
          <w:color w:val="auto"/>
          <w:sz w:val="32"/>
          <w:szCs w:val="32"/>
          <w:lang w:val="en-US" w:eastAsia="zh-CN"/>
        </w:rPr>
        <w:t>，原</w:t>
      </w:r>
      <w:r>
        <w:rPr>
          <w:rFonts w:hint="default" w:ascii="Times New Roman" w:hAnsi="Times New Roman" w:eastAsia="方正仿宋_GBK"/>
          <w:b w:val="0"/>
          <w:bCs w:val="0"/>
          <w:color w:val="auto"/>
          <w:sz w:val="32"/>
          <w:szCs w:val="32"/>
          <w:lang w:val="en-US"/>
        </w:rPr>
        <w:t>中国银行保险监督管理委员会广西监管局</w:t>
      </w:r>
      <w:r>
        <w:rPr>
          <w:rFonts w:hint="eastAsia" w:ascii="Times New Roman" w:hAnsi="Times New Roman" w:eastAsia="方正仿宋_GBK"/>
          <w:b w:val="0"/>
          <w:bCs w:val="0"/>
          <w:color w:val="auto"/>
          <w:sz w:val="32"/>
          <w:szCs w:val="32"/>
          <w:lang w:val="en-US" w:eastAsia="zh-CN"/>
        </w:rPr>
        <w:t>已</w:t>
      </w:r>
      <w:r>
        <w:rPr>
          <w:rFonts w:hint="default" w:ascii="Times New Roman" w:hAnsi="Times New Roman" w:eastAsia="方正仿宋_GBK"/>
          <w:b w:val="0"/>
          <w:bCs w:val="0"/>
          <w:color w:val="auto"/>
          <w:sz w:val="32"/>
          <w:szCs w:val="32"/>
          <w:lang w:val="en-US" w:eastAsia="zh-CN"/>
        </w:rPr>
        <w:t>更名为</w:t>
      </w:r>
      <w:r>
        <w:rPr>
          <w:rFonts w:hint="default" w:ascii="Times New Roman" w:hAnsi="Times New Roman" w:eastAsia="方正仿宋_GBK"/>
          <w:b w:val="0"/>
          <w:bCs w:val="0"/>
          <w:color w:val="auto"/>
          <w:sz w:val="32"/>
          <w:szCs w:val="32"/>
          <w:lang w:val="en-US"/>
        </w:rPr>
        <w:t>国家金融监督管理总局广西监管局</w:t>
      </w:r>
      <w:r>
        <w:rPr>
          <w:rFonts w:hint="default" w:ascii="Times New Roman" w:hAnsi="Times New Roman" w:eastAsia="方正仿宋_GBK"/>
          <w:b w:val="0"/>
          <w:bCs w:val="0"/>
          <w:color w:val="auto"/>
          <w:sz w:val="32"/>
          <w:szCs w:val="32"/>
          <w:lang w:val="en-US" w:eastAsia="zh-CN"/>
        </w:rPr>
        <w:t>。</w:t>
      </w:r>
    </w:p>
    <w:p>
      <w:pPr>
        <w:pStyle w:val="29"/>
        <w:keepNext w:val="0"/>
        <w:keepLines w:val="0"/>
        <w:pageBreakBefore w:val="0"/>
        <w:kinsoku/>
        <w:wordWrap/>
        <w:overflowPunct/>
        <w:topLinePunct w:val="0"/>
        <w:bidi w:val="0"/>
        <w:adjustRightInd/>
        <w:snapToGrid/>
        <w:spacing w:line="590" w:lineRule="exact"/>
        <w:ind w:firstLine="643"/>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三</w:t>
      </w:r>
      <w:r>
        <w:rPr>
          <w:rFonts w:hint="default" w:ascii="Times New Roman" w:hAnsi="Times New Roman" w:eastAsia="方正楷体_GBK" w:cs="Times New Roman"/>
          <w:b w:val="0"/>
          <w:bCs w:val="0"/>
          <w:color w:val="auto"/>
          <w:sz w:val="32"/>
          <w:szCs w:val="32"/>
          <w:lang w:val="en-US"/>
        </w:rPr>
        <w:t>是在</w:t>
      </w:r>
      <w:r>
        <w:rPr>
          <w:rFonts w:hint="default" w:ascii="Times New Roman" w:hAnsi="Times New Roman" w:eastAsia="方正楷体_GBK" w:cs="Times New Roman"/>
          <w:b w:val="0"/>
          <w:bCs w:val="0"/>
          <w:color w:val="auto"/>
          <w:sz w:val="32"/>
          <w:szCs w:val="32"/>
          <w:lang w:val="en-US" w:eastAsia="zh-CN"/>
        </w:rPr>
        <w:t>健全合同备案和预告登记制度</w:t>
      </w:r>
      <w:r>
        <w:rPr>
          <w:rFonts w:hint="default" w:ascii="Times New Roman" w:hAnsi="Times New Roman" w:eastAsia="方正楷体_GBK" w:cs="Times New Roman"/>
          <w:b w:val="0"/>
          <w:bCs w:val="0"/>
          <w:color w:val="auto"/>
          <w:sz w:val="32"/>
          <w:szCs w:val="32"/>
          <w:lang w:val="en-US"/>
        </w:rPr>
        <w:t>上</w:t>
      </w:r>
      <w:r>
        <w:rPr>
          <w:rFonts w:hint="default" w:ascii="Times New Roman" w:hAnsi="Times New Roman" w:eastAsia="方正仿宋_GBK" w:cs="Times New Roman"/>
          <w:b w:val="0"/>
          <w:bCs w:val="0"/>
          <w:color w:val="auto"/>
          <w:sz w:val="32"/>
          <w:szCs w:val="32"/>
          <w:lang w:val="en-US"/>
        </w:rPr>
        <w:t>，《中华人民共和国民法典》</w:t>
      </w:r>
      <w:r>
        <w:rPr>
          <w:rFonts w:hint="default" w:ascii="Times New Roman" w:hAnsi="Times New Roman" w:eastAsia="方正仿宋_GBK" w:cs="Times New Roman"/>
          <w:b w:val="0"/>
          <w:bCs w:val="0"/>
          <w:color w:val="auto"/>
          <w:sz w:val="32"/>
          <w:szCs w:val="32"/>
          <w:lang w:val="en-US" w:eastAsia="zh-CN"/>
        </w:rPr>
        <w:t>规定的不动产预告登记制度，具有明晰不动产权利关系、预防多次处分交易风险，保障购房者最终取得房屋所有权的功能。合同备案制度是行之有效的维护商品房预售秩序的行政监管制度，和预告登记的有效衔接，更能够从行政监管和物权登记公示两方面防范交易风险，更好地保护购房人权利。</w:t>
      </w:r>
    </w:p>
    <w:p>
      <w:pPr>
        <w:pStyle w:val="29"/>
        <w:keepNext w:val="0"/>
        <w:keepLines w:val="0"/>
        <w:pageBreakBefore w:val="0"/>
        <w:kinsoku/>
        <w:wordWrap/>
        <w:overflowPunct/>
        <w:topLinePunct w:val="0"/>
        <w:bidi w:val="0"/>
        <w:adjustRightInd/>
        <w:snapToGrid/>
        <w:spacing w:line="590" w:lineRule="exact"/>
        <w:ind w:firstLine="643"/>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四</w:t>
      </w:r>
      <w:r>
        <w:rPr>
          <w:rFonts w:hint="default" w:ascii="Times New Roman" w:hAnsi="Times New Roman" w:eastAsia="方正楷体_GBK" w:cs="Times New Roman"/>
          <w:b w:val="0"/>
          <w:bCs w:val="0"/>
          <w:color w:val="auto"/>
          <w:sz w:val="32"/>
          <w:szCs w:val="32"/>
          <w:lang w:val="en-US"/>
        </w:rPr>
        <w:t>是在</w:t>
      </w:r>
      <w:r>
        <w:rPr>
          <w:rFonts w:hint="default" w:ascii="Times New Roman" w:hAnsi="Times New Roman" w:eastAsia="方正楷体_GBK" w:cs="Times New Roman"/>
          <w:b w:val="0"/>
          <w:bCs w:val="0"/>
          <w:color w:val="auto"/>
          <w:sz w:val="32"/>
          <w:szCs w:val="32"/>
          <w:lang w:val="en-US" w:eastAsia="zh-CN"/>
        </w:rPr>
        <w:t>预售资金监管</w:t>
      </w:r>
      <w:r>
        <w:rPr>
          <w:rFonts w:hint="default" w:ascii="Times New Roman" w:hAnsi="Times New Roman" w:eastAsia="方正楷体_GBK" w:cs="Times New Roman"/>
          <w:b w:val="0"/>
          <w:bCs w:val="0"/>
          <w:color w:val="auto"/>
          <w:sz w:val="32"/>
          <w:szCs w:val="32"/>
          <w:lang w:val="en-US"/>
        </w:rPr>
        <w:t>上</w:t>
      </w:r>
      <w:r>
        <w:rPr>
          <w:rFonts w:hint="default" w:ascii="Times New Roman" w:hAnsi="Times New Roman" w:eastAsia="方正仿宋_GBK" w:cs="Times New Roman"/>
          <w:b w:val="0"/>
          <w:bCs w:val="0"/>
          <w:color w:val="auto"/>
          <w:sz w:val="32"/>
          <w:szCs w:val="32"/>
          <w:lang w:val="en-US"/>
        </w:rPr>
        <w:t>，在原有合同示范文本中，</w:t>
      </w:r>
      <w:r>
        <w:rPr>
          <w:rFonts w:hint="default" w:ascii="Times New Roman" w:hAnsi="Times New Roman" w:eastAsia="方正仿宋_GBK" w:cs="Times New Roman"/>
          <w:b w:val="0"/>
          <w:bCs w:val="0"/>
          <w:color w:val="auto"/>
          <w:sz w:val="32"/>
          <w:szCs w:val="32"/>
          <w:lang w:val="en-US" w:eastAsia="zh-CN"/>
        </w:rPr>
        <w:t>预售资金监管账户条款较靠后，购房者</w:t>
      </w:r>
      <w:r>
        <w:rPr>
          <w:rFonts w:hint="eastAsia" w:ascii="Times New Roman" w:hAnsi="Times New Roman" w:eastAsia="方正仿宋_GBK" w:cs="Times New Roman"/>
          <w:b w:val="0"/>
          <w:bCs w:val="0"/>
          <w:color w:val="auto"/>
          <w:sz w:val="32"/>
          <w:szCs w:val="32"/>
          <w:lang w:val="en-US" w:eastAsia="zh-CN"/>
        </w:rPr>
        <w:t>不够</w:t>
      </w:r>
      <w:r>
        <w:rPr>
          <w:rFonts w:hint="default" w:ascii="Times New Roman" w:hAnsi="Times New Roman" w:eastAsia="方正仿宋_GBK" w:cs="Times New Roman"/>
          <w:b w:val="0"/>
          <w:bCs w:val="0"/>
          <w:color w:val="auto"/>
          <w:sz w:val="32"/>
          <w:szCs w:val="32"/>
          <w:lang w:val="en-US" w:eastAsia="zh-CN"/>
        </w:rPr>
        <w:t>重视，</w:t>
      </w:r>
      <w:r>
        <w:rPr>
          <w:rFonts w:hint="eastAsia" w:ascii="Times New Roman" w:hAnsi="Times New Roman" w:eastAsia="方正仿宋_GBK" w:cs="Times New Roman"/>
          <w:b w:val="0"/>
          <w:bCs w:val="0"/>
          <w:color w:val="auto"/>
          <w:sz w:val="32"/>
          <w:szCs w:val="32"/>
          <w:lang w:val="en-US" w:eastAsia="zh-CN"/>
        </w:rPr>
        <w:t>不注意核对</w:t>
      </w:r>
      <w:r>
        <w:rPr>
          <w:rFonts w:hint="default" w:ascii="Times New Roman" w:hAnsi="Times New Roman" w:eastAsia="方正仿宋_GBK" w:cs="Times New Roman"/>
          <w:b w:val="0"/>
          <w:bCs w:val="0"/>
          <w:color w:val="auto"/>
          <w:sz w:val="32"/>
          <w:szCs w:val="32"/>
          <w:lang w:val="en-US" w:eastAsia="zh-CN"/>
        </w:rPr>
        <w:t>预售资金监管账户</w:t>
      </w:r>
      <w:r>
        <w:rPr>
          <w:rFonts w:hint="eastAsia" w:ascii="Times New Roman" w:hAnsi="Times New Roman" w:eastAsia="方正仿宋_GBK" w:cs="Times New Roman"/>
          <w:b w:val="0"/>
          <w:bCs w:val="0"/>
          <w:color w:val="auto"/>
          <w:sz w:val="32"/>
          <w:szCs w:val="32"/>
          <w:lang w:val="en-US" w:eastAsia="zh-CN"/>
        </w:rPr>
        <w:t>，可能</w:t>
      </w:r>
      <w:r>
        <w:rPr>
          <w:rFonts w:hint="default" w:ascii="Times New Roman" w:hAnsi="Times New Roman" w:eastAsia="方正仿宋_GBK" w:cs="Times New Roman"/>
          <w:b w:val="0"/>
          <w:bCs w:val="0"/>
          <w:color w:val="auto"/>
          <w:sz w:val="32"/>
          <w:szCs w:val="32"/>
          <w:lang w:val="en-US" w:eastAsia="zh-CN"/>
        </w:rPr>
        <w:t>导致合法权益受损。需将该条款前置，让购房者充分注意并要求履行该条款。</w:t>
      </w:r>
    </w:p>
    <w:p>
      <w:pPr>
        <w:pStyle w:val="29"/>
        <w:keepNext w:val="0"/>
        <w:keepLines w:val="0"/>
        <w:pageBreakBefore w:val="0"/>
        <w:kinsoku/>
        <w:wordWrap/>
        <w:overflowPunct/>
        <w:topLinePunct w:val="0"/>
        <w:bidi w:val="0"/>
        <w:adjustRightInd/>
        <w:snapToGrid/>
        <w:spacing w:line="590" w:lineRule="exact"/>
        <w:ind w:firstLine="643"/>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五</w:t>
      </w:r>
      <w:r>
        <w:rPr>
          <w:rFonts w:hint="default" w:ascii="Times New Roman" w:hAnsi="Times New Roman" w:eastAsia="方正楷体_GBK" w:cs="Times New Roman"/>
          <w:b w:val="0"/>
          <w:bCs w:val="0"/>
          <w:color w:val="auto"/>
          <w:sz w:val="32"/>
          <w:szCs w:val="32"/>
          <w:lang w:val="en-US"/>
        </w:rPr>
        <w:t>是在</w:t>
      </w:r>
      <w:r>
        <w:rPr>
          <w:rFonts w:hint="default" w:ascii="Times New Roman" w:hAnsi="Times New Roman" w:eastAsia="方正楷体_GBK" w:cs="Times New Roman"/>
          <w:b w:val="0"/>
          <w:bCs w:val="0"/>
          <w:color w:val="auto"/>
          <w:sz w:val="32"/>
          <w:szCs w:val="32"/>
          <w:lang w:val="en-US" w:eastAsia="zh-CN"/>
        </w:rPr>
        <w:t>完善违约条款、争议解决方式</w:t>
      </w:r>
      <w:r>
        <w:rPr>
          <w:rFonts w:hint="default" w:ascii="Times New Roman" w:hAnsi="Times New Roman" w:eastAsia="方正楷体_GBK" w:cs="Times New Roman"/>
          <w:b w:val="0"/>
          <w:bCs w:val="0"/>
          <w:color w:val="auto"/>
          <w:sz w:val="32"/>
          <w:szCs w:val="32"/>
          <w:lang w:val="en-US"/>
        </w:rPr>
        <w:t>上</w:t>
      </w:r>
      <w:r>
        <w:rPr>
          <w:rFonts w:hint="default" w:ascii="Times New Roman" w:hAnsi="Times New Roman" w:eastAsia="方正仿宋_GBK" w:cs="Times New Roman"/>
          <w:b w:val="0"/>
          <w:bCs w:val="0"/>
          <w:color w:val="auto"/>
          <w:sz w:val="32"/>
          <w:szCs w:val="32"/>
          <w:lang w:val="en-US"/>
        </w:rPr>
        <w:t>，</w:t>
      </w:r>
      <w:r>
        <w:rPr>
          <w:rFonts w:hint="default" w:ascii="Times New Roman" w:hAnsi="Times New Roman" w:eastAsia="方正仿宋_GBK" w:cs="Times New Roman"/>
          <w:b w:val="0"/>
          <w:bCs w:val="0"/>
          <w:color w:val="auto"/>
          <w:sz w:val="32"/>
          <w:szCs w:val="32"/>
          <w:lang w:val="en-US" w:eastAsia="zh-CN"/>
        </w:rPr>
        <w:t>增加多次处分违约条款</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进一步防止出卖人</w:t>
      </w:r>
      <w:r>
        <w:rPr>
          <w:rFonts w:hint="eastAsia" w:ascii="方正仿宋_GBK" w:hAnsi="方正仿宋_GBK" w:eastAsia="方正仿宋_GBK" w:cs="方正仿宋_GBK"/>
          <w:b w:val="0"/>
          <w:bCs w:val="0"/>
          <w:color w:val="auto"/>
          <w:sz w:val="32"/>
          <w:szCs w:val="32"/>
          <w:lang w:val="en-US" w:eastAsia="zh-CN"/>
        </w:rPr>
        <w:t>“一房二卖”、“先卖后押”等多</w:t>
      </w:r>
      <w:r>
        <w:rPr>
          <w:rFonts w:hint="default" w:ascii="Times New Roman" w:hAnsi="Times New Roman" w:eastAsia="方正仿宋_GBK" w:cs="Times New Roman"/>
          <w:b w:val="0"/>
          <w:bCs w:val="0"/>
          <w:color w:val="auto"/>
          <w:sz w:val="32"/>
          <w:szCs w:val="32"/>
          <w:lang w:val="en-US" w:eastAsia="zh-CN"/>
        </w:rPr>
        <w:t>次处分房产的不规范行为，保护诚信一方，规范市场环境</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引导合同当事人在签订合同时确定调解组织，提示当事人先行和解、调解，仍不能解决争议再起诉。</w:t>
      </w:r>
    </w:p>
    <w:p>
      <w:pPr>
        <w:keepNext w:val="0"/>
        <w:keepLines w:val="0"/>
        <w:pageBreakBefore w:val="0"/>
        <w:kinsoku/>
        <w:wordWrap/>
        <w:overflowPunct/>
        <w:topLinePunct w:val="0"/>
        <w:bidi w:val="0"/>
        <w:adjustRightInd/>
        <w:snapToGrid/>
        <w:spacing w:line="590" w:lineRule="exact"/>
        <w:ind w:firstLine="640"/>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二、主要依据</w:t>
      </w:r>
    </w:p>
    <w:p>
      <w:pPr>
        <w:keepNext w:val="0"/>
        <w:keepLines w:val="0"/>
        <w:pageBreakBefore w:val="0"/>
        <w:kinsoku/>
        <w:wordWrap/>
        <w:overflowPunct/>
        <w:topLinePunct w:val="0"/>
        <w:bidi w:val="0"/>
        <w:adjustRightInd/>
        <w:snapToGrid/>
        <w:spacing w:line="59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（一）《中华人民共和国民法典》《中华人民共和国城市房地产管理法》《中华人民共和国消费者权益保护法》《城市房地产开发经营管理条例》</w:t>
      </w:r>
      <w:r>
        <w:rPr>
          <w:rFonts w:hint="eastAsia" w:ascii="Times New Roman" w:hAnsi="Times New Roman" w:eastAsia="方正仿宋_GBK" w:cs="Times New Roman"/>
          <w:b w:val="0"/>
          <w:bCs w:val="0"/>
          <w:color w:val="auto"/>
          <w:sz w:val="32"/>
          <w:szCs w:val="32"/>
          <w:lang w:eastAsia="zh-CN"/>
        </w:rPr>
        <w:t>《住房租赁条例》</w:t>
      </w:r>
      <w:r>
        <w:rPr>
          <w:rFonts w:hint="default" w:ascii="Times New Roman" w:hAnsi="Times New Roman" w:eastAsia="方正仿宋_GBK" w:cs="Times New Roman"/>
          <w:b w:val="0"/>
          <w:bCs w:val="0"/>
          <w:color w:val="auto"/>
          <w:sz w:val="32"/>
          <w:szCs w:val="32"/>
        </w:rPr>
        <w:t>等；</w:t>
      </w:r>
    </w:p>
    <w:p>
      <w:pPr>
        <w:keepNext w:val="0"/>
        <w:keepLines w:val="0"/>
        <w:pageBreakBefore w:val="0"/>
        <w:kinsoku/>
        <w:wordWrap/>
        <w:overflowPunct/>
        <w:topLinePunct w:val="0"/>
        <w:bidi w:val="0"/>
        <w:adjustRightInd/>
        <w:snapToGrid/>
        <w:spacing w:line="59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（二）住房城乡建设部《城市商品房预售管理办法》《商品房销售管理办法》《关于进一步规范和加强房屋网签备案工作的指导意见》等。</w:t>
      </w:r>
    </w:p>
    <w:p>
      <w:pPr>
        <w:keepNext w:val="0"/>
        <w:keepLines w:val="0"/>
        <w:pageBreakBefore w:val="0"/>
        <w:kinsoku/>
        <w:wordWrap/>
        <w:overflowPunct/>
        <w:topLinePunct w:val="0"/>
        <w:bidi w:val="0"/>
        <w:adjustRightInd/>
        <w:snapToGrid/>
        <w:spacing w:line="590" w:lineRule="exact"/>
        <w:ind w:firstLine="640" w:firstLineChars="200"/>
        <w:textAlignment w:val="auto"/>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lang w:val="en-US" w:eastAsia="zh-CN"/>
        </w:rPr>
        <w:t>三</w:t>
      </w:r>
      <w:r>
        <w:rPr>
          <w:rFonts w:hint="default" w:ascii="Times New Roman" w:hAnsi="Times New Roman" w:eastAsia="方正黑体_GBK" w:cs="Times New Roman"/>
          <w:b w:val="0"/>
          <w:bCs w:val="0"/>
          <w:color w:val="auto"/>
          <w:sz w:val="32"/>
          <w:szCs w:val="32"/>
        </w:rPr>
        <w:t>、主要内容</w:t>
      </w:r>
    </w:p>
    <w:p>
      <w:pPr>
        <w:keepNext w:val="0"/>
        <w:keepLines w:val="0"/>
        <w:pageBreakBefore w:val="0"/>
        <w:widowControl/>
        <w:kinsoku/>
        <w:wordWrap/>
        <w:overflowPunct/>
        <w:topLinePunct w:val="0"/>
        <w:bidi w:val="0"/>
        <w:adjustRightInd/>
        <w:snapToGrid/>
        <w:spacing w:line="59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楷体_GBK" w:cs="Times New Roman"/>
          <w:b w:val="0"/>
          <w:bCs w:val="0"/>
          <w:color w:val="auto"/>
          <w:sz w:val="32"/>
          <w:szCs w:val="32"/>
          <w:lang w:val="en-US" w:eastAsia="zh-CN"/>
        </w:rPr>
        <w:t>（一）</w:t>
      </w:r>
      <w:r>
        <w:rPr>
          <w:rFonts w:hint="default" w:ascii="Times New Roman" w:hAnsi="Times New Roman" w:eastAsia="方正楷体_GBK" w:cs="Times New Roman"/>
          <w:b w:val="0"/>
          <w:bCs w:val="0"/>
          <w:color w:val="auto"/>
          <w:sz w:val="32"/>
          <w:szCs w:val="32"/>
        </w:rPr>
        <w:t>修订文本制定依据。</w:t>
      </w:r>
      <w:r>
        <w:rPr>
          <w:rFonts w:hint="default" w:ascii="Times New Roman" w:hAnsi="Times New Roman" w:eastAsia="方正仿宋_GBK" w:cs="Times New Roman"/>
          <w:b w:val="0"/>
          <w:bCs w:val="0"/>
          <w:color w:val="auto"/>
          <w:sz w:val="32"/>
          <w:szCs w:val="32"/>
        </w:rPr>
        <w:t>将</w:t>
      </w:r>
      <w:r>
        <w:rPr>
          <w:rFonts w:hint="default" w:ascii="Times New Roman" w:hAnsi="Times New Roman" w:eastAsia="方正仿宋_GBK" w:cs="Times New Roman"/>
          <w:b w:val="0"/>
          <w:bCs w:val="0"/>
          <w:color w:val="auto"/>
          <w:sz w:val="32"/>
          <w:szCs w:val="32"/>
          <w:lang w:eastAsia="zh-CN"/>
        </w:rPr>
        <w:t>原</w:t>
      </w:r>
      <w:r>
        <w:rPr>
          <w:rFonts w:hint="eastAsia" w:ascii="Times New Roman" w:hAnsi="Times New Roman" w:eastAsia="方正仿宋_GBK" w:cs="Times New Roman"/>
          <w:b w:val="0"/>
          <w:bCs w:val="0"/>
          <w:color w:val="auto"/>
          <w:sz w:val="32"/>
          <w:szCs w:val="32"/>
          <w:lang w:eastAsia="zh-CN"/>
        </w:rPr>
        <w:t>五</w:t>
      </w:r>
      <w:r>
        <w:rPr>
          <w:rFonts w:hint="default" w:ascii="Times New Roman" w:hAnsi="Times New Roman" w:eastAsia="方正仿宋_GBK" w:cs="Times New Roman"/>
          <w:b w:val="0"/>
          <w:bCs w:val="0"/>
          <w:color w:val="auto"/>
          <w:sz w:val="32"/>
          <w:szCs w:val="32"/>
          <w:lang w:val="en-US" w:eastAsia="zh-CN"/>
        </w:rPr>
        <w:t>个</w:t>
      </w:r>
      <w:r>
        <w:rPr>
          <w:rFonts w:hint="default" w:ascii="Times New Roman" w:hAnsi="Times New Roman" w:eastAsia="方正仿宋_GBK" w:cs="Times New Roman"/>
          <w:b w:val="0"/>
          <w:bCs w:val="0"/>
          <w:color w:val="auto"/>
          <w:sz w:val="32"/>
          <w:szCs w:val="32"/>
          <w:lang w:eastAsia="zh-CN"/>
        </w:rPr>
        <w:t>示范文本中涉及</w:t>
      </w:r>
      <w:r>
        <w:rPr>
          <w:rFonts w:hint="default" w:ascii="Times New Roman" w:hAnsi="Times New Roman" w:eastAsia="方正仿宋_GBK"/>
          <w:b w:val="0"/>
          <w:bCs w:val="0"/>
          <w:color w:val="auto"/>
          <w:sz w:val="32"/>
          <w:szCs w:val="32"/>
        </w:rPr>
        <w:t>《中华人民共和国民法总则》《中华人民共和国合同法》《中华人民共和国物权法》</w:t>
      </w:r>
      <w:r>
        <w:rPr>
          <w:rFonts w:hint="default" w:ascii="Times New Roman" w:hAnsi="Times New Roman" w:eastAsia="方正仿宋_GBK"/>
          <w:b w:val="0"/>
          <w:bCs w:val="0"/>
          <w:color w:val="auto"/>
          <w:sz w:val="32"/>
          <w:szCs w:val="32"/>
          <w:lang w:eastAsia="zh-CN"/>
        </w:rPr>
        <w:t>相关内容统一修订为</w:t>
      </w:r>
      <w:r>
        <w:rPr>
          <w:rFonts w:hint="default" w:ascii="Times New Roman" w:hAnsi="Times New Roman" w:eastAsia="方正仿宋_GBK"/>
          <w:b w:val="0"/>
          <w:bCs w:val="0"/>
          <w:color w:val="auto"/>
          <w:sz w:val="32"/>
          <w:szCs w:val="32"/>
        </w:rPr>
        <w:t>《中华人民共和国民法典》</w:t>
      </w:r>
      <w:r>
        <w:rPr>
          <w:rFonts w:hint="default" w:ascii="Times New Roman" w:hAnsi="Times New Roman" w:eastAsia="方正仿宋_GBK"/>
          <w:b w:val="0"/>
          <w:bCs w:val="0"/>
          <w:color w:val="auto"/>
          <w:sz w:val="32"/>
          <w:szCs w:val="32"/>
          <w:lang w:eastAsia="zh-CN"/>
        </w:rPr>
        <w:t>，并更新引用条款。</w:t>
      </w:r>
    </w:p>
    <w:p>
      <w:pPr>
        <w:keepNext w:val="0"/>
        <w:keepLines w:val="0"/>
        <w:pageBreakBefore w:val="0"/>
        <w:kinsoku/>
        <w:wordWrap/>
        <w:overflowPunct/>
        <w:topLinePunct w:val="0"/>
        <w:bidi w:val="0"/>
        <w:adjustRightInd/>
        <w:snapToGrid/>
        <w:spacing w:line="590"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eastAsia" w:ascii="Times New Roman" w:hAnsi="Times New Roman" w:eastAsia="方正楷体_GBK" w:cs="Times New Roman"/>
          <w:b w:val="0"/>
          <w:bCs w:val="0"/>
          <w:color w:val="auto"/>
          <w:sz w:val="32"/>
          <w:szCs w:val="32"/>
          <w:lang w:val="en-US" w:eastAsia="zh-CN"/>
        </w:rPr>
        <w:t>（二）</w:t>
      </w:r>
      <w:r>
        <w:rPr>
          <w:rFonts w:hint="default" w:ascii="Times New Roman" w:hAnsi="Times New Roman" w:eastAsia="方正楷体_GBK" w:cs="Times New Roman"/>
          <w:b w:val="0"/>
          <w:bCs w:val="0"/>
          <w:color w:val="auto"/>
          <w:sz w:val="32"/>
          <w:szCs w:val="32"/>
        </w:rPr>
        <w:t>修订</w:t>
      </w:r>
      <w:r>
        <w:rPr>
          <w:rFonts w:hint="default" w:ascii="Times New Roman" w:hAnsi="Times New Roman" w:eastAsia="方正楷体_GBK" w:cs="Times New Roman"/>
          <w:b w:val="0"/>
          <w:bCs w:val="0"/>
          <w:color w:val="auto"/>
          <w:sz w:val="32"/>
          <w:szCs w:val="32"/>
          <w:lang w:eastAsia="zh-CN"/>
        </w:rPr>
        <w:t>部门名称</w:t>
      </w:r>
      <w:r>
        <w:rPr>
          <w:rFonts w:hint="default" w:ascii="Times New Roman" w:hAnsi="Times New Roman" w:eastAsia="方正楷体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根据目前最新部门名称，将</w:t>
      </w:r>
      <w:r>
        <w:rPr>
          <w:rFonts w:hint="default" w:ascii="Times New Roman" w:hAnsi="Times New Roman" w:eastAsia="方正仿宋_GBK" w:cs="Times New Roman"/>
          <w:b w:val="0"/>
          <w:bCs w:val="0"/>
          <w:color w:val="auto"/>
          <w:sz w:val="32"/>
          <w:szCs w:val="32"/>
          <w:lang w:val="en-US" w:eastAsia="zh-CN"/>
        </w:rPr>
        <w:t>原</w:t>
      </w:r>
      <w:r>
        <w:rPr>
          <w:rFonts w:hint="default" w:ascii="Times New Roman" w:hAnsi="Times New Roman" w:eastAsia="方正仿宋_GBK"/>
          <w:b w:val="0"/>
          <w:bCs w:val="0"/>
          <w:color w:val="auto"/>
          <w:sz w:val="32"/>
          <w:szCs w:val="32"/>
          <w:lang w:val="en-US"/>
        </w:rPr>
        <w:t>中国人民银行南宁中心支行</w:t>
      </w:r>
      <w:r>
        <w:rPr>
          <w:rFonts w:hint="default" w:ascii="Times New Roman" w:hAnsi="Times New Roman" w:eastAsia="方正仿宋_GBK"/>
          <w:b w:val="0"/>
          <w:bCs w:val="0"/>
          <w:color w:val="auto"/>
          <w:sz w:val="32"/>
          <w:szCs w:val="32"/>
          <w:lang w:val="en-US" w:eastAsia="zh-CN"/>
        </w:rPr>
        <w:t>修订为</w:t>
      </w:r>
      <w:r>
        <w:rPr>
          <w:rFonts w:hint="default" w:ascii="Times New Roman" w:hAnsi="Times New Roman" w:eastAsia="方正仿宋_GBK"/>
          <w:b w:val="0"/>
          <w:bCs w:val="0"/>
          <w:color w:val="auto"/>
          <w:sz w:val="32"/>
          <w:szCs w:val="32"/>
          <w:lang w:val="en-US"/>
        </w:rPr>
        <w:t>中国人民银行广西壮族自治区分行</w:t>
      </w:r>
      <w:r>
        <w:rPr>
          <w:rFonts w:hint="default" w:ascii="Times New Roman" w:hAnsi="Times New Roman" w:eastAsia="方正仿宋_GBK"/>
          <w:b w:val="0"/>
          <w:bCs w:val="0"/>
          <w:color w:val="auto"/>
          <w:sz w:val="32"/>
          <w:szCs w:val="32"/>
          <w:lang w:val="en-US" w:eastAsia="zh-CN"/>
        </w:rPr>
        <w:t>，</w:t>
      </w:r>
      <w:r>
        <w:rPr>
          <w:rFonts w:hint="eastAsia" w:ascii="Times New Roman" w:hAnsi="Times New Roman" w:eastAsia="方正仿宋_GBK"/>
          <w:b w:val="0"/>
          <w:bCs w:val="0"/>
          <w:color w:val="auto"/>
          <w:sz w:val="32"/>
          <w:szCs w:val="32"/>
          <w:lang w:val="en-US" w:eastAsia="zh-CN"/>
        </w:rPr>
        <w:t>将</w:t>
      </w:r>
      <w:r>
        <w:rPr>
          <w:rFonts w:hint="default" w:ascii="Times New Roman" w:hAnsi="Times New Roman" w:eastAsia="方正仿宋_GBK"/>
          <w:b w:val="0"/>
          <w:bCs w:val="0"/>
          <w:color w:val="auto"/>
          <w:sz w:val="32"/>
          <w:szCs w:val="32"/>
          <w:lang w:val="en-US" w:eastAsia="zh-CN"/>
        </w:rPr>
        <w:t>原</w:t>
      </w:r>
      <w:r>
        <w:rPr>
          <w:rFonts w:hint="default" w:ascii="Times New Roman" w:hAnsi="Times New Roman" w:eastAsia="方正仿宋_GBK"/>
          <w:b w:val="0"/>
          <w:bCs w:val="0"/>
          <w:color w:val="auto"/>
          <w:sz w:val="32"/>
          <w:szCs w:val="32"/>
          <w:lang w:val="en-US"/>
        </w:rPr>
        <w:t>中国银行保险监督管理委员会广西监管局</w:t>
      </w:r>
      <w:r>
        <w:rPr>
          <w:rFonts w:hint="default" w:ascii="Times New Roman" w:hAnsi="Times New Roman" w:eastAsia="方正仿宋_GBK"/>
          <w:b w:val="0"/>
          <w:bCs w:val="0"/>
          <w:color w:val="auto"/>
          <w:sz w:val="32"/>
          <w:szCs w:val="32"/>
          <w:lang w:val="en-US" w:eastAsia="zh-CN"/>
        </w:rPr>
        <w:t>修订为</w:t>
      </w:r>
      <w:r>
        <w:rPr>
          <w:rFonts w:hint="default" w:ascii="Times New Roman" w:hAnsi="Times New Roman" w:eastAsia="方正仿宋_GBK"/>
          <w:b w:val="0"/>
          <w:bCs w:val="0"/>
          <w:color w:val="auto"/>
          <w:sz w:val="32"/>
          <w:szCs w:val="32"/>
          <w:lang w:val="en-US"/>
        </w:rPr>
        <w:t>国家金融监督管理总局广西监管局</w:t>
      </w:r>
      <w:r>
        <w:rPr>
          <w:rFonts w:hint="default" w:ascii="Times New Roman" w:hAnsi="Times New Roman" w:eastAsia="方正仿宋_GBK"/>
          <w:b w:val="0"/>
          <w:bCs w:val="0"/>
          <w:color w:val="auto"/>
          <w:sz w:val="32"/>
          <w:szCs w:val="32"/>
          <w:lang w:val="en-US" w:eastAsia="zh-CN"/>
        </w:rPr>
        <w:t>。</w:t>
      </w:r>
    </w:p>
    <w:p>
      <w:pPr>
        <w:keepNext w:val="0"/>
        <w:keepLines w:val="0"/>
        <w:pageBreakBefore w:val="0"/>
        <w:widowControl/>
        <w:kinsoku/>
        <w:wordWrap/>
        <w:overflowPunct/>
        <w:topLinePunct w:val="0"/>
        <w:autoSpaceDE w:val="0"/>
        <w:autoSpaceDN w:val="0"/>
        <w:bidi w:val="0"/>
        <w:adjustRightInd/>
        <w:snapToGrid/>
        <w:spacing w:line="59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楷体_GBK" w:cs="Times New Roman"/>
          <w:b w:val="0"/>
          <w:bCs w:val="0"/>
          <w:color w:val="auto"/>
          <w:sz w:val="32"/>
          <w:szCs w:val="32"/>
          <w:lang w:val="en-US" w:eastAsia="zh-CN"/>
        </w:rPr>
        <w:t>（三）</w:t>
      </w:r>
      <w:r>
        <w:rPr>
          <w:rFonts w:hint="default" w:ascii="Times New Roman" w:hAnsi="Times New Roman" w:eastAsia="方正楷体_GBK" w:cs="Times New Roman"/>
          <w:b w:val="0"/>
          <w:bCs w:val="0"/>
          <w:color w:val="auto"/>
          <w:sz w:val="32"/>
          <w:szCs w:val="32"/>
          <w:lang w:val="en-US" w:eastAsia="zh-CN"/>
        </w:rPr>
        <w:t>增加房屋预告登记条款。</w:t>
      </w:r>
      <w:r>
        <w:rPr>
          <w:rFonts w:hint="default" w:ascii="Times New Roman" w:hAnsi="Times New Roman" w:eastAsia="方正仿宋_GBK" w:cs="Times New Roman"/>
          <w:b w:val="0"/>
          <w:bCs w:val="0"/>
          <w:color w:val="auto"/>
          <w:sz w:val="32"/>
          <w:szCs w:val="32"/>
          <w:lang w:eastAsia="zh-CN"/>
        </w:rPr>
        <w:t>根据《最高人民法院关于加强商品房预售监管协同推进矛盾纠纷源头治理的司法建议书》（法建〔</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〕号）的建议，在《广西壮族自治区商品房买卖合同（预售）（示范文本）》中增加</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第二十条  房屋预告登记</w:t>
      </w:r>
      <w:r>
        <w:rPr>
          <w:rFonts w:hint="eastAsia" w:ascii="方正仿宋_GBK" w:hAnsi="方正仿宋_GBK" w:eastAsia="方正仿宋_GBK" w:cs="方正仿宋_GBK"/>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，原二十条顺延为第二十一条，预告登记有利于保障房屋买受人将来实现物权，也可以解决司法实践中出现的</w:t>
      </w:r>
      <w:r>
        <w:rPr>
          <w:rFonts w:hint="eastAsia" w:ascii="方正仿宋_GBK" w:hAnsi="方正仿宋_GBK" w:eastAsia="方正仿宋_GBK" w:cs="方正仿宋_GBK"/>
          <w:b w:val="0"/>
          <w:bCs w:val="0"/>
          <w:color w:val="auto"/>
          <w:sz w:val="32"/>
          <w:szCs w:val="32"/>
          <w:lang w:eastAsia="zh-CN"/>
        </w:rPr>
        <w:t>“一房二卖”“先卖后押”</w:t>
      </w:r>
      <w:r>
        <w:rPr>
          <w:rFonts w:hint="default" w:ascii="Times New Roman" w:hAnsi="Times New Roman" w:eastAsia="方正仿宋_GBK" w:cs="Times New Roman"/>
          <w:b w:val="0"/>
          <w:bCs w:val="0"/>
          <w:color w:val="auto"/>
          <w:sz w:val="32"/>
          <w:szCs w:val="32"/>
          <w:lang w:eastAsia="zh-CN"/>
        </w:rPr>
        <w:t>、执行异议纠纷等购房人权利认定难的问题</w:t>
      </w:r>
      <w:r>
        <w:rPr>
          <w:rFonts w:hint="eastAsia" w:ascii="Times New Roman" w:hAnsi="Times New Roman" w:eastAsia="方正仿宋_GBK" w:cs="Times New Roman"/>
          <w:b w:val="0"/>
          <w:bCs w:val="0"/>
          <w:color w:val="auto"/>
          <w:sz w:val="32"/>
          <w:szCs w:val="32"/>
          <w:lang w:eastAsia="zh-CN"/>
        </w:rPr>
        <w:t>，并新增预告登记主管部门自治区自然资源厅作为联合印发部门。</w:t>
      </w:r>
    </w:p>
    <w:p>
      <w:pPr>
        <w:keepNext w:val="0"/>
        <w:keepLines w:val="0"/>
        <w:pageBreakBefore w:val="0"/>
        <w:widowControl/>
        <w:kinsoku/>
        <w:wordWrap/>
        <w:overflowPunct/>
        <w:topLinePunct w:val="0"/>
        <w:autoSpaceDE w:val="0"/>
        <w:autoSpaceDN w:val="0"/>
        <w:bidi w:val="0"/>
        <w:adjustRightInd/>
        <w:snapToGrid/>
        <w:spacing w:line="59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eastAsia" w:ascii="Times New Roman" w:hAnsi="Times New Roman" w:eastAsia="方正楷体_GBK" w:cs="Times New Roman"/>
          <w:b w:val="0"/>
          <w:bCs w:val="0"/>
          <w:color w:val="auto"/>
          <w:sz w:val="32"/>
          <w:szCs w:val="32"/>
          <w:lang w:val="en-US" w:eastAsia="zh-CN"/>
        </w:rPr>
        <w:t>（四）</w:t>
      </w:r>
      <w:r>
        <w:rPr>
          <w:rFonts w:hint="default" w:ascii="Times New Roman" w:hAnsi="Times New Roman" w:eastAsia="方正楷体_GBK" w:cs="Times New Roman"/>
          <w:b w:val="0"/>
          <w:bCs w:val="0"/>
          <w:color w:val="auto"/>
          <w:sz w:val="32"/>
          <w:szCs w:val="32"/>
          <w:lang w:eastAsia="zh-CN"/>
        </w:rPr>
        <w:t>完善预售资金监管账户条款</w:t>
      </w:r>
      <w:r>
        <w:rPr>
          <w:rFonts w:hint="default" w:ascii="Times New Roman" w:hAnsi="Times New Roman" w:eastAsia="方正楷体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根据《最高人民法院关于加强商品房预售监管协同推进矛盾纠纷源头治理的司法建议书》（法建〔</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号）的建议，将《广西壮族自治区商品房买卖合同（预售）（示范文本）》《广西壮族自治区商品房买卖合同（现售）（示范文本）、《广西壮族自治区存量房买卖合同（示范文本）》中资金监管内容提前至对应条款的第</w:t>
      </w:r>
      <w:r>
        <w:rPr>
          <w:rFonts w:hint="default" w:ascii="Times New Roman" w:hAnsi="Times New Roman" w:eastAsia="方正仿宋_GBK"/>
          <w:b w:val="0"/>
          <w:bCs w:val="0"/>
          <w:color w:val="auto"/>
          <w:sz w:val="32"/>
          <w:szCs w:val="32"/>
        </w:rPr>
        <w:t>（一）</w:t>
      </w:r>
      <w:r>
        <w:rPr>
          <w:rFonts w:hint="default" w:ascii="Times New Roman" w:hAnsi="Times New Roman" w:eastAsia="方正仿宋_GBK"/>
          <w:b w:val="0"/>
          <w:bCs w:val="0"/>
          <w:color w:val="auto"/>
          <w:sz w:val="32"/>
          <w:szCs w:val="32"/>
          <w:lang w:eastAsia="zh-CN"/>
        </w:rPr>
        <w:t>点</w:t>
      </w:r>
      <w:r>
        <w:rPr>
          <w:rFonts w:hint="default" w:ascii="Times New Roman" w:hAnsi="Times New Roman" w:eastAsia="方正仿宋_GBK" w:cs="Times New Roman"/>
          <w:b w:val="0"/>
          <w:bCs w:val="0"/>
          <w:color w:val="auto"/>
          <w:sz w:val="32"/>
          <w:szCs w:val="32"/>
          <w:lang w:eastAsia="zh-CN"/>
        </w:rPr>
        <w:t>，让购房者充分注意并要求该条款。</w:t>
      </w:r>
    </w:p>
    <w:p>
      <w:pPr>
        <w:keepNext w:val="0"/>
        <w:keepLines w:val="0"/>
        <w:pageBreakBefore w:val="0"/>
        <w:widowControl w:val="0"/>
        <w:kinsoku/>
        <w:wordWrap/>
        <w:overflowPunct/>
        <w:topLinePunct w:val="0"/>
        <w:bidi w:val="0"/>
        <w:adjustRightInd/>
        <w:snapToGrid/>
        <w:spacing w:line="590" w:lineRule="exact"/>
        <w:ind w:firstLine="641"/>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楷体_GBK" w:cs="Times New Roman"/>
          <w:b w:val="0"/>
          <w:bCs w:val="0"/>
          <w:color w:val="auto"/>
          <w:sz w:val="32"/>
          <w:szCs w:val="32"/>
          <w:lang w:val="en-US" w:eastAsia="zh-CN"/>
        </w:rPr>
        <w:t>（五）</w:t>
      </w:r>
      <w:r>
        <w:rPr>
          <w:rFonts w:hint="default" w:ascii="Times New Roman" w:hAnsi="Times New Roman" w:eastAsia="方正楷体_GBK" w:cs="Times New Roman"/>
          <w:b w:val="0"/>
          <w:bCs w:val="0"/>
          <w:color w:val="auto"/>
          <w:sz w:val="32"/>
          <w:szCs w:val="32"/>
          <w:lang w:eastAsia="zh-CN"/>
        </w:rPr>
        <w:t>增加多次处分违约条款</w:t>
      </w:r>
      <w:r>
        <w:rPr>
          <w:rFonts w:hint="default" w:ascii="Times New Roman" w:hAnsi="Times New Roman" w:eastAsia="方正楷体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根据《最高人民法院关于加强商品房预售监管协同推进矛盾纠纷源头治理的司法建议书》（法建〔</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〕号）的建议，在《广西壮族自治区商品房买卖合同（预售）（示范文本）》《广西壮族自治区商品房买卖合同（现售）（示范文本）》的</w:t>
      </w:r>
      <w:r>
        <w:rPr>
          <w:rFonts w:hint="default" w:ascii="Times New Roman" w:hAnsi="Times New Roman" w:eastAsia="方正仿宋_GBK"/>
          <w:b w:val="0"/>
          <w:bCs w:val="0"/>
          <w:color w:val="auto"/>
          <w:sz w:val="32"/>
          <w:szCs w:val="32"/>
        </w:rPr>
        <w:t>房屋权利状况承诺</w:t>
      </w:r>
      <w:r>
        <w:rPr>
          <w:rFonts w:hint="default" w:ascii="Times New Roman" w:hAnsi="Times New Roman" w:eastAsia="方正仿宋_GBK"/>
          <w:b w:val="0"/>
          <w:bCs w:val="0"/>
          <w:color w:val="auto"/>
          <w:sz w:val="32"/>
          <w:szCs w:val="32"/>
          <w:lang w:eastAsia="zh-CN"/>
        </w:rPr>
        <w:t>中增加</w:t>
      </w:r>
      <w:r>
        <w:rPr>
          <w:rFonts w:hint="default" w:ascii="Times New Roman" w:hAnsi="Times New Roman" w:eastAsia="方正仿宋_GBK"/>
          <w:b w:val="0"/>
          <w:bCs w:val="0"/>
          <w:color w:val="auto"/>
          <w:sz w:val="32"/>
          <w:szCs w:val="32"/>
        </w:rPr>
        <w:t>多次处分违约条款</w:t>
      </w:r>
      <w:r>
        <w:rPr>
          <w:rFonts w:hint="default" w:ascii="Times New Roman" w:hAnsi="Times New Roman" w:eastAsia="方正仿宋_GBK"/>
          <w:b w:val="0"/>
          <w:bCs w:val="0"/>
          <w:color w:val="auto"/>
          <w:sz w:val="32"/>
          <w:szCs w:val="32"/>
          <w:lang w:eastAsia="zh-CN"/>
        </w:rPr>
        <w:t>，防止出卖人</w:t>
      </w:r>
      <w:r>
        <w:rPr>
          <w:rFonts w:hint="eastAsia" w:ascii="方正仿宋_GBK" w:hAnsi="方正仿宋_GBK" w:eastAsia="方正仿宋_GBK" w:cs="方正仿宋_GBK"/>
          <w:b w:val="0"/>
          <w:bCs w:val="0"/>
          <w:color w:val="auto"/>
          <w:sz w:val="32"/>
          <w:szCs w:val="32"/>
          <w:lang w:eastAsia="zh-CN"/>
        </w:rPr>
        <w:t>“一房二卖”、“先卖后押”等</w:t>
      </w:r>
      <w:r>
        <w:rPr>
          <w:rFonts w:hint="default" w:ascii="Times New Roman" w:hAnsi="Times New Roman" w:eastAsia="方正仿宋_GBK"/>
          <w:b w:val="0"/>
          <w:bCs w:val="0"/>
          <w:color w:val="auto"/>
          <w:sz w:val="32"/>
          <w:szCs w:val="32"/>
          <w:lang w:eastAsia="zh-CN"/>
        </w:rPr>
        <w:t>多次处分的不规范行为，保护诚信一方，规范市场环境。</w:t>
      </w:r>
    </w:p>
    <w:p>
      <w:pPr>
        <w:keepNext w:val="0"/>
        <w:keepLines w:val="0"/>
        <w:pageBreakBefore w:val="0"/>
        <w:kinsoku/>
        <w:wordWrap/>
        <w:overflowPunct/>
        <w:topLinePunct w:val="0"/>
        <w:bidi w:val="0"/>
        <w:adjustRightInd/>
        <w:snapToGrid/>
        <w:spacing w:line="590" w:lineRule="exact"/>
        <w:ind w:firstLine="641"/>
        <w:textAlignment w:val="auto"/>
        <w:rPr>
          <w:rFonts w:hint="default" w:ascii="Times New Roman" w:hAnsi="Times New Roman" w:eastAsia="方正仿宋_GBK" w:cs="Times New Roman"/>
          <w:b w:val="0"/>
          <w:bCs w:val="0"/>
          <w:color w:val="auto"/>
          <w:sz w:val="32"/>
          <w:szCs w:val="32"/>
          <w:lang w:eastAsia="zh-CN"/>
        </w:rPr>
      </w:pPr>
      <w:r>
        <w:rPr>
          <w:rFonts w:hint="eastAsia" w:ascii="Times New Roman" w:hAnsi="Times New Roman" w:eastAsia="方正楷体_GBK" w:cs="Times New Roman"/>
          <w:b w:val="0"/>
          <w:bCs w:val="0"/>
          <w:color w:val="auto"/>
          <w:sz w:val="32"/>
          <w:szCs w:val="32"/>
          <w:lang w:val="en-US" w:eastAsia="zh-CN"/>
        </w:rPr>
        <w:t>（六）</w:t>
      </w:r>
      <w:r>
        <w:rPr>
          <w:rFonts w:hint="default" w:ascii="Times New Roman" w:hAnsi="Times New Roman" w:eastAsia="方正楷体_GBK" w:cs="Times New Roman"/>
          <w:b w:val="0"/>
          <w:bCs w:val="0"/>
          <w:color w:val="auto"/>
          <w:sz w:val="32"/>
          <w:szCs w:val="32"/>
          <w:lang w:val="en-US" w:eastAsia="zh-CN"/>
        </w:rPr>
        <w:t>完善合同争议解决条款。</w:t>
      </w:r>
      <w:r>
        <w:rPr>
          <w:rFonts w:hint="default" w:ascii="Times New Roman" w:hAnsi="Times New Roman" w:eastAsia="方正仿宋_GBK" w:cs="Times New Roman"/>
          <w:b w:val="0"/>
          <w:bCs w:val="0"/>
          <w:color w:val="auto"/>
          <w:sz w:val="32"/>
          <w:szCs w:val="32"/>
          <w:lang w:eastAsia="zh-CN"/>
        </w:rPr>
        <w:t>根据《最高人民法院关于加强商品房预售监管协同推进矛盾纠纷源头治理的司法建议书》（法建〔</w:t>
      </w:r>
      <w:r>
        <w:rPr>
          <w:rFonts w:hint="default" w:ascii="Times New Roman" w:hAnsi="Times New Roman" w:eastAsia="方正仿宋_GBK" w:cs="Times New Roman"/>
          <w:b w:val="0"/>
          <w:bCs w:val="0"/>
          <w:color w:val="auto"/>
          <w:sz w:val="32"/>
          <w:szCs w:val="32"/>
          <w:lang w:val="en-US" w:eastAsia="zh-CN"/>
        </w:rPr>
        <w:t>1</w:t>
      </w:r>
      <w:r>
        <w:rPr>
          <w:rFonts w:hint="default" w:ascii="Times New Roman" w:hAnsi="Times New Roman" w:eastAsia="方正仿宋_GBK" w:cs="Times New Roman"/>
          <w:b w:val="0"/>
          <w:bCs w:val="0"/>
          <w:color w:val="auto"/>
          <w:sz w:val="32"/>
          <w:szCs w:val="32"/>
          <w:lang w:eastAsia="zh-CN"/>
        </w:rPr>
        <w:t>〕号）的建议，完善原</w:t>
      </w:r>
      <w:r>
        <w:rPr>
          <w:rFonts w:hint="eastAsia" w:ascii="Times New Roman" w:hAnsi="Times New Roman" w:eastAsia="方正仿宋_GBK" w:cs="Times New Roman"/>
          <w:b w:val="0"/>
          <w:bCs w:val="0"/>
          <w:color w:val="auto"/>
          <w:sz w:val="32"/>
          <w:szCs w:val="32"/>
          <w:lang w:val="en-US" w:eastAsia="zh-CN"/>
        </w:rPr>
        <w:t>五</w:t>
      </w:r>
      <w:r>
        <w:rPr>
          <w:rFonts w:hint="default" w:ascii="Times New Roman" w:hAnsi="Times New Roman" w:eastAsia="方正仿宋_GBK" w:cs="Times New Roman"/>
          <w:b w:val="0"/>
          <w:bCs w:val="0"/>
          <w:color w:val="auto"/>
          <w:sz w:val="32"/>
          <w:szCs w:val="32"/>
          <w:lang w:val="en-US" w:eastAsia="zh-CN"/>
        </w:rPr>
        <w:t>个</w:t>
      </w:r>
      <w:r>
        <w:rPr>
          <w:rFonts w:hint="default" w:ascii="Times New Roman" w:hAnsi="Times New Roman" w:eastAsia="方正仿宋_GBK" w:cs="Times New Roman"/>
          <w:b w:val="0"/>
          <w:bCs w:val="0"/>
          <w:color w:val="auto"/>
          <w:sz w:val="32"/>
          <w:szCs w:val="32"/>
          <w:lang w:eastAsia="zh-CN"/>
        </w:rPr>
        <w:t>示范文本的</w:t>
      </w:r>
      <w:r>
        <w:rPr>
          <w:rFonts w:hint="default" w:ascii="Times New Roman" w:hAnsi="Times New Roman" w:eastAsia="方正仿宋_GBK" w:cs="Times New Roman"/>
          <w:b w:val="0"/>
          <w:bCs w:val="0"/>
          <w:color w:val="auto"/>
          <w:sz w:val="32"/>
          <w:szCs w:val="32"/>
        </w:rPr>
        <w:t>争议解决</w:t>
      </w:r>
      <w:r>
        <w:rPr>
          <w:rFonts w:hint="default" w:ascii="Times New Roman" w:hAnsi="Times New Roman" w:eastAsia="方正仿宋_GBK" w:cs="Times New Roman"/>
          <w:b w:val="0"/>
          <w:bCs w:val="0"/>
          <w:color w:val="auto"/>
          <w:sz w:val="32"/>
          <w:szCs w:val="32"/>
          <w:lang w:eastAsia="zh-CN"/>
        </w:rPr>
        <w:t>方式，引导合同当事人在签订合同时确定调解组织，提示当事人先行和解、调解，仍不能解决争议再起诉。</w:t>
      </w:r>
    </w:p>
    <mc:AlternateContent>
      <mc:Choice Requires="wpsCustomData">
        <wpsCustomData:docfieldEnd id="0"/>
      </mc:Choice>
    </mc:AlternateContent>
    <w:p/>
    <w:sectPr>
      <w:footerReference r:id="rId4" w:type="first"/>
      <w:footerReference r:id="rId3" w:type="default"/>
      <w:pgSz w:w="11906" w:h="16838"/>
      <w:pgMar w:top="1928" w:right="1418" w:bottom="1814" w:left="1418" w:header="851" w:footer="1531" w:gutter="0"/>
      <w:pgNumType w:start="1"/>
      <w:cols w:space="720" w:num="1"/>
      <w:titlePg/>
      <w:docGrid w:type="linesAndChar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adjustRightInd w:val="0"/>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1MTg0MWVhMjUyMGE0ODVlZDI3NmQ0OGUyMmNiNTYifQ=="/>
    <w:docVar w:name="KGWebUrl" w:val="http://59.211.236.30:8080/weaver/weaver.file.FileDownloadForNews?uuid=f43843d6-68da-40d9-873b-59619c22642a&amp;fileid=100&amp;type=showMould&amp;isofficeview=0"/>
  </w:docVars>
  <w:rsids>
    <w:rsidRoot w:val="00234534"/>
    <w:rsid w:val="00001251"/>
    <w:rsid w:val="00001E61"/>
    <w:rsid w:val="00013E6B"/>
    <w:rsid w:val="00017FF1"/>
    <w:rsid w:val="0002608B"/>
    <w:rsid w:val="00027703"/>
    <w:rsid w:val="00033A4F"/>
    <w:rsid w:val="00041FFA"/>
    <w:rsid w:val="00043AA1"/>
    <w:rsid w:val="000514BF"/>
    <w:rsid w:val="000521DE"/>
    <w:rsid w:val="0005515A"/>
    <w:rsid w:val="000568C4"/>
    <w:rsid w:val="00063051"/>
    <w:rsid w:val="00063CC4"/>
    <w:rsid w:val="000700EB"/>
    <w:rsid w:val="000746D4"/>
    <w:rsid w:val="00075981"/>
    <w:rsid w:val="00077541"/>
    <w:rsid w:val="00081EDA"/>
    <w:rsid w:val="00086970"/>
    <w:rsid w:val="00091440"/>
    <w:rsid w:val="00091878"/>
    <w:rsid w:val="00097332"/>
    <w:rsid w:val="000A0710"/>
    <w:rsid w:val="000A0985"/>
    <w:rsid w:val="000A250A"/>
    <w:rsid w:val="000A37AC"/>
    <w:rsid w:val="000A4512"/>
    <w:rsid w:val="000A46EA"/>
    <w:rsid w:val="000B1FEB"/>
    <w:rsid w:val="000C10BC"/>
    <w:rsid w:val="000C2F1A"/>
    <w:rsid w:val="000D48C0"/>
    <w:rsid w:val="000D6CBD"/>
    <w:rsid w:val="000D6E3E"/>
    <w:rsid w:val="000E2031"/>
    <w:rsid w:val="000E2FA5"/>
    <w:rsid w:val="000E36A1"/>
    <w:rsid w:val="000E54DC"/>
    <w:rsid w:val="000E6A4B"/>
    <w:rsid w:val="000F25E3"/>
    <w:rsid w:val="00104A6B"/>
    <w:rsid w:val="00105105"/>
    <w:rsid w:val="00112187"/>
    <w:rsid w:val="00112918"/>
    <w:rsid w:val="0011577D"/>
    <w:rsid w:val="0011796A"/>
    <w:rsid w:val="001213B4"/>
    <w:rsid w:val="00123CEB"/>
    <w:rsid w:val="00127D9F"/>
    <w:rsid w:val="00127ED6"/>
    <w:rsid w:val="001304B0"/>
    <w:rsid w:val="00132A4A"/>
    <w:rsid w:val="00132DFD"/>
    <w:rsid w:val="00141957"/>
    <w:rsid w:val="00142F7E"/>
    <w:rsid w:val="001509AF"/>
    <w:rsid w:val="00160F63"/>
    <w:rsid w:val="00161DF7"/>
    <w:rsid w:val="00163A31"/>
    <w:rsid w:val="0016786B"/>
    <w:rsid w:val="0017057A"/>
    <w:rsid w:val="00173D63"/>
    <w:rsid w:val="0017644A"/>
    <w:rsid w:val="001904D3"/>
    <w:rsid w:val="001910AA"/>
    <w:rsid w:val="001A1142"/>
    <w:rsid w:val="001A465E"/>
    <w:rsid w:val="001A5EAB"/>
    <w:rsid w:val="001A760D"/>
    <w:rsid w:val="001B1C2F"/>
    <w:rsid w:val="001B4346"/>
    <w:rsid w:val="001C28C9"/>
    <w:rsid w:val="001D6228"/>
    <w:rsid w:val="001D737B"/>
    <w:rsid w:val="001D7904"/>
    <w:rsid w:val="001E1C32"/>
    <w:rsid w:val="001E5606"/>
    <w:rsid w:val="001E76AA"/>
    <w:rsid w:val="001E7AE7"/>
    <w:rsid w:val="00206478"/>
    <w:rsid w:val="00206B41"/>
    <w:rsid w:val="002079BA"/>
    <w:rsid w:val="00214803"/>
    <w:rsid w:val="00216A65"/>
    <w:rsid w:val="00216AA7"/>
    <w:rsid w:val="00220789"/>
    <w:rsid w:val="00225A0C"/>
    <w:rsid w:val="00227114"/>
    <w:rsid w:val="00234534"/>
    <w:rsid w:val="00244E33"/>
    <w:rsid w:val="00246B16"/>
    <w:rsid w:val="00247280"/>
    <w:rsid w:val="0025051A"/>
    <w:rsid w:val="0025115E"/>
    <w:rsid w:val="00251C1C"/>
    <w:rsid w:val="00252F70"/>
    <w:rsid w:val="002532BC"/>
    <w:rsid w:val="00254DEA"/>
    <w:rsid w:val="00262415"/>
    <w:rsid w:val="00262A83"/>
    <w:rsid w:val="0026457E"/>
    <w:rsid w:val="002677F7"/>
    <w:rsid w:val="00270297"/>
    <w:rsid w:val="00270E71"/>
    <w:rsid w:val="002819AC"/>
    <w:rsid w:val="00281CD3"/>
    <w:rsid w:val="00282EA8"/>
    <w:rsid w:val="00282F01"/>
    <w:rsid w:val="00284EE8"/>
    <w:rsid w:val="00286652"/>
    <w:rsid w:val="00287003"/>
    <w:rsid w:val="00287339"/>
    <w:rsid w:val="0028761A"/>
    <w:rsid w:val="0029372F"/>
    <w:rsid w:val="002964C9"/>
    <w:rsid w:val="002A58EF"/>
    <w:rsid w:val="002A7C4E"/>
    <w:rsid w:val="002B08DF"/>
    <w:rsid w:val="002B0B50"/>
    <w:rsid w:val="002B31C9"/>
    <w:rsid w:val="002B390D"/>
    <w:rsid w:val="002B464F"/>
    <w:rsid w:val="002C10EA"/>
    <w:rsid w:val="002C11DD"/>
    <w:rsid w:val="002C1681"/>
    <w:rsid w:val="002C1CA1"/>
    <w:rsid w:val="002C4037"/>
    <w:rsid w:val="002C6BD4"/>
    <w:rsid w:val="002D1CE3"/>
    <w:rsid w:val="002D5DDA"/>
    <w:rsid w:val="002D65DB"/>
    <w:rsid w:val="002E0707"/>
    <w:rsid w:val="002E0EC0"/>
    <w:rsid w:val="002E1C54"/>
    <w:rsid w:val="002E4A62"/>
    <w:rsid w:val="002E4BF8"/>
    <w:rsid w:val="002F2677"/>
    <w:rsid w:val="002F51D6"/>
    <w:rsid w:val="002F656C"/>
    <w:rsid w:val="002F72D4"/>
    <w:rsid w:val="00300303"/>
    <w:rsid w:val="00303006"/>
    <w:rsid w:val="003038F5"/>
    <w:rsid w:val="00305F8B"/>
    <w:rsid w:val="00306A40"/>
    <w:rsid w:val="00306BAF"/>
    <w:rsid w:val="00310204"/>
    <w:rsid w:val="0032541A"/>
    <w:rsid w:val="00330B14"/>
    <w:rsid w:val="0033686E"/>
    <w:rsid w:val="00344264"/>
    <w:rsid w:val="00354299"/>
    <w:rsid w:val="003557B2"/>
    <w:rsid w:val="00362A03"/>
    <w:rsid w:val="00362AF5"/>
    <w:rsid w:val="00366EB7"/>
    <w:rsid w:val="003739B5"/>
    <w:rsid w:val="003804D0"/>
    <w:rsid w:val="00384061"/>
    <w:rsid w:val="00384FC0"/>
    <w:rsid w:val="00391851"/>
    <w:rsid w:val="00396614"/>
    <w:rsid w:val="003A0E42"/>
    <w:rsid w:val="003A44B4"/>
    <w:rsid w:val="003B536D"/>
    <w:rsid w:val="003B725E"/>
    <w:rsid w:val="003D04C7"/>
    <w:rsid w:val="003D1805"/>
    <w:rsid w:val="003D5985"/>
    <w:rsid w:val="003D7024"/>
    <w:rsid w:val="003D7BC1"/>
    <w:rsid w:val="003E1E3A"/>
    <w:rsid w:val="003E73F2"/>
    <w:rsid w:val="003F5B1D"/>
    <w:rsid w:val="003F7B2C"/>
    <w:rsid w:val="003F7EFA"/>
    <w:rsid w:val="0040029B"/>
    <w:rsid w:val="00401F5B"/>
    <w:rsid w:val="004040BC"/>
    <w:rsid w:val="004043BB"/>
    <w:rsid w:val="00405A51"/>
    <w:rsid w:val="00405E98"/>
    <w:rsid w:val="004103C1"/>
    <w:rsid w:val="00411B05"/>
    <w:rsid w:val="00412C4E"/>
    <w:rsid w:val="00413A29"/>
    <w:rsid w:val="004170F3"/>
    <w:rsid w:val="00417719"/>
    <w:rsid w:val="00417F8E"/>
    <w:rsid w:val="00422AD6"/>
    <w:rsid w:val="00423796"/>
    <w:rsid w:val="00433CF5"/>
    <w:rsid w:val="0043634B"/>
    <w:rsid w:val="004373CE"/>
    <w:rsid w:val="00443CD1"/>
    <w:rsid w:val="00445576"/>
    <w:rsid w:val="00450ED0"/>
    <w:rsid w:val="00454381"/>
    <w:rsid w:val="00456D58"/>
    <w:rsid w:val="00461F26"/>
    <w:rsid w:val="004626F6"/>
    <w:rsid w:val="0046413E"/>
    <w:rsid w:val="004650DA"/>
    <w:rsid w:val="00465746"/>
    <w:rsid w:val="00472403"/>
    <w:rsid w:val="00481EC2"/>
    <w:rsid w:val="00483929"/>
    <w:rsid w:val="00485C1D"/>
    <w:rsid w:val="004909ED"/>
    <w:rsid w:val="00492128"/>
    <w:rsid w:val="00492BEA"/>
    <w:rsid w:val="004A1A19"/>
    <w:rsid w:val="004A2B83"/>
    <w:rsid w:val="004A4861"/>
    <w:rsid w:val="004A51C6"/>
    <w:rsid w:val="004A6138"/>
    <w:rsid w:val="004A7B10"/>
    <w:rsid w:val="004B4EC0"/>
    <w:rsid w:val="004B59F9"/>
    <w:rsid w:val="004B74FB"/>
    <w:rsid w:val="004C18B8"/>
    <w:rsid w:val="004C2607"/>
    <w:rsid w:val="004D3EBD"/>
    <w:rsid w:val="004D4B99"/>
    <w:rsid w:val="004E0351"/>
    <w:rsid w:val="004E41CC"/>
    <w:rsid w:val="004F4087"/>
    <w:rsid w:val="004F4441"/>
    <w:rsid w:val="005033F2"/>
    <w:rsid w:val="00507301"/>
    <w:rsid w:val="005107E7"/>
    <w:rsid w:val="00516E9E"/>
    <w:rsid w:val="0051707A"/>
    <w:rsid w:val="00520A28"/>
    <w:rsid w:val="0052411D"/>
    <w:rsid w:val="00531B21"/>
    <w:rsid w:val="005323A4"/>
    <w:rsid w:val="00533DD9"/>
    <w:rsid w:val="005416A0"/>
    <w:rsid w:val="00541867"/>
    <w:rsid w:val="00541A7E"/>
    <w:rsid w:val="00541EBF"/>
    <w:rsid w:val="005438A9"/>
    <w:rsid w:val="005446CE"/>
    <w:rsid w:val="0054650B"/>
    <w:rsid w:val="00547DC4"/>
    <w:rsid w:val="0055331A"/>
    <w:rsid w:val="00555212"/>
    <w:rsid w:val="00557D4A"/>
    <w:rsid w:val="0057582D"/>
    <w:rsid w:val="00581A33"/>
    <w:rsid w:val="00582595"/>
    <w:rsid w:val="00583337"/>
    <w:rsid w:val="005834C7"/>
    <w:rsid w:val="00584A05"/>
    <w:rsid w:val="005A06EA"/>
    <w:rsid w:val="005A0EFB"/>
    <w:rsid w:val="005A2187"/>
    <w:rsid w:val="005A246D"/>
    <w:rsid w:val="005A51A4"/>
    <w:rsid w:val="005A5BD6"/>
    <w:rsid w:val="005A7859"/>
    <w:rsid w:val="005B070A"/>
    <w:rsid w:val="005B1A72"/>
    <w:rsid w:val="005B2A5F"/>
    <w:rsid w:val="005B308C"/>
    <w:rsid w:val="005C0173"/>
    <w:rsid w:val="005C10F9"/>
    <w:rsid w:val="005C1CD9"/>
    <w:rsid w:val="005C3277"/>
    <w:rsid w:val="005C5CB5"/>
    <w:rsid w:val="005C7D0D"/>
    <w:rsid w:val="005D2E30"/>
    <w:rsid w:val="005D3BDD"/>
    <w:rsid w:val="005D41B0"/>
    <w:rsid w:val="005D650A"/>
    <w:rsid w:val="005D768B"/>
    <w:rsid w:val="005F064A"/>
    <w:rsid w:val="005F2E28"/>
    <w:rsid w:val="0060138E"/>
    <w:rsid w:val="00601647"/>
    <w:rsid w:val="0060206C"/>
    <w:rsid w:val="0060226E"/>
    <w:rsid w:val="00614DA2"/>
    <w:rsid w:val="00621302"/>
    <w:rsid w:val="00623961"/>
    <w:rsid w:val="00623C79"/>
    <w:rsid w:val="00626760"/>
    <w:rsid w:val="006321A4"/>
    <w:rsid w:val="00635194"/>
    <w:rsid w:val="00635200"/>
    <w:rsid w:val="00635C9A"/>
    <w:rsid w:val="00640FCF"/>
    <w:rsid w:val="00660D2F"/>
    <w:rsid w:val="006676AB"/>
    <w:rsid w:val="0068133C"/>
    <w:rsid w:val="0068137E"/>
    <w:rsid w:val="00681469"/>
    <w:rsid w:val="006826D2"/>
    <w:rsid w:val="00687971"/>
    <w:rsid w:val="00692C19"/>
    <w:rsid w:val="00693D87"/>
    <w:rsid w:val="0069424F"/>
    <w:rsid w:val="00694FA1"/>
    <w:rsid w:val="00696908"/>
    <w:rsid w:val="006A105F"/>
    <w:rsid w:val="006A13E8"/>
    <w:rsid w:val="006A52FA"/>
    <w:rsid w:val="006A7013"/>
    <w:rsid w:val="006B0301"/>
    <w:rsid w:val="006B2E24"/>
    <w:rsid w:val="006B45DB"/>
    <w:rsid w:val="006B59C1"/>
    <w:rsid w:val="006C0DE8"/>
    <w:rsid w:val="006C3827"/>
    <w:rsid w:val="006D2034"/>
    <w:rsid w:val="006E1733"/>
    <w:rsid w:val="006F4017"/>
    <w:rsid w:val="006F619B"/>
    <w:rsid w:val="00700E83"/>
    <w:rsid w:val="00704689"/>
    <w:rsid w:val="0070497F"/>
    <w:rsid w:val="00712D1C"/>
    <w:rsid w:val="00714F24"/>
    <w:rsid w:val="00716FA0"/>
    <w:rsid w:val="007206DA"/>
    <w:rsid w:val="00720C4D"/>
    <w:rsid w:val="00721651"/>
    <w:rsid w:val="0072254E"/>
    <w:rsid w:val="00723FA4"/>
    <w:rsid w:val="00726AE0"/>
    <w:rsid w:val="00727FD9"/>
    <w:rsid w:val="00730670"/>
    <w:rsid w:val="00731A57"/>
    <w:rsid w:val="0073305B"/>
    <w:rsid w:val="00737E59"/>
    <w:rsid w:val="00741F5D"/>
    <w:rsid w:val="007424F9"/>
    <w:rsid w:val="00742C75"/>
    <w:rsid w:val="00752097"/>
    <w:rsid w:val="00753D60"/>
    <w:rsid w:val="00755203"/>
    <w:rsid w:val="00755F58"/>
    <w:rsid w:val="00757194"/>
    <w:rsid w:val="00757222"/>
    <w:rsid w:val="007605D7"/>
    <w:rsid w:val="00761C01"/>
    <w:rsid w:val="00765FE3"/>
    <w:rsid w:val="00766011"/>
    <w:rsid w:val="00772D92"/>
    <w:rsid w:val="0077497A"/>
    <w:rsid w:val="0078082E"/>
    <w:rsid w:val="0078100D"/>
    <w:rsid w:val="0078118C"/>
    <w:rsid w:val="0078574F"/>
    <w:rsid w:val="0078653D"/>
    <w:rsid w:val="00790435"/>
    <w:rsid w:val="00796825"/>
    <w:rsid w:val="007A1072"/>
    <w:rsid w:val="007A2869"/>
    <w:rsid w:val="007A3BD5"/>
    <w:rsid w:val="007B4AEB"/>
    <w:rsid w:val="007B5485"/>
    <w:rsid w:val="007D06F8"/>
    <w:rsid w:val="007D0CD2"/>
    <w:rsid w:val="007D3058"/>
    <w:rsid w:val="007D72EC"/>
    <w:rsid w:val="007E53C2"/>
    <w:rsid w:val="007F0315"/>
    <w:rsid w:val="007F1BAB"/>
    <w:rsid w:val="007F2DF5"/>
    <w:rsid w:val="007F37B2"/>
    <w:rsid w:val="007F4484"/>
    <w:rsid w:val="00801827"/>
    <w:rsid w:val="0080420F"/>
    <w:rsid w:val="008048D3"/>
    <w:rsid w:val="0081136C"/>
    <w:rsid w:val="00812589"/>
    <w:rsid w:val="00814B85"/>
    <w:rsid w:val="00816F9A"/>
    <w:rsid w:val="0082019D"/>
    <w:rsid w:val="00821CF2"/>
    <w:rsid w:val="008257C7"/>
    <w:rsid w:val="008258C3"/>
    <w:rsid w:val="008318DE"/>
    <w:rsid w:val="00833EDA"/>
    <w:rsid w:val="00834B85"/>
    <w:rsid w:val="00835117"/>
    <w:rsid w:val="00842E38"/>
    <w:rsid w:val="00843B6C"/>
    <w:rsid w:val="00843F09"/>
    <w:rsid w:val="00851D17"/>
    <w:rsid w:val="00855D7B"/>
    <w:rsid w:val="008573B2"/>
    <w:rsid w:val="00866D14"/>
    <w:rsid w:val="0088029E"/>
    <w:rsid w:val="00881D95"/>
    <w:rsid w:val="008871B3"/>
    <w:rsid w:val="008903CD"/>
    <w:rsid w:val="0089200F"/>
    <w:rsid w:val="008953D7"/>
    <w:rsid w:val="0089770A"/>
    <w:rsid w:val="008A272C"/>
    <w:rsid w:val="008A7D9F"/>
    <w:rsid w:val="008B2980"/>
    <w:rsid w:val="008B476B"/>
    <w:rsid w:val="008C7958"/>
    <w:rsid w:val="008D2279"/>
    <w:rsid w:val="008D3309"/>
    <w:rsid w:val="008E0689"/>
    <w:rsid w:val="008E2403"/>
    <w:rsid w:val="008E7929"/>
    <w:rsid w:val="008F0DEC"/>
    <w:rsid w:val="008F1ECC"/>
    <w:rsid w:val="008F4148"/>
    <w:rsid w:val="008F7EA8"/>
    <w:rsid w:val="00903A44"/>
    <w:rsid w:val="00905C7A"/>
    <w:rsid w:val="0090690E"/>
    <w:rsid w:val="00912AE4"/>
    <w:rsid w:val="00912FD3"/>
    <w:rsid w:val="0091378F"/>
    <w:rsid w:val="0091420C"/>
    <w:rsid w:val="009201B2"/>
    <w:rsid w:val="00921579"/>
    <w:rsid w:val="009247AB"/>
    <w:rsid w:val="00936BBC"/>
    <w:rsid w:val="00937CA0"/>
    <w:rsid w:val="00940498"/>
    <w:rsid w:val="009405B5"/>
    <w:rsid w:val="0094127E"/>
    <w:rsid w:val="00941E14"/>
    <w:rsid w:val="009508C5"/>
    <w:rsid w:val="009522C1"/>
    <w:rsid w:val="00954F83"/>
    <w:rsid w:val="009574E4"/>
    <w:rsid w:val="0096274C"/>
    <w:rsid w:val="009629A8"/>
    <w:rsid w:val="0097563F"/>
    <w:rsid w:val="00976556"/>
    <w:rsid w:val="00977014"/>
    <w:rsid w:val="00991C5F"/>
    <w:rsid w:val="00993327"/>
    <w:rsid w:val="00996878"/>
    <w:rsid w:val="00997230"/>
    <w:rsid w:val="009A2D0D"/>
    <w:rsid w:val="009A63A0"/>
    <w:rsid w:val="009B2539"/>
    <w:rsid w:val="009B4FE8"/>
    <w:rsid w:val="009C0836"/>
    <w:rsid w:val="009C3332"/>
    <w:rsid w:val="009C6F1C"/>
    <w:rsid w:val="009D7767"/>
    <w:rsid w:val="009E7465"/>
    <w:rsid w:val="009F333D"/>
    <w:rsid w:val="009F3B91"/>
    <w:rsid w:val="009F6207"/>
    <w:rsid w:val="009F7A74"/>
    <w:rsid w:val="00A01BB1"/>
    <w:rsid w:val="00A1258F"/>
    <w:rsid w:val="00A1302F"/>
    <w:rsid w:val="00A1412F"/>
    <w:rsid w:val="00A16096"/>
    <w:rsid w:val="00A25753"/>
    <w:rsid w:val="00A319B7"/>
    <w:rsid w:val="00A32613"/>
    <w:rsid w:val="00A349DA"/>
    <w:rsid w:val="00A34E70"/>
    <w:rsid w:val="00A379A4"/>
    <w:rsid w:val="00A37C6E"/>
    <w:rsid w:val="00A40DB2"/>
    <w:rsid w:val="00A44683"/>
    <w:rsid w:val="00A5048C"/>
    <w:rsid w:val="00A52E5A"/>
    <w:rsid w:val="00A52EFE"/>
    <w:rsid w:val="00A53562"/>
    <w:rsid w:val="00A55C0D"/>
    <w:rsid w:val="00A571F8"/>
    <w:rsid w:val="00A601F9"/>
    <w:rsid w:val="00A6131F"/>
    <w:rsid w:val="00A64B2B"/>
    <w:rsid w:val="00A65245"/>
    <w:rsid w:val="00A67BD1"/>
    <w:rsid w:val="00A72E42"/>
    <w:rsid w:val="00A757E7"/>
    <w:rsid w:val="00A7771E"/>
    <w:rsid w:val="00A8415D"/>
    <w:rsid w:val="00A92996"/>
    <w:rsid w:val="00A97E94"/>
    <w:rsid w:val="00AA4B78"/>
    <w:rsid w:val="00AA6FAB"/>
    <w:rsid w:val="00AB051C"/>
    <w:rsid w:val="00AB2B2D"/>
    <w:rsid w:val="00AB65C6"/>
    <w:rsid w:val="00AB6602"/>
    <w:rsid w:val="00AC350E"/>
    <w:rsid w:val="00AD13EA"/>
    <w:rsid w:val="00AD3476"/>
    <w:rsid w:val="00AD4C64"/>
    <w:rsid w:val="00AD5299"/>
    <w:rsid w:val="00AD5510"/>
    <w:rsid w:val="00AE07BC"/>
    <w:rsid w:val="00AE1D5C"/>
    <w:rsid w:val="00AE36AD"/>
    <w:rsid w:val="00AF139C"/>
    <w:rsid w:val="00AF22AE"/>
    <w:rsid w:val="00AF5D4D"/>
    <w:rsid w:val="00B027C4"/>
    <w:rsid w:val="00B05AB3"/>
    <w:rsid w:val="00B107B1"/>
    <w:rsid w:val="00B11A58"/>
    <w:rsid w:val="00B120F2"/>
    <w:rsid w:val="00B13567"/>
    <w:rsid w:val="00B176E0"/>
    <w:rsid w:val="00B20E10"/>
    <w:rsid w:val="00B24A6B"/>
    <w:rsid w:val="00B26FC0"/>
    <w:rsid w:val="00B31E7B"/>
    <w:rsid w:val="00B33A42"/>
    <w:rsid w:val="00B35D36"/>
    <w:rsid w:val="00B36E52"/>
    <w:rsid w:val="00B436D9"/>
    <w:rsid w:val="00B47829"/>
    <w:rsid w:val="00B61C28"/>
    <w:rsid w:val="00B62E3C"/>
    <w:rsid w:val="00B71CC7"/>
    <w:rsid w:val="00B7283A"/>
    <w:rsid w:val="00B86034"/>
    <w:rsid w:val="00B87F2A"/>
    <w:rsid w:val="00B96638"/>
    <w:rsid w:val="00BA0EC9"/>
    <w:rsid w:val="00BA1703"/>
    <w:rsid w:val="00BA5D74"/>
    <w:rsid w:val="00BB2D7D"/>
    <w:rsid w:val="00BB4A4D"/>
    <w:rsid w:val="00BB69AC"/>
    <w:rsid w:val="00BC1768"/>
    <w:rsid w:val="00BC1D02"/>
    <w:rsid w:val="00BC1ECB"/>
    <w:rsid w:val="00BC7C87"/>
    <w:rsid w:val="00BD42BE"/>
    <w:rsid w:val="00BD61D5"/>
    <w:rsid w:val="00BD6FB8"/>
    <w:rsid w:val="00BD73B0"/>
    <w:rsid w:val="00BE6C1B"/>
    <w:rsid w:val="00BF0132"/>
    <w:rsid w:val="00BF2D54"/>
    <w:rsid w:val="00C00659"/>
    <w:rsid w:val="00C03E30"/>
    <w:rsid w:val="00C050A1"/>
    <w:rsid w:val="00C05B10"/>
    <w:rsid w:val="00C1008C"/>
    <w:rsid w:val="00C10639"/>
    <w:rsid w:val="00C1695C"/>
    <w:rsid w:val="00C22171"/>
    <w:rsid w:val="00C2365E"/>
    <w:rsid w:val="00C24B4E"/>
    <w:rsid w:val="00C319BB"/>
    <w:rsid w:val="00C3210C"/>
    <w:rsid w:val="00C322DF"/>
    <w:rsid w:val="00C3250C"/>
    <w:rsid w:val="00C46EAE"/>
    <w:rsid w:val="00C47A1A"/>
    <w:rsid w:val="00C509D9"/>
    <w:rsid w:val="00C51F44"/>
    <w:rsid w:val="00C55D13"/>
    <w:rsid w:val="00C80373"/>
    <w:rsid w:val="00C82495"/>
    <w:rsid w:val="00C85FD6"/>
    <w:rsid w:val="00C90CC4"/>
    <w:rsid w:val="00C930EE"/>
    <w:rsid w:val="00C9730D"/>
    <w:rsid w:val="00CA13AF"/>
    <w:rsid w:val="00CA77E7"/>
    <w:rsid w:val="00CB192E"/>
    <w:rsid w:val="00CB601D"/>
    <w:rsid w:val="00CB6AA4"/>
    <w:rsid w:val="00CB6E47"/>
    <w:rsid w:val="00CC03D3"/>
    <w:rsid w:val="00CC2F49"/>
    <w:rsid w:val="00CC4670"/>
    <w:rsid w:val="00CC50A6"/>
    <w:rsid w:val="00CC585A"/>
    <w:rsid w:val="00CC5A6A"/>
    <w:rsid w:val="00CD04D8"/>
    <w:rsid w:val="00CD1AFE"/>
    <w:rsid w:val="00CD2F9F"/>
    <w:rsid w:val="00CD6B4F"/>
    <w:rsid w:val="00CE1D80"/>
    <w:rsid w:val="00CE54E2"/>
    <w:rsid w:val="00CF2030"/>
    <w:rsid w:val="00CF6F6B"/>
    <w:rsid w:val="00D156BC"/>
    <w:rsid w:val="00D2282D"/>
    <w:rsid w:val="00D22FFA"/>
    <w:rsid w:val="00D25F42"/>
    <w:rsid w:val="00D27CF7"/>
    <w:rsid w:val="00D329C2"/>
    <w:rsid w:val="00D32F28"/>
    <w:rsid w:val="00D33BC9"/>
    <w:rsid w:val="00D35BE6"/>
    <w:rsid w:val="00D36B9B"/>
    <w:rsid w:val="00D411F9"/>
    <w:rsid w:val="00D413D2"/>
    <w:rsid w:val="00D41F52"/>
    <w:rsid w:val="00D448F9"/>
    <w:rsid w:val="00D506C2"/>
    <w:rsid w:val="00D54EEF"/>
    <w:rsid w:val="00D57014"/>
    <w:rsid w:val="00D67181"/>
    <w:rsid w:val="00D76A74"/>
    <w:rsid w:val="00D76D46"/>
    <w:rsid w:val="00D77156"/>
    <w:rsid w:val="00D837BC"/>
    <w:rsid w:val="00D83860"/>
    <w:rsid w:val="00D951DE"/>
    <w:rsid w:val="00DA2C17"/>
    <w:rsid w:val="00DA572D"/>
    <w:rsid w:val="00DA66CE"/>
    <w:rsid w:val="00DA6EF0"/>
    <w:rsid w:val="00DB1C1F"/>
    <w:rsid w:val="00DB4B9A"/>
    <w:rsid w:val="00DB5DF6"/>
    <w:rsid w:val="00DB7576"/>
    <w:rsid w:val="00DC3206"/>
    <w:rsid w:val="00DC55FF"/>
    <w:rsid w:val="00DC6B20"/>
    <w:rsid w:val="00DD1148"/>
    <w:rsid w:val="00DD46ED"/>
    <w:rsid w:val="00DD779B"/>
    <w:rsid w:val="00DD7EC4"/>
    <w:rsid w:val="00DE4DB4"/>
    <w:rsid w:val="00DE6180"/>
    <w:rsid w:val="00DF2C8C"/>
    <w:rsid w:val="00DF50CA"/>
    <w:rsid w:val="00DF5A76"/>
    <w:rsid w:val="00E02B6F"/>
    <w:rsid w:val="00E02FF8"/>
    <w:rsid w:val="00E116E6"/>
    <w:rsid w:val="00E1439C"/>
    <w:rsid w:val="00E14DEE"/>
    <w:rsid w:val="00E22A7E"/>
    <w:rsid w:val="00E25BAC"/>
    <w:rsid w:val="00E26057"/>
    <w:rsid w:val="00E32238"/>
    <w:rsid w:val="00E33D3A"/>
    <w:rsid w:val="00E34056"/>
    <w:rsid w:val="00E35006"/>
    <w:rsid w:val="00E36D41"/>
    <w:rsid w:val="00E47578"/>
    <w:rsid w:val="00E50684"/>
    <w:rsid w:val="00E55509"/>
    <w:rsid w:val="00E56B1A"/>
    <w:rsid w:val="00E603AA"/>
    <w:rsid w:val="00E647E3"/>
    <w:rsid w:val="00E655A8"/>
    <w:rsid w:val="00E66C4A"/>
    <w:rsid w:val="00E719F6"/>
    <w:rsid w:val="00E73627"/>
    <w:rsid w:val="00E753E6"/>
    <w:rsid w:val="00E75DE2"/>
    <w:rsid w:val="00E7614C"/>
    <w:rsid w:val="00E76EA9"/>
    <w:rsid w:val="00E872BF"/>
    <w:rsid w:val="00EA4DE6"/>
    <w:rsid w:val="00EA6EF8"/>
    <w:rsid w:val="00EA70B3"/>
    <w:rsid w:val="00EB09F6"/>
    <w:rsid w:val="00ED6741"/>
    <w:rsid w:val="00ED6964"/>
    <w:rsid w:val="00ED6AF5"/>
    <w:rsid w:val="00EE4570"/>
    <w:rsid w:val="00EF0CA0"/>
    <w:rsid w:val="00EF102C"/>
    <w:rsid w:val="00EF1391"/>
    <w:rsid w:val="00EF2389"/>
    <w:rsid w:val="00EF2AAB"/>
    <w:rsid w:val="00EF3DC6"/>
    <w:rsid w:val="00EF75F0"/>
    <w:rsid w:val="00F02CC8"/>
    <w:rsid w:val="00F07D85"/>
    <w:rsid w:val="00F168E7"/>
    <w:rsid w:val="00F22352"/>
    <w:rsid w:val="00F23724"/>
    <w:rsid w:val="00F25613"/>
    <w:rsid w:val="00F27521"/>
    <w:rsid w:val="00F34D15"/>
    <w:rsid w:val="00F358BA"/>
    <w:rsid w:val="00F45484"/>
    <w:rsid w:val="00F475CE"/>
    <w:rsid w:val="00F47B40"/>
    <w:rsid w:val="00F47EA2"/>
    <w:rsid w:val="00F5001E"/>
    <w:rsid w:val="00F52484"/>
    <w:rsid w:val="00F52E1E"/>
    <w:rsid w:val="00F57529"/>
    <w:rsid w:val="00F62573"/>
    <w:rsid w:val="00F62F6A"/>
    <w:rsid w:val="00F64EA3"/>
    <w:rsid w:val="00F675F5"/>
    <w:rsid w:val="00F70B79"/>
    <w:rsid w:val="00F72C1E"/>
    <w:rsid w:val="00F73D4B"/>
    <w:rsid w:val="00F765F8"/>
    <w:rsid w:val="00F831D6"/>
    <w:rsid w:val="00F84393"/>
    <w:rsid w:val="00F86FF4"/>
    <w:rsid w:val="00F9208A"/>
    <w:rsid w:val="00F93445"/>
    <w:rsid w:val="00F9415D"/>
    <w:rsid w:val="00F95198"/>
    <w:rsid w:val="00FA0D20"/>
    <w:rsid w:val="00FA1AE9"/>
    <w:rsid w:val="00FA456E"/>
    <w:rsid w:val="00FA4C5C"/>
    <w:rsid w:val="00FA56B9"/>
    <w:rsid w:val="00FB180E"/>
    <w:rsid w:val="00FB3DA8"/>
    <w:rsid w:val="00FB4BCF"/>
    <w:rsid w:val="00FB7ECF"/>
    <w:rsid w:val="00FC3E40"/>
    <w:rsid w:val="00FC5510"/>
    <w:rsid w:val="00FC756E"/>
    <w:rsid w:val="00FD2BBB"/>
    <w:rsid w:val="00FD4BEC"/>
    <w:rsid w:val="00FD5F76"/>
    <w:rsid w:val="00FD60CC"/>
    <w:rsid w:val="00FD7C7F"/>
    <w:rsid w:val="00FE178E"/>
    <w:rsid w:val="00FE2486"/>
    <w:rsid w:val="00FE4AA9"/>
    <w:rsid w:val="00FE795A"/>
    <w:rsid w:val="00FF0274"/>
    <w:rsid w:val="00FF02A6"/>
    <w:rsid w:val="00FF17B3"/>
    <w:rsid w:val="00FF18B2"/>
    <w:rsid w:val="00FF2F9D"/>
    <w:rsid w:val="00FF54A4"/>
    <w:rsid w:val="0223715A"/>
    <w:rsid w:val="02447348"/>
    <w:rsid w:val="092E51E0"/>
    <w:rsid w:val="09B259AA"/>
    <w:rsid w:val="0CB62C61"/>
    <w:rsid w:val="12CD1193"/>
    <w:rsid w:val="16574EF6"/>
    <w:rsid w:val="1CBB06F7"/>
    <w:rsid w:val="2F4B606F"/>
    <w:rsid w:val="3511312D"/>
    <w:rsid w:val="351726CF"/>
    <w:rsid w:val="36AA6CC4"/>
    <w:rsid w:val="377488D9"/>
    <w:rsid w:val="37DAC2E5"/>
    <w:rsid w:val="38C87DFF"/>
    <w:rsid w:val="43CC2537"/>
    <w:rsid w:val="48005505"/>
    <w:rsid w:val="508560BD"/>
    <w:rsid w:val="578E488B"/>
    <w:rsid w:val="59BA1183"/>
    <w:rsid w:val="5E0D4AB6"/>
    <w:rsid w:val="5EDA0588"/>
    <w:rsid w:val="5F1F76C6"/>
    <w:rsid w:val="69B631ED"/>
    <w:rsid w:val="6B3F4449"/>
    <w:rsid w:val="6F3BBF54"/>
    <w:rsid w:val="73263A17"/>
    <w:rsid w:val="75EC448F"/>
    <w:rsid w:val="7759E13F"/>
    <w:rsid w:val="7AEA5DC8"/>
    <w:rsid w:val="7D7D13C7"/>
    <w:rsid w:val="7EFB786A"/>
    <w:rsid w:val="7FBB8F13"/>
    <w:rsid w:val="7FFF41A9"/>
    <w:rsid w:val="97DF25BD"/>
    <w:rsid w:val="9BF98FD4"/>
    <w:rsid w:val="AA7D77B4"/>
    <w:rsid w:val="CF3DD851"/>
    <w:rsid w:val="EDF7ED35"/>
    <w:rsid w:val="F5CF0163"/>
    <w:rsid w:val="F6F5E8D6"/>
    <w:rsid w:val="F73F90E4"/>
    <w:rsid w:val="FBBB765A"/>
    <w:rsid w:val="FDBB02B2"/>
    <w:rsid w:val="FEEF257B"/>
    <w:rsid w:val="FEF9C92C"/>
    <w:rsid w:val="FF75ED6A"/>
    <w:rsid w:val="FFF7B8C6"/>
    <w:rsid w:val="FFFD3A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rFonts w:asciiTheme="minorHAnsi" w:hAnsiTheme="minorHAnsi" w:eastAsiaTheme="minorEastAsia" w:cstheme="minorBidi"/>
      <w:color w:val="000000"/>
      <w:sz w:val="21"/>
      <w:szCs w:val="24"/>
    </w:rPr>
  </w:style>
  <w:style w:type="paragraph" w:styleId="4">
    <w:name w:val="Normal Indent"/>
    <w:basedOn w:val="1"/>
    <w:qFormat/>
    <w:uiPriority w:val="0"/>
    <w:pPr>
      <w:spacing w:line="520" w:lineRule="exact"/>
      <w:ind w:firstLine="200" w:firstLineChars="200"/>
    </w:pPr>
    <w:rPr>
      <w:sz w:val="28"/>
      <w:szCs w:val="21"/>
    </w:rPr>
  </w:style>
  <w:style w:type="paragraph" w:styleId="5">
    <w:name w:val="Body Text 3"/>
    <w:basedOn w:val="1"/>
    <w:qFormat/>
    <w:uiPriority w:val="0"/>
    <w:pPr>
      <w:spacing w:line="360" w:lineRule="exact"/>
    </w:pPr>
    <w:rPr>
      <w:rFonts w:eastAsia="方正仿宋_GBK"/>
      <w:sz w:val="24"/>
    </w:rPr>
  </w:style>
  <w:style w:type="paragraph" w:styleId="6">
    <w:name w:val="Body Text"/>
    <w:basedOn w:val="1"/>
    <w:qFormat/>
    <w:uiPriority w:val="0"/>
    <w:rPr>
      <w:rFonts w:ascii="仿宋_GB2312" w:hAnsi="宋体" w:eastAsia="仿宋_GB2312"/>
      <w:sz w:val="21"/>
      <w:szCs w:val="21"/>
    </w:rPr>
  </w:style>
  <w:style w:type="paragraph" w:styleId="7">
    <w:name w:val="Body Text Indent"/>
    <w:basedOn w:val="1"/>
    <w:qFormat/>
    <w:uiPriority w:val="0"/>
    <w:pPr>
      <w:spacing w:line="600" w:lineRule="exact"/>
      <w:ind w:firstLine="640" w:firstLineChars="200"/>
    </w:pPr>
    <w:rPr>
      <w:rFonts w:ascii="楷体_GB2312" w:eastAsia="楷体_GB2312"/>
      <w:sz w:val="32"/>
      <w:szCs w:val="32"/>
    </w:rPr>
  </w:style>
  <w:style w:type="paragraph" w:styleId="8">
    <w:name w:val="Block Text"/>
    <w:basedOn w:val="1"/>
    <w:qFormat/>
    <w:uiPriority w:val="0"/>
    <w:pPr>
      <w:spacing w:line="380" w:lineRule="exact"/>
      <w:ind w:left="1168" w:leftChars="380" w:right="300" w:rightChars="100" w:hanging="28" w:hangingChars="10"/>
    </w:pPr>
    <w:rPr>
      <w:rFonts w:ascii="方正仿宋_GBK" w:eastAsia="方正仿宋_GBK"/>
      <w:sz w:val="28"/>
    </w:rPr>
  </w:style>
  <w:style w:type="paragraph" w:styleId="9">
    <w:name w:val="Date"/>
    <w:basedOn w:val="1"/>
    <w:next w:val="1"/>
    <w:qFormat/>
    <w:uiPriority w:val="0"/>
    <w:pPr>
      <w:ind w:left="100" w:leftChars="2500"/>
    </w:pPr>
  </w:style>
  <w:style w:type="paragraph" w:styleId="10">
    <w:name w:val="Body Text Indent 2"/>
    <w:basedOn w:val="1"/>
    <w:link w:val="26"/>
    <w:qFormat/>
    <w:uiPriority w:val="0"/>
    <w:pPr>
      <w:spacing w:line="560" w:lineRule="exact"/>
      <w:ind w:left="1197" w:leftChars="93" w:hanging="918" w:hangingChars="328"/>
    </w:pPr>
    <w:rPr>
      <w:rFonts w:ascii="方正仿宋_GBK" w:eastAsia="方正仿宋_GBK"/>
      <w:color w:val="000000"/>
      <w:sz w:val="28"/>
      <w:szCs w:val="28"/>
    </w:rPr>
  </w:style>
  <w:style w:type="paragraph" w:styleId="11">
    <w:name w:val="Balloon Text"/>
    <w:basedOn w:val="1"/>
    <w:qFormat/>
    <w:uiPriority w:val="0"/>
    <w:rPr>
      <w:rFonts w:eastAsia="仿宋_GB2312"/>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line="560" w:lineRule="exact"/>
      <w:ind w:left="1150" w:leftChars="94" w:hanging="868" w:hangingChars="310"/>
    </w:pPr>
    <w:rPr>
      <w:rFonts w:ascii="方正仿宋_GBK" w:eastAsia="方正仿宋_GBK"/>
      <w:color w:val="000000"/>
      <w:sz w:val="28"/>
      <w:szCs w:val="28"/>
    </w:rPr>
  </w:style>
  <w:style w:type="paragraph" w:styleId="15">
    <w:name w:val="Body Text 2"/>
    <w:basedOn w:val="1"/>
    <w:qFormat/>
    <w:uiPriority w:val="0"/>
    <w:pPr>
      <w:autoSpaceDE w:val="0"/>
      <w:autoSpaceDN w:val="0"/>
      <w:adjustRightInd w:val="0"/>
      <w:spacing w:line="576" w:lineRule="exact"/>
    </w:pPr>
    <w:rPr>
      <w:rFonts w:eastAsia="方正仿宋_GBK"/>
      <w:sz w:val="31"/>
      <w:szCs w:val="32"/>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8">
    <w:name w:val="Table Grid"/>
    <w:basedOn w:val="1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FollowedHyperlink"/>
    <w:qFormat/>
    <w:uiPriority w:val="0"/>
    <w:rPr>
      <w:color w:val="800080"/>
      <w:u w:val="single"/>
    </w:rPr>
  </w:style>
  <w:style w:type="character" w:styleId="23">
    <w:name w:val="Hyperlink"/>
    <w:qFormat/>
    <w:uiPriority w:val="0"/>
    <w:rPr>
      <w:color w:val="0000FF"/>
      <w:u w:val="single"/>
    </w:rPr>
  </w:style>
  <w:style w:type="paragraph" w:customStyle="1" w:styleId="24">
    <w:name w:val="页脚1"/>
    <w:basedOn w:val="1"/>
    <w:next w:val="25"/>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pos="4153"/>
        <w:tab w:val="right" w:pos="8306"/>
      </w:tabs>
      <w:snapToGrid w:val="0"/>
      <w:spacing w:before="0" w:beforeAutospacing="0" w:after="0" w:afterAutospacing="0" w:line="240" w:lineRule="auto"/>
      <w:ind w:left="0" w:right="0" w:firstLine="0"/>
      <w:jc w:val="left"/>
    </w:pPr>
    <w:rPr>
      <w:rFonts w:hint="default" w:ascii="等线" w:hAnsi="等线" w:eastAsia="等线"/>
      <w:color w:val="000000"/>
      <w:spacing w:val="0"/>
      <w:position w:val="0"/>
      <w:sz w:val="18"/>
      <w:szCs w:val="18"/>
    </w:rPr>
  </w:style>
  <w:style w:type="paragraph" w:customStyle="1" w:styleId="25">
    <w:name w:val="日期1"/>
    <w:basedOn w:val="1"/>
    <w:next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240" w:lineRule="auto"/>
      <w:ind w:left="100" w:leftChars="2500" w:right="0" w:firstLine="0"/>
    </w:pPr>
    <w:rPr>
      <w:rFonts w:hint="default" w:ascii="Times New Roman" w:hAnsi="Times New Roman" w:eastAsia="宋体"/>
      <w:color w:val="000000"/>
      <w:spacing w:val="0"/>
      <w:position w:val="0"/>
      <w:sz w:val="30"/>
      <w:szCs w:val="30"/>
    </w:rPr>
  </w:style>
  <w:style w:type="character" w:customStyle="1" w:styleId="26">
    <w:name w:val="正文文本缩进 2 Char"/>
    <w:link w:val="10"/>
    <w:qFormat/>
    <w:uiPriority w:val="0"/>
    <w:rPr>
      <w:rFonts w:ascii="方正仿宋_GBK" w:eastAsia="方正仿宋_GBK"/>
      <w:color w:val="000000"/>
      <w:kern w:val="2"/>
      <w:sz w:val="28"/>
      <w:szCs w:val="28"/>
    </w:rPr>
  </w:style>
  <w:style w:type="paragraph" w:customStyle="1" w:styleId="27">
    <w:name w:val="fstdiv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
    <w:name w:val="_Style 24"/>
    <w:unhideWhenUsed/>
    <w:qFormat/>
    <w:uiPriority w:val="99"/>
    <w:rPr>
      <w:rFonts w:ascii="Times New Roman" w:hAnsi="Times New Roman" w:eastAsia="宋体" w:cs="Times New Roman"/>
      <w:kern w:val="2"/>
      <w:sz w:val="30"/>
      <w:szCs w:val="30"/>
      <w:lang w:val="en-US" w:eastAsia="zh-CN" w:bidi="ar-SA"/>
    </w:rPr>
  </w:style>
  <w:style w:type="paragraph" w:customStyle="1" w:styleId="29">
    <w:name w:val="首行缩进"/>
    <w:basedOn w:val="1"/>
    <w:qFormat/>
    <w:uiPriority w:val="0"/>
    <w:pPr>
      <w:ind w:firstLine="480" w:firstLineChars="200"/>
    </w:pPr>
    <w:rPr>
      <w:rFonts w:ascii="Calibri" w:hAnsi="Calibri" w:cs="Times New Roman"/>
      <w:sz w:val="21"/>
      <w:szCs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gxzf</Company>
  <Pages>10</Pages>
  <Words>0</Words>
  <Characters>0</Characters>
  <Lines>0</Lines>
  <Paragraphs>0</Paragraphs>
  <TotalTime>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2024-07-10T20:58:00Z</dcterms:created>
  <dc:creator>曹智豪</dc:creator>
  <cp:lastModifiedBy>gxxc</cp:lastModifiedBy>
  <cp:lastPrinted>2012-09-02T11:14:00Z</cp:lastPrinted>
  <dcterms:modified xsi:type="dcterms:W3CDTF">2025-10-27T16:00:32Z</dcterms:modified>
  <dc:title>自治区住房城乡建设厅关于征求《广西壮族</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DCD39587D55CC3D687E6FE68006DB88B_43</vt:lpwstr>
  </property>
</Properties>
</file>