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218E5F">
      <w:pPr>
        <w:rPr>
          <w:rFonts w:hint="eastAsia" w:ascii="仿宋" w:hAnsi="仿宋" w:eastAsia="仿宋"/>
          <w:b/>
          <w:bCs/>
          <w:color w:val="auto"/>
          <w:sz w:val="30"/>
          <w:szCs w:val="30"/>
        </w:rPr>
      </w:pPr>
      <w:r>
        <w:rPr>
          <w:rFonts w:hint="eastAsia" w:ascii="仿宋" w:hAnsi="仿宋" w:eastAsia="仿宋"/>
          <w:b/>
          <w:bCs/>
          <w:color w:val="auto"/>
          <w:sz w:val="30"/>
          <w:szCs w:val="30"/>
        </w:rPr>
        <w:t xml:space="preserve">             </w:t>
      </w:r>
    </w:p>
    <w:p w14:paraId="475FD2B7">
      <w:pPr>
        <w:jc w:val="center"/>
        <w:rPr>
          <w:rFonts w:hint="eastAsia"/>
          <w:color w:val="auto"/>
          <w:sz w:val="28"/>
          <w:szCs w:val="28"/>
        </w:rPr>
      </w:pPr>
    </w:p>
    <w:p w14:paraId="42238827">
      <w:pPr>
        <w:jc w:val="center"/>
        <w:rPr>
          <w:rFonts w:hint="eastAsia" w:ascii="仿宋" w:hAnsi="仿宋" w:eastAsia="仿宋"/>
          <w:color w:val="auto"/>
          <w:sz w:val="28"/>
          <w:szCs w:val="28"/>
        </w:rPr>
      </w:pPr>
      <w:r>
        <w:rPr>
          <w:rFonts w:hint="eastAsia" w:ascii="黑体" w:hAnsi="黑体" w:eastAsia="黑体"/>
          <w:color w:val="auto"/>
          <w:sz w:val="44"/>
          <w:szCs w:val="44"/>
        </w:rPr>
        <w:t>广西壮族自治区工程建设地方标准</w:t>
      </w:r>
      <w:r>
        <w:rPr>
          <w:rFonts w:ascii="仿宋" w:hAnsi="仿宋" w:eastAsia="仿宋"/>
          <w:color w:val="auto"/>
          <w:sz w:val="28"/>
          <w:szCs w:val="28"/>
        </w:rPr>
        <w:t xml:space="preserve">  </w:t>
      </w:r>
      <w:r>
        <w:rPr>
          <w:rFonts w:ascii="仿宋" w:hAnsi="仿宋" w:eastAsia="仿宋"/>
          <w:color w:val="auto"/>
          <w:sz w:val="84"/>
          <w:szCs w:val="84"/>
        </w:rPr>
        <w:t xml:space="preserve"> DB</w:t>
      </w:r>
    </w:p>
    <w:p w14:paraId="682B198E">
      <w:pPr>
        <w:spacing w:line="360" w:lineRule="auto"/>
        <w:jc w:val="center"/>
        <w:rPr>
          <w:rFonts w:ascii="Times New Roman" w:hAnsi="Times New Roman"/>
          <w:color w:val="auto"/>
          <w:sz w:val="28"/>
          <w:szCs w:val="28"/>
        </w:rPr>
      </w:pPr>
    </w:p>
    <w:p w14:paraId="5880512C">
      <w:pPr>
        <w:spacing w:line="360" w:lineRule="auto"/>
        <w:jc w:val="right"/>
        <w:rPr>
          <w:rFonts w:ascii="Times New Roman" w:hAnsi="Times New Roman"/>
          <w:b/>
          <w:bCs/>
          <w:color w:val="auto"/>
          <w:sz w:val="28"/>
          <w:szCs w:val="28"/>
        </w:rPr>
      </w:pPr>
      <w:r>
        <w:rPr>
          <w:rFonts w:ascii="Times New Roman" w:hAnsi="Times New Roman"/>
          <w:b/>
          <w:bCs/>
          <w:color w:val="auto"/>
          <w:sz w:val="28"/>
          <w:szCs w:val="28"/>
        </w:rPr>
        <w:t>DBJ/T45-xxx-202</w:t>
      </w:r>
      <w:r>
        <w:rPr>
          <w:rFonts w:hint="eastAsia" w:ascii="Times New Roman" w:hAnsi="Times New Roman"/>
          <w:b/>
          <w:bCs/>
          <w:color w:val="auto"/>
          <w:sz w:val="28"/>
          <w:szCs w:val="28"/>
        </w:rPr>
        <w:t>4</w:t>
      </w:r>
    </w:p>
    <w:p w14:paraId="4DB6F71A">
      <w:pPr>
        <w:jc w:val="right"/>
        <w:rPr>
          <w:rFonts w:hint="eastAsia" w:eastAsia="仿宋"/>
          <w:b/>
          <w:bCs/>
          <w:color w:val="auto"/>
          <w:sz w:val="28"/>
          <w:szCs w:val="28"/>
        </w:rPr>
      </w:pPr>
      <w:r>
        <w:rPr>
          <w:rFonts w:ascii="仿宋" w:hAnsi="仿宋" w:eastAsia="仿宋"/>
          <w:b/>
          <w:bCs/>
          <w:color w:val="auto"/>
          <w:sz w:val="28"/>
          <w:szCs w:val="28"/>
        </w:rPr>
        <w:t xml:space="preserve">      </w:t>
      </w:r>
      <w:r>
        <w:rPr>
          <w:b/>
          <w:bCs/>
          <w:color w:val="auto"/>
          <w:sz w:val="28"/>
          <w:szCs w:val="28"/>
        </w:rPr>
        <w:t xml:space="preserve">                                     </w:t>
      </w:r>
      <w:r>
        <w:rPr>
          <w:rFonts w:hint="eastAsia"/>
          <w:b/>
          <w:bCs/>
          <w:color w:val="auto"/>
          <w:sz w:val="28"/>
          <w:szCs w:val="28"/>
        </w:rPr>
        <w:t>备案号：</w:t>
      </w:r>
      <w:r>
        <w:rPr>
          <w:rFonts w:hint="eastAsia" w:ascii="仿宋" w:hAnsi="仿宋" w:eastAsia="仿宋"/>
          <w:b/>
          <w:bCs/>
          <w:color w:val="auto"/>
          <w:sz w:val="28"/>
          <w:szCs w:val="28"/>
        </w:rPr>
        <w:t>J</w:t>
      </w:r>
      <w:r>
        <w:rPr>
          <w:rFonts w:ascii="仿宋" w:hAnsi="仿宋" w:eastAsia="仿宋"/>
          <w:b/>
          <w:bCs/>
          <w:color w:val="auto"/>
          <w:sz w:val="28"/>
          <w:szCs w:val="28"/>
        </w:rPr>
        <w:t>xxxxx-202</w:t>
      </w:r>
      <w:r>
        <w:rPr>
          <w:rFonts w:hint="eastAsia" w:ascii="仿宋" w:hAnsi="仿宋" w:eastAsia="仿宋"/>
          <w:b/>
          <w:bCs/>
          <w:color w:val="auto"/>
          <w:sz w:val="28"/>
          <w:szCs w:val="28"/>
        </w:rPr>
        <w:t>4</w:t>
      </w:r>
    </w:p>
    <w:p w14:paraId="7F326C6B">
      <w:pPr>
        <w:rPr>
          <w:rFonts w:hint="eastAsia"/>
          <w:color w:val="auto"/>
          <w:sz w:val="28"/>
          <w:szCs w:val="28"/>
          <w:u w:val="single"/>
        </w:rPr>
      </w:pPr>
      <w:r>
        <w:rPr>
          <w:rFonts w:hint="eastAsia"/>
          <w:color w:val="auto"/>
          <w:sz w:val="28"/>
          <w:szCs w:val="28"/>
          <w:u w:val="single"/>
        </w:rPr>
        <w:t xml:space="preserve"> </w:t>
      </w:r>
      <w:r>
        <w:rPr>
          <w:color w:val="auto"/>
          <w:sz w:val="28"/>
          <w:szCs w:val="28"/>
          <w:u w:val="single"/>
        </w:rPr>
        <w:t xml:space="preserve">                                                               </w:t>
      </w:r>
    </w:p>
    <w:p w14:paraId="4C764C1E">
      <w:pPr>
        <w:pStyle w:val="28"/>
        <w:rPr>
          <w:color w:val="auto"/>
        </w:rPr>
      </w:pPr>
    </w:p>
    <w:p w14:paraId="7152EF7D">
      <w:pPr>
        <w:pStyle w:val="28"/>
        <w:rPr>
          <w:color w:val="auto"/>
        </w:rPr>
      </w:pPr>
    </w:p>
    <w:p w14:paraId="15BA9163">
      <w:pPr>
        <w:pStyle w:val="28"/>
        <w:rPr>
          <w:color w:val="auto"/>
        </w:rPr>
      </w:pPr>
    </w:p>
    <w:p w14:paraId="316849EC">
      <w:pPr>
        <w:pStyle w:val="28"/>
        <w:rPr>
          <w:color w:val="auto"/>
        </w:rPr>
      </w:pPr>
    </w:p>
    <w:p w14:paraId="08E8BD1A">
      <w:pPr>
        <w:spacing w:line="360" w:lineRule="auto"/>
        <w:jc w:val="center"/>
        <w:rPr>
          <w:rFonts w:hint="eastAsia" w:ascii="黑体" w:hAnsi="黑体" w:eastAsia="黑体"/>
          <w:b/>
          <w:color w:val="auto"/>
          <w:sz w:val="52"/>
          <w:szCs w:val="52"/>
        </w:rPr>
      </w:pPr>
      <w:bookmarkStart w:id="0" w:name="_Hlk167789256"/>
      <w:bookmarkStart w:id="1" w:name="_Hlk141552040"/>
      <w:r>
        <w:rPr>
          <w:rFonts w:hint="eastAsia" w:ascii="黑体" w:hAnsi="黑体" w:eastAsia="黑体"/>
          <w:b/>
          <w:color w:val="auto"/>
          <w:sz w:val="52"/>
          <w:szCs w:val="52"/>
        </w:rPr>
        <w:t>超高性能混凝土-普通混凝土组合式盖板结构</w:t>
      </w:r>
      <w:bookmarkEnd w:id="0"/>
      <w:r>
        <w:rPr>
          <w:rFonts w:hint="eastAsia" w:ascii="黑体" w:hAnsi="黑体" w:eastAsia="黑体"/>
          <w:b/>
          <w:color w:val="auto"/>
          <w:sz w:val="52"/>
          <w:szCs w:val="52"/>
        </w:rPr>
        <w:t>技术规程</w:t>
      </w:r>
      <w:bookmarkEnd w:id="1"/>
    </w:p>
    <w:p w14:paraId="63AB442B">
      <w:pPr>
        <w:spacing w:line="360" w:lineRule="auto"/>
        <w:jc w:val="center"/>
        <w:rPr>
          <w:rFonts w:ascii="Times New Roman" w:hAnsi="Times New Roman"/>
          <w:color w:val="auto"/>
          <w:w w:val="90"/>
          <w:sz w:val="30"/>
          <w:szCs w:val="30"/>
        </w:rPr>
      </w:pPr>
      <w:bookmarkStart w:id="2" w:name="_Hlk141552060"/>
      <w:r>
        <w:rPr>
          <w:rFonts w:ascii="Times New Roman" w:hAnsi="Times New Roman"/>
          <w:color w:val="auto"/>
          <w:w w:val="90"/>
          <w:sz w:val="30"/>
          <w:szCs w:val="30"/>
        </w:rPr>
        <w:t xml:space="preserve">Technical </w:t>
      </w:r>
      <w:r>
        <w:rPr>
          <w:rFonts w:hint="eastAsia" w:ascii="Times New Roman" w:hAnsi="Times New Roman"/>
          <w:color w:val="auto"/>
          <w:w w:val="90"/>
          <w:sz w:val="30"/>
          <w:szCs w:val="30"/>
        </w:rPr>
        <w:t xml:space="preserve">specification for </w:t>
      </w:r>
      <w:bookmarkStart w:id="3" w:name="_Hlk141628050"/>
      <w:r>
        <w:rPr>
          <w:rFonts w:ascii="Times New Roman" w:hAnsi="Times New Roman"/>
          <w:color w:val="auto"/>
          <w:w w:val="90"/>
          <w:sz w:val="30"/>
          <w:szCs w:val="30"/>
        </w:rPr>
        <w:t>ultra</w:t>
      </w:r>
      <w:r>
        <w:rPr>
          <w:rFonts w:hint="eastAsia" w:ascii="Times New Roman" w:hAnsi="Times New Roman"/>
          <w:color w:val="auto"/>
          <w:w w:val="90"/>
          <w:sz w:val="30"/>
          <w:szCs w:val="30"/>
        </w:rPr>
        <w:t>-</w:t>
      </w:r>
      <w:r>
        <w:rPr>
          <w:rFonts w:ascii="Times New Roman" w:hAnsi="Times New Roman"/>
          <w:color w:val="auto"/>
          <w:w w:val="90"/>
          <w:sz w:val="30"/>
          <w:szCs w:val="30"/>
        </w:rPr>
        <w:t xml:space="preserve">high performance concrete-normal concrete composite </w:t>
      </w:r>
      <w:r>
        <w:rPr>
          <w:rFonts w:hint="eastAsia" w:ascii="Times New Roman" w:hAnsi="Times New Roman"/>
          <w:color w:val="auto"/>
          <w:w w:val="90"/>
          <w:sz w:val="30"/>
          <w:szCs w:val="30"/>
        </w:rPr>
        <w:t xml:space="preserve">cover </w:t>
      </w:r>
      <w:r>
        <w:rPr>
          <w:rFonts w:ascii="Times New Roman" w:hAnsi="Times New Roman"/>
          <w:color w:val="auto"/>
          <w:w w:val="90"/>
          <w:sz w:val="30"/>
          <w:szCs w:val="30"/>
        </w:rPr>
        <w:t xml:space="preserve">slab </w:t>
      </w:r>
      <w:bookmarkEnd w:id="2"/>
      <w:bookmarkEnd w:id="3"/>
      <w:r>
        <w:rPr>
          <w:rFonts w:hint="eastAsia" w:ascii="Times New Roman" w:hAnsi="Times New Roman"/>
          <w:color w:val="auto"/>
          <w:w w:val="90"/>
          <w:sz w:val="30"/>
          <w:szCs w:val="30"/>
        </w:rPr>
        <w:t>structures</w:t>
      </w:r>
    </w:p>
    <w:p w14:paraId="3C630887">
      <w:pPr>
        <w:jc w:val="center"/>
        <w:rPr>
          <w:rFonts w:hint="eastAsia" w:ascii="宋体" w:hAnsi="宋体" w:eastAsia="宋体"/>
          <w:b/>
          <w:color w:val="auto"/>
          <w:sz w:val="28"/>
          <w:szCs w:val="28"/>
        </w:rPr>
      </w:pPr>
      <w:r>
        <w:rPr>
          <w:rFonts w:hint="eastAsia" w:ascii="宋体" w:hAnsi="宋体" w:eastAsia="宋体"/>
          <w:b/>
          <w:color w:val="auto"/>
          <w:sz w:val="36"/>
          <w:szCs w:val="36"/>
        </w:rPr>
        <w:t>（征求意见稿）</w:t>
      </w:r>
    </w:p>
    <w:p w14:paraId="3E4AF3E4">
      <w:pPr>
        <w:pStyle w:val="28"/>
        <w:rPr>
          <w:color w:val="auto"/>
        </w:rPr>
      </w:pPr>
    </w:p>
    <w:p w14:paraId="5C7B4B4B">
      <w:pPr>
        <w:pStyle w:val="28"/>
        <w:rPr>
          <w:color w:val="auto"/>
        </w:rPr>
      </w:pPr>
    </w:p>
    <w:p w14:paraId="01045172">
      <w:pPr>
        <w:pStyle w:val="28"/>
        <w:rPr>
          <w:color w:val="auto"/>
        </w:rPr>
      </w:pPr>
    </w:p>
    <w:p w14:paraId="1DB523AF">
      <w:pPr>
        <w:spacing w:line="360" w:lineRule="auto"/>
        <w:ind w:firstLine="491" w:firstLineChars="205"/>
        <w:rPr>
          <w:rFonts w:hint="eastAsia" w:ascii="宋体" w:hAnsi="宋体"/>
          <w:color w:val="auto"/>
          <w:sz w:val="24"/>
        </w:rPr>
      </w:pPr>
    </w:p>
    <w:p w14:paraId="4926BCED">
      <w:pPr>
        <w:spacing w:line="360" w:lineRule="auto"/>
        <w:ind w:firstLine="491" w:firstLineChars="205"/>
        <w:rPr>
          <w:rFonts w:hint="eastAsia" w:ascii="宋体" w:hAnsi="宋体"/>
          <w:color w:val="auto"/>
          <w:sz w:val="24"/>
        </w:rPr>
      </w:pPr>
    </w:p>
    <w:p w14:paraId="6E2AB8F5">
      <w:pPr>
        <w:rPr>
          <w:rFonts w:hint="eastAsia"/>
          <w:color w:val="auto"/>
          <w:szCs w:val="21"/>
        </w:rPr>
      </w:pPr>
    </w:p>
    <w:p w14:paraId="780683E4">
      <w:pPr>
        <w:rPr>
          <w:rFonts w:hint="eastAsia"/>
          <w:color w:val="auto"/>
          <w:szCs w:val="21"/>
        </w:rPr>
      </w:pPr>
    </w:p>
    <w:p w14:paraId="2CFEA975">
      <w:pPr>
        <w:rPr>
          <w:rFonts w:hint="eastAsia"/>
          <w:color w:val="auto"/>
          <w:szCs w:val="21"/>
        </w:rPr>
      </w:pPr>
    </w:p>
    <w:p w14:paraId="40B7A912">
      <w:pPr>
        <w:spacing w:line="360" w:lineRule="auto"/>
        <w:jc w:val="center"/>
        <w:rPr>
          <w:rFonts w:ascii="Times New Roman" w:hAnsi="Times New Roman"/>
          <w:b/>
          <w:bCs/>
          <w:color w:val="auto"/>
          <w:sz w:val="28"/>
          <w:szCs w:val="28"/>
        </w:rPr>
      </w:pPr>
      <w:r>
        <w:rPr>
          <w:rFonts w:hint="eastAsia" w:ascii="Times New Roman" w:hAnsi="Times New Roman"/>
          <w:b/>
          <w:bCs/>
          <w:color w:val="auto"/>
          <w:sz w:val="28"/>
          <w:szCs w:val="28"/>
        </w:rPr>
        <w:t>2</w:t>
      </w:r>
      <w:r>
        <w:rPr>
          <w:rFonts w:ascii="Times New Roman" w:hAnsi="Times New Roman"/>
          <w:b/>
          <w:bCs/>
          <w:color w:val="auto"/>
          <w:sz w:val="28"/>
          <w:szCs w:val="28"/>
        </w:rPr>
        <w:t>02</w:t>
      </w:r>
      <w:r>
        <w:rPr>
          <w:rFonts w:hint="eastAsia" w:ascii="Times New Roman" w:hAnsi="Times New Roman"/>
          <w:b/>
          <w:bCs/>
          <w:color w:val="auto"/>
          <w:sz w:val="28"/>
          <w:szCs w:val="28"/>
        </w:rPr>
        <w:t xml:space="preserve">4年xx月xx  发布 </w:t>
      </w:r>
      <w:r>
        <w:rPr>
          <w:rFonts w:ascii="Times New Roman" w:hAnsi="Times New Roman"/>
          <w:b/>
          <w:bCs/>
          <w:color w:val="auto"/>
          <w:sz w:val="28"/>
          <w:szCs w:val="28"/>
        </w:rPr>
        <w:t xml:space="preserve">                  2024</w:t>
      </w:r>
      <w:r>
        <w:rPr>
          <w:rFonts w:hint="eastAsia" w:ascii="Times New Roman" w:hAnsi="Times New Roman"/>
          <w:b/>
          <w:bCs/>
          <w:color w:val="auto"/>
          <w:sz w:val="28"/>
          <w:szCs w:val="28"/>
        </w:rPr>
        <w:t>年xx月</w:t>
      </w:r>
      <w:r>
        <w:rPr>
          <w:rFonts w:ascii="Times New Roman" w:hAnsi="Times New Roman"/>
          <w:b/>
          <w:bCs/>
          <w:color w:val="auto"/>
          <w:sz w:val="28"/>
          <w:szCs w:val="28"/>
        </w:rPr>
        <w:t>xx</w:t>
      </w:r>
      <w:r>
        <w:rPr>
          <w:rFonts w:hint="eastAsia" w:ascii="Times New Roman" w:hAnsi="Times New Roman"/>
          <w:b/>
          <w:bCs/>
          <w:color w:val="auto"/>
          <w:sz w:val="28"/>
          <w:szCs w:val="28"/>
        </w:rPr>
        <w:t xml:space="preserve">  实施</w:t>
      </w:r>
    </w:p>
    <w:p w14:paraId="60DE00E3">
      <w:pPr>
        <w:rPr>
          <w:rFonts w:hint="eastAsia"/>
          <w:color w:val="auto"/>
          <w:sz w:val="28"/>
          <w:szCs w:val="28"/>
          <w:u w:val="single"/>
        </w:rPr>
      </w:pPr>
      <w:r>
        <w:rPr>
          <w:rFonts w:hint="eastAsia"/>
          <w:color w:val="auto"/>
          <w:sz w:val="28"/>
          <w:szCs w:val="28"/>
          <w:u w:val="single"/>
        </w:rPr>
        <w:t xml:space="preserve"> </w:t>
      </w:r>
      <w:r>
        <w:rPr>
          <w:color w:val="auto"/>
          <w:sz w:val="28"/>
          <w:szCs w:val="28"/>
          <w:u w:val="single"/>
        </w:rPr>
        <w:t xml:space="preserve">                                                               </w:t>
      </w:r>
    </w:p>
    <w:p w14:paraId="3FD4ED24">
      <w:pPr>
        <w:rPr>
          <w:rFonts w:hint="eastAsia"/>
          <w:color w:val="auto"/>
        </w:rPr>
      </w:pPr>
    </w:p>
    <w:p w14:paraId="669A4E66">
      <w:pPr>
        <w:jc w:val="center"/>
        <w:rPr>
          <w:rFonts w:hint="eastAsia"/>
          <w:color w:val="auto"/>
          <w:sz w:val="28"/>
          <w:szCs w:val="28"/>
        </w:rPr>
      </w:pPr>
    </w:p>
    <w:p w14:paraId="48BE9478">
      <w:pPr>
        <w:rPr>
          <w:rFonts w:hint="eastAsia"/>
          <w:color w:val="auto"/>
          <w:sz w:val="28"/>
          <w:szCs w:val="28"/>
        </w:rPr>
      </w:pPr>
    </w:p>
    <w:p w14:paraId="52528B45">
      <w:pPr>
        <w:pStyle w:val="28"/>
        <w:rPr>
          <w:color w:val="auto"/>
        </w:rPr>
      </w:pPr>
    </w:p>
    <w:p w14:paraId="43B5C170">
      <w:pPr>
        <w:pStyle w:val="28"/>
        <w:jc w:val="center"/>
        <w:rPr>
          <w:rFonts w:hint="eastAsia" w:ascii="黑体" w:hAnsi="黑体" w:eastAsia="黑体"/>
          <w:color w:val="auto"/>
          <w:sz w:val="44"/>
          <w:szCs w:val="44"/>
        </w:rPr>
      </w:pPr>
      <w:r>
        <w:rPr>
          <w:rFonts w:hint="eastAsia" w:ascii="黑体" w:hAnsi="黑体" w:eastAsia="黑体"/>
          <w:color w:val="auto"/>
          <w:sz w:val="44"/>
          <w:szCs w:val="44"/>
        </w:rPr>
        <w:t xml:space="preserve">广西壮族自治区住房和城乡建设厅 </w:t>
      </w:r>
      <w:r>
        <w:rPr>
          <w:rFonts w:ascii="黑体" w:hAnsi="黑体" w:eastAsia="黑体"/>
          <w:color w:val="auto"/>
          <w:sz w:val="44"/>
          <w:szCs w:val="44"/>
        </w:rPr>
        <w:t xml:space="preserve"> </w:t>
      </w:r>
      <w:r>
        <w:rPr>
          <w:rFonts w:hint="eastAsia" w:ascii="黑体" w:hAnsi="黑体" w:eastAsia="黑体"/>
          <w:color w:val="auto"/>
          <w:sz w:val="44"/>
          <w:szCs w:val="44"/>
        </w:rPr>
        <w:t>发布</w:t>
      </w:r>
    </w:p>
    <w:p w14:paraId="2ECACAB1">
      <w:pPr>
        <w:widowControl/>
        <w:jc w:val="left"/>
        <w:rPr>
          <w:rFonts w:hint="eastAsia"/>
          <w:color w:val="auto"/>
        </w:rPr>
      </w:pPr>
      <w:r>
        <w:rPr>
          <w:color w:val="auto"/>
        </w:rPr>
        <w:br w:type="page"/>
      </w:r>
    </w:p>
    <w:p w14:paraId="34CEBC72">
      <w:pPr>
        <w:jc w:val="center"/>
        <w:rPr>
          <w:rFonts w:hint="eastAsia" w:ascii="黑体" w:hAnsi="黑体" w:eastAsia="黑体"/>
          <w:color w:val="auto"/>
          <w:sz w:val="44"/>
          <w:szCs w:val="44"/>
        </w:rPr>
      </w:pPr>
    </w:p>
    <w:p w14:paraId="7A203A93">
      <w:pPr>
        <w:jc w:val="center"/>
        <w:rPr>
          <w:rFonts w:hint="eastAsia" w:ascii="黑体" w:hAnsi="黑体" w:eastAsia="黑体"/>
          <w:color w:val="auto"/>
          <w:sz w:val="44"/>
          <w:szCs w:val="44"/>
        </w:rPr>
      </w:pPr>
    </w:p>
    <w:p w14:paraId="41741F73">
      <w:pPr>
        <w:jc w:val="center"/>
        <w:rPr>
          <w:rFonts w:hint="eastAsia" w:ascii="黑体" w:hAnsi="黑体" w:eastAsia="黑体"/>
          <w:color w:val="auto"/>
          <w:sz w:val="44"/>
          <w:szCs w:val="44"/>
        </w:rPr>
      </w:pPr>
    </w:p>
    <w:p w14:paraId="1EE756F8">
      <w:pPr>
        <w:jc w:val="center"/>
        <w:rPr>
          <w:rFonts w:hint="eastAsia" w:ascii="仿宋" w:hAnsi="仿宋" w:eastAsia="仿宋"/>
          <w:color w:val="auto"/>
          <w:sz w:val="28"/>
          <w:szCs w:val="28"/>
        </w:rPr>
      </w:pPr>
      <w:r>
        <w:rPr>
          <w:rFonts w:hint="eastAsia" w:ascii="黑体" w:hAnsi="黑体" w:eastAsia="黑体"/>
          <w:color w:val="auto"/>
          <w:sz w:val="44"/>
          <w:szCs w:val="44"/>
        </w:rPr>
        <w:t>广西壮族自治区工程建设地方标准</w:t>
      </w:r>
    </w:p>
    <w:p w14:paraId="2C0039EB">
      <w:pPr>
        <w:spacing w:line="360" w:lineRule="auto"/>
        <w:jc w:val="center"/>
        <w:rPr>
          <w:rFonts w:ascii="Times New Roman" w:hAnsi="Times New Roman"/>
          <w:color w:val="auto"/>
          <w:sz w:val="28"/>
          <w:szCs w:val="28"/>
        </w:rPr>
      </w:pPr>
    </w:p>
    <w:p w14:paraId="1FBAAD56">
      <w:pPr>
        <w:pStyle w:val="28"/>
        <w:rPr>
          <w:color w:val="auto"/>
        </w:rPr>
      </w:pPr>
    </w:p>
    <w:p w14:paraId="57988239">
      <w:pPr>
        <w:pStyle w:val="28"/>
        <w:rPr>
          <w:color w:val="auto"/>
        </w:rPr>
      </w:pPr>
    </w:p>
    <w:p w14:paraId="10C8B793">
      <w:pPr>
        <w:pStyle w:val="28"/>
        <w:rPr>
          <w:color w:val="auto"/>
        </w:rPr>
      </w:pPr>
    </w:p>
    <w:p w14:paraId="7F374755">
      <w:pPr>
        <w:spacing w:line="360" w:lineRule="auto"/>
        <w:jc w:val="center"/>
        <w:rPr>
          <w:rFonts w:hint="eastAsia" w:ascii="黑体" w:hAnsi="黑体" w:eastAsia="黑体"/>
          <w:b/>
          <w:color w:val="auto"/>
          <w:sz w:val="52"/>
          <w:szCs w:val="52"/>
        </w:rPr>
      </w:pPr>
      <w:bookmarkStart w:id="4" w:name="_Hlk141625075"/>
      <w:bookmarkStart w:id="5" w:name="_Hlk141605443"/>
      <w:r>
        <w:rPr>
          <w:rFonts w:hint="eastAsia" w:ascii="黑体" w:hAnsi="黑体" w:eastAsia="黑体"/>
          <w:b/>
          <w:color w:val="auto"/>
          <w:sz w:val="52"/>
          <w:szCs w:val="52"/>
        </w:rPr>
        <w:t>超高性能混凝土-普通混凝土组合式盖板结构</w:t>
      </w:r>
      <w:bookmarkEnd w:id="4"/>
      <w:r>
        <w:rPr>
          <w:rFonts w:hint="eastAsia" w:ascii="黑体" w:hAnsi="黑体" w:eastAsia="黑体"/>
          <w:b/>
          <w:color w:val="auto"/>
          <w:sz w:val="52"/>
          <w:szCs w:val="52"/>
        </w:rPr>
        <w:t>技术规程</w:t>
      </w:r>
      <w:bookmarkEnd w:id="5"/>
    </w:p>
    <w:p w14:paraId="06B88C48">
      <w:pPr>
        <w:spacing w:line="360" w:lineRule="auto"/>
        <w:jc w:val="center"/>
        <w:rPr>
          <w:rFonts w:ascii="Times New Roman" w:hAnsi="Times New Roman"/>
          <w:color w:val="auto"/>
          <w:w w:val="90"/>
          <w:sz w:val="30"/>
          <w:szCs w:val="30"/>
        </w:rPr>
      </w:pPr>
      <w:r>
        <w:rPr>
          <w:rFonts w:ascii="Times New Roman" w:hAnsi="Times New Roman"/>
          <w:color w:val="auto"/>
          <w:w w:val="90"/>
          <w:sz w:val="30"/>
          <w:szCs w:val="30"/>
        </w:rPr>
        <w:t xml:space="preserve">Technical </w:t>
      </w:r>
      <w:r>
        <w:rPr>
          <w:rFonts w:hint="eastAsia" w:ascii="Times New Roman" w:hAnsi="Times New Roman"/>
          <w:color w:val="auto"/>
          <w:w w:val="90"/>
          <w:sz w:val="30"/>
          <w:szCs w:val="30"/>
        </w:rPr>
        <w:t>specification</w:t>
      </w:r>
      <w:r>
        <w:rPr>
          <w:rFonts w:ascii="Times New Roman" w:hAnsi="Times New Roman"/>
          <w:color w:val="auto"/>
          <w:w w:val="90"/>
          <w:sz w:val="30"/>
          <w:szCs w:val="30"/>
        </w:rPr>
        <w:t xml:space="preserve"> for ultra</w:t>
      </w:r>
      <w:r>
        <w:rPr>
          <w:rFonts w:hint="eastAsia" w:ascii="Times New Roman" w:hAnsi="Times New Roman"/>
          <w:color w:val="auto"/>
          <w:w w:val="90"/>
          <w:sz w:val="30"/>
          <w:szCs w:val="30"/>
        </w:rPr>
        <w:t>-</w:t>
      </w:r>
      <w:r>
        <w:rPr>
          <w:rFonts w:ascii="Times New Roman" w:hAnsi="Times New Roman"/>
          <w:color w:val="auto"/>
          <w:w w:val="90"/>
          <w:sz w:val="30"/>
          <w:szCs w:val="30"/>
        </w:rPr>
        <w:t>high performance concrete</w:t>
      </w:r>
      <w:r>
        <w:rPr>
          <w:rFonts w:hint="eastAsia" w:ascii="Times New Roman" w:hAnsi="Times New Roman"/>
          <w:color w:val="auto"/>
          <w:w w:val="90"/>
          <w:sz w:val="30"/>
          <w:szCs w:val="30"/>
        </w:rPr>
        <w:t xml:space="preserve"> </w:t>
      </w:r>
      <w:r>
        <w:rPr>
          <w:rFonts w:ascii="Times New Roman" w:hAnsi="Times New Roman"/>
          <w:color w:val="auto"/>
          <w:w w:val="90"/>
          <w:sz w:val="30"/>
          <w:szCs w:val="30"/>
        </w:rPr>
        <w:t>-</w:t>
      </w:r>
      <w:r>
        <w:rPr>
          <w:rFonts w:hint="eastAsia" w:ascii="Times New Roman" w:hAnsi="Times New Roman"/>
          <w:color w:val="auto"/>
          <w:w w:val="90"/>
          <w:sz w:val="30"/>
          <w:szCs w:val="30"/>
        </w:rPr>
        <w:t xml:space="preserve"> </w:t>
      </w:r>
      <w:r>
        <w:rPr>
          <w:rFonts w:ascii="Times New Roman" w:hAnsi="Times New Roman"/>
          <w:color w:val="auto"/>
          <w:w w:val="90"/>
          <w:sz w:val="30"/>
          <w:szCs w:val="30"/>
        </w:rPr>
        <w:t xml:space="preserve">normal concrete composite </w:t>
      </w:r>
      <w:r>
        <w:rPr>
          <w:rFonts w:hint="eastAsia" w:ascii="Times New Roman" w:hAnsi="Times New Roman"/>
          <w:color w:val="auto"/>
          <w:w w:val="90"/>
          <w:sz w:val="30"/>
          <w:szCs w:val="30"/>
        </w:rPr>
        <w:t xml:space="preserve">cover </w:t>
      </w:r>
      <w:r>
        <w:rPr>
          <w:rFonts w:ascii="Times New Roman" w:hAnsi="Times New Roman"/>
          <w:color w:val="auto"/>
          <w:w w:val="90"/>
          <w:sz w:val="30"/>
          <w:szCs w:val="30"/>
        </w:rPr>
        <w:t xml:space="preserve">slab </w:t>
      </w:r>
      <w:r>
        <w:rPr>
          <w:rFonts w:hint="eastAsia" w:ascii="Times New Roman" w:hAnsi="Times New Roman"/>
          <w:color w:val="auto"/>
          <w:w w:val="90"/>
          <w:sz w:val="30"/>
          <w:szCs w:val="30"/>
        </w:rPr>
        <w:t>structures</w:t>
      </w:r>
    </w:p>
    <w:p w14:paraId="70EA5821">
      <w:pPr>
        <w:spacing w:before="240" w:beforeLines="100" w:line="360" w:lineRule="auto"/>
        <w:jc w:val="center"/>
        <w:rPr>
          <w:rFonts w:ascii="Times New Roman" w:hAnsi="Times New Roman"/>
          <w:b/>
          <w:bCs/>
          <w:color w:val="auto"/>
          <w:sz w:val="28"/>
          <w:szCs w:val="28"/>
        </w:rPr>
      </w:pPr>
      <w:r>
        <w:rPr>
          <w:rFonts w:ascii="Times New Roman" w:hAnsi="Times New Roman"/>
          <w:b/>
          <w:bCs/>
          <w:color w:val="auto"/>
          <w:sz w:val="28"/>
          <w:szCs w:val="28"/>
        </w:rPr>
        <w:t>DBJ/T45-xxx-202</w:t>
      </w:r>
      <w:r>
        <w:rPr>
          <w:rFonts w:hint="eastAsia" w:ascii="Times New Roman" w:hAnsi="Times New Roman"/>
          <w:b/>
          <w:bCs/>
          <w:color w:val="auto"/>
          <w:sz w:val="28"/>
          <w:szCs w:val="28"/>
        </w:rPr>
        <w:t>4</w:t>
      </w:r>
    </w:p>
    <w:p w14:paraId="6943F01C">
      <w:pPr>
        <w:pStyle w:val="28"/>
        <w:jc w:val="center"/>
        <w:rPr>
          <w:rFonts w:hint="eastAsia" w:ascii="宋体" w:hAnsi="宋体"/>
          <w:b/>
          <w:color w:val="auto"/>
          <w:sz w:val="28"/>
          <w:szCs w:val="28"/>
        </w:rPr>
      </w:pPr>
      <w:r>
        <w:rPr>
          <w:rFonts w:hint="eastAsia" w:ascii="宋体" w:hAnsi="宋体"/>
          <w:b/>
          <w:color w:val="auto"/>
          <w:sz w:val="36"/>
          <w:szCs w:val="36"/>
        </w:rPr>
        <w:t>（征求意见稿）</w:t>
      </w:r>
    </w:p>
    <w:p w14:paraId="6E5F4167">
      <w:pPr>
        <w:pStyle w:val="28"/>
        <w:rPr>
          <w:rFonts w:hint="eastAsia" w:ascii="黑体" w:hAnsi="黑体" w:eastAsia="黑体"/>
          <w:b/>
          <w:bCs/>
          <w:color w:val="auto"/>
          <w:sz w:val="28"/>
          <w:szCs w:val="28"/>
        </w:rPr>
      </w:pPr>
    </w:p>
    <w:p w14:paraId="575D0773">
      <w:pPr>
        <w:pStyle w:val="28"/>
        <w:rPr>
          <w:rFonts w:hint="eastAsia" w:ascii="黑体" w:hAnsi="黑体" w:eastAsia="黑体"/>
          <w:b/>
          <w:bCs/>
          <w:color w:val="auto"/>
          <w:sz w:val="28"/>
          <w:szCs w:val="28"/>
        </w:rPr>
      </w:pPr>
    </w:p>
    <w:p w14:paraId="26F3AA82">
      <w:pPr>
        <w:pStyle w:val="28"/>
        <w:ind w:firstLine="1124" w:firstLineChars="400"/>
        <w:rPr>
          <w:rFonts w:hint="eastAsia" w:ascii="黑体" w:hAnsi="黑体" w:eastAsia="黑体"/>
          <w:b/>
          <w:bCs/>
          <w:color w:val="auto"/>
          <w:sz w:val="28"/>
          <w:szCs w:val="28"/>
        </w:rPr>
      </w:pPr>
      <w:r>
        <w:rPr>
          <w:rFonts w:hint="eastAsia" w:ascii="黑体" w:hAnsi="黑体" w:eastAsia="黑体"/>
          <w:b/>
          <w:bCs/>
          <w:color w:val="auto"/>
          <w:sz w:val="28"/>
          <w:szCs w:val="28"/>
        </w:rPr>
        <w:t>批准部门：</w:t>
      </w:r>
      <w:r>
        <w:rPr>
          <w:rFonts w:hint="eastAsia" w:ascii="宋体" w:hAnsi="宋体"/>
          <w:color w:val="auto"/>
          <w:sz w:val="28"/>
          <w:szCs w:val="28"/>
        </w:rPr>
        <w:t>广西壮族自治区住房和城乡建设厅</w:t>
      </w:r>
    </w:p>
    <w:p w14:paraId="6CE10DFF">
      <w:pPr>
        <w:pStyle w:val="28"/>
        <w:rPr>
          <w:rFonts w:hint="eastAsia" w:ascii="黑体" w:hAnsi="黑体" w:eastAsia="黑体"/>
          <w:b/>
          <w:bCs/>
          <w:color w:val="auto"/>
          <w:sz w:val="28"/>
          <w:szCs w:val="28"/>
        </w:rPr>
      </w:pPr>
    </w:p>
    <w:p w14:paraId="10E2E880">
      <w:pPr>
        <w:pStyle w:val="28"/>
        <w:spacing w:line="360" w:lineRule="auto"/>
        <w:ind w:firstLine="1124" w:firstLineChars="400"/>
        <w:rPr>
          <w:rFonts w:ascii="Times New Roman" w:hAnsi="Times New Roman"/>
          <w:color w:val="auto"/>
          <w:sz w:val="28"/>
          <w:szCs w:val="28"/>
        </w:rPr>
      </w:pPr>
      <w:r>
        <w:rPr>
          <w:rFonts w:hint="eastAsia" w:ascii="黑体" w:hAnsi="黑体" w:eastAsia="黑体"/>
          <w:b/>
          <w:bCs/>
          <w:color w:val="auto"/>
          <w:sz w:val="28"/>
          <w:szCs w:val="28"/>
        </w:rPr>
        <w:t>主编单位：</w:t>
      </w:r>
      <w:bookmarkStart w:id="6" w:name="_Hlk141551428"/>
      <w:r>
        <w:rPr>
          <w:rFonts w:hint="eastAsia" w:ascii="Times New Roman" w:hAnsi="Times New Roman"/>
          <w:color w:val="auto"/>
          <w:sz w:val="28"/>
          <w:szCs w:val="28"/>
        </w:rPr>
        <w:t>广西新祥高速公路有限公司</w:t>
      </w:r>
      <w:bookmarkEnd w:id="6"/>
    </w:p>
    <w:p w14:paraId="6BFE2986">
      <w:pPr>
        <w:pStyle w:val="28"/>
        <w:spacing w:line="360" w:lineRule="auto"/>
        <w:ind w:firstLine="2520" w:firstLineChars="900"/>
        <w:rPr>
          <w:rFonts w:ascii="Times New Roman" w:hAnsi="Times New Roman"/>
          <w:color w:val="auto"/>
          <w:sz w:val="28"/>
          <w:szCs w:val="28"/>
        </w:rPr>
      </w:pPr>
      <w:r>
        <w:rPr>
          <w:rFonts w:hint="eastAsia" w:ascii="Times New Roman" w:hAnsi="Times New Roman"/>
          <w:color w:val="auto"/>
          <w:sz w:val="28"/>
          <w:szCs w:val="28"/>
        </w:rPr>
        <w:t>广西大学</w:t>
      </w:r>
    </w:p>
    <w:p w14:paraId="108BEE45">
      <w:pPr>
        <w:pStyle w:val="28"/>
        <w:rPr>
          <w:rFonts w:hint="eastAsia" w:ascii="黑体" w:hAnsi="黑体" w:eastAsia="黑体"/>
          <w:b/>
          <w:bCs/>
          <w:color w:val="auto"/>
          <w:sz w:val="28"/>
          <w:szCs w:val="28"/>
        </w:rPr>
      </w:pPr>
    </w:p>
    <w:p w14:paraId="634098D1">
      <w:pPr>
        <w:pStyle w:val="28"/>
        <w:ind w:firstLine="1124" w:firstLineChars="400"/>
        <w:rPr>
          <w:rFonts w:ascii="Times New Roman" w:hAnsi="Times New Roman"/>
          <w:color w:val="auto"/>
          <w:sz w:val="28"/>
          <w:szCs w:val="28"/>
        </w:rPr>
      </w:pPr>
      <w:r>
        <w:rPr>
          <w:rFonts w:hint="eastAsia" w:ascii="黑体" w:hAnsi="黑体" w:eastAsia="黑体"/>
          <w:b/>
          <w:bCs/>
          <w:color w:val="auto"/>
          <w:sz w:val="28"/>
          <w:szCs w:val="28"/>
        </w:rPr>
        <w:t>施行日期：</w:t>
      </w:r>
      <w:r>
        <w:rPr>
          <w:rFonts w:hint="eastAsia" w:ascii="Times New Roman" w:hAnsi="Times New Roman"/>
          <w:color w:val="auto"/>
          <w:sz w:val="28"/>
          <w:szCs w:val="28"/>
        </w:rPr>
        <w:t>2</w:t>
      </w:r>
      <w:r>
        <w:rPr>
          <w:rFonts w:ascii="Times New Roman" w:hAnsi="Times New Roman"/>
          <w:color w:val="auto"/>
          <w:sz w:val="28"/>
          <w:szCs w:val="28"/>
        </w:rPr>
        <w:t>0</w:t>
      </w:r>
      <w:r>
        <w:rPr>
          <w:rFonts w:hint="eastAsia" w:ascii="Times New Roman" w:hAnsi="Times New Roman"/>
          <w:color w:val="auto"/>
          <w:sz w:val="28"/>
          <w:szCs w:val="28"/>
        </w:rPr>
        <w:t>24年X</w:t>
      </w:r>
      <w:r>
        <w:rPr>
          <w:rFonts w:ascii="Times New Roman" w:hAnsi="Times New Roman"/>
          <w:color w:val="auto"/>
          <w:sz w:val="28"/>
          <w:szCs w:val="28"/>
        </w:rPr>
        <w:t>X</w:t>
      </w:r>
      <w:r>
        <w:rPr>
          <w:rFonts w:hint="eastAsia" w:ascii="Times New Roman" w:hAnsi="Times New Roman"/>
          <w:color w:val="auto"/>
          <w:sz w:val="28"/>
          <w:szCs w:val="28"/>
        </w:rPr>
        <w:t>月X</w:t>
      </w:r>
      <w:r>
        <w:rPr>
          <w:rFonts w:ascii="Times New Roman" w:hAnsi="Times New Roman"/>
          <w:color w:val="auto"/>
          <w:sz w:val="28"/>
          <w:szCs w:val="28"/>
        </w:rPr>
        <w:t>X</w:t>
      </w:r>
      <w:r>
        <w:rPr>
          <w:rFonts w:hint="eastAsia" w:ascii="Times New Roman" w:hAnsi="Times New Roman"/>
          <w:color w:val="auto"/>
          <w:sz w:val="28"/>
          <w:szCs w:val="28"/>
        </w:rPr>
        <w:t>日</w:t>
      </w:r>
    </w:p>
    <w:p w14:paraId="40337C44">
      <w:pPr>
        <w:pStyle w:val="28"/>
        <w:rPr>
          <w:rFonts w:hint="eastAsia" w:ascii="黑体" w:hAnsi="黑体" w:eastAsia="黑体"/>
          <w:b/>
          <w:bCs/>
          <w:color w:val="auto"/>
          <w:sz w:val="28"/>
          <w:szCs w:val="28"/>
        </w:rPr>
      </w:pPr>
    </w:p>
    <w:p w14:paraId="12331D97">
      <w:pPr>
        <w:pStyle w:val="28"/>
        <w:rPr>
          <w:rFonts w:hint="eastAsia" w:ascii="黑体" w:hAnsi="黑体" w:eastAsia="黑体"/>
          <w:b/>
          <w:bCs/>
          <w:color w:val="auto"/>
          <w:sz w:val="28"/>
          <w:szCs w:val="28"/>
        </w:rPr>
      </w:pPr>
    </w:p>
    <w:p w14:paraId="4E02D803">
      <w:pPr>
        <w:pStyle w:val="28"/>
        <w:rPr>
          <w:rFonts w:hint="eastAsia" w:ascii="黑体" w:hAnsi="黑体" w:eastAsia="黑体"/>
          <w:b/>
          <w:bCs/>
          <w:color w:val="auto"/>
          <w:sz w:val="28"/>
          <w:szCs w:val="28"/>
        </w:rPr>
      </w:pPr>
    </w:p>
    <w:p w14:paraId="5E25C0BB">
      <w:pPr>
        <w:pStyle w:val="28"/>
        <w:rPr>
          <w:rFonts w:hint="eastAsia" w:ascii="黑体" w:hAnsi="黑体" w:eastAsia="黑体"/>
          <w:b/>
          <w:bCs/>
          <w:color w:val="auto"/>
          <w:sz w:val="28"/>
          <w:szCs w:val="28"/>
        </w:rPr>
      </w:pPr>
    </w:p>
    <w:p w14:paraId="695FB75F">
      <w:pPr>
        <w:pStyle w:val="28"/>
        <w:rPr>
          <w:rFonts w:hint="eastAsia" w:ascii="黑体" w:hAnsi="黑体" w:eastAsia="黑体"/>
          <w:b/>
          <w:bCs/>
          <w:color w:val="auto"/>
          <w:sz w:val="28"/>
          <w:szCs w:val="28"/>
        </w:rPr>
      </w:pPr>
    </w:p>
    <w:p w14:paraId="180AB7DE">
      <w:pPr>
        <w:pStyle w:val="28"/>
        <w:rPr>
          <w:rFonts w:hint="eastAsia" w:ascii="黑体" w:hAnsi="黑体" w:eastAsia="黑体"/>
          <w:b/>
          <w:bCs/>
          <w:color w:val="auto"/>
          <w:sz w:val="28"/>
          <w:szCs w:val="28"/>
        </w:rPr>
      </w:pPr>
    </w:p>
    <w:p w14:paraId="6E3C78E4">
      <w:pPr>
        <w:pStyle w:val="28"/>
        <w:jc w:val="center"/>
        <w:rPr>
          <w:rFonts w:hint="eastAsia" w:ascii="黑体" w:hAnsi="黑体" w:eastAsia="黑体"/>
          <w:b/>
          <w:bCs/>
          <w:color w:val="auto"/>
          <w:sz w:val="28"/>
          <w:szCs w:val="28"/>
        </w:rPr>
      </w:pPr>
      <w:r>
        <w:rPr>
          <w:rFonts w:hint="eastAsia" w:ascii="黑体" w:hAnsi="黑体" w:eastAsia="黑体"/>
          <w:b/>
          <w:bCs/>
          <w:color w:val="auto"/>
          <w:sz w:val="28"/>
          <w:szCs w:val="28"/>
        </w:rPr>
        <w:t>2</w:t>
      </w:r>
      <w:r>
        <w:rPr>
          <w:rFonts w:ascii="黑体" w:hAnsi="黑体" w:eastAsia="黑体"/>
          <w:b/>
          <w:bCs/>
          <w:color w:val="auto"/>
          <w:sz w:val="28"/>
          <w:szCs w:val="28"/>
        </w:rPr>
        <w:t>0</w:t>
      </w:r>
      <w:r>
        <w:rPr>
          <w:rFonts w:hint="eastAsia" w:ascii="黑体" w:hAnsi="黑体" w:eastAsia="黑体"/>
          <w:b/>
          <w:bCs/>
          <w:color w:val="auto"/>
          <w:sz w:val="28"/>
          <w:szCs w:val="28"/>
        </w:rPr>
        <w:t>24年</w:t>
      </w:r>
      <w:r>
        <w:rPr>
          <w:rFonts w:ascii="黑体" w:hAnsi="黑体" w:eastAsia="黑体"/>
          <w:b/>
          <w:bCs/>
          <w:color w:val="auto"/>
          <w:sz w:val="28"/>
          <w:szCs w:val="28"/>
        </w:rPr>
        <w:t xml:space="preserve">    </w:t>
      </w:r>
      <w:r>
        <w:rPr>
          <w:rFonts w:hint="eastAsia" w:ascii="黑体" w:hAnsi="黑体" w:eastAsia="黑体"/>
          <w:b/>
          <w:bCs/>
          <w:color w:val="auto"/>
          <w:sz w:val="28"/>
          <w:szCs w:val="28"/>
        </w:rPr>
        <w:t>广西</w:t>
      </w:r>
    </w:p>
    <w:p w14:paraId="20F6BA57">
      <w:pPr>
        <w:widowControl/>
        <w:jc w:val="left"/>
        <w:rPr>
          <w:rFonts w:hint="eastAsia"/>
          <w:color w:val="auto"/>
        </w:rPr>
      </w:pPr>
      <w:r>
        <w:rPr>
          <w:color w:val="auto"/>
        </w:rPr>
        <w:br w:type="page"/>
      </w:r>
    </w:p>
    <w:p w14:paraId="34576AA8">
      <w:pPr>
        <w:pStyle w:val="28"/>
        <w:jc w:val="center"/>
        <w:rPr>
          <w:rFonts w:hint="eastAsia" w:ascii="黑体" w:hAnsi="黑体" w:eastAsia="黑体"/>
          <w:b/>
          <w:bCs/>
          <w:color w:val="auto"/>
          <w:sz w:val="44"/>
          <w:szCs w:val="44"/>
        </w:rPr>
      </w:pPr>
      <w:r>
        <w:rPr>
          <w:rFonts w:hint="eastAsia" w:ascii="黑体" w:hAnsi="黑体" w:eastAsia="黑体"/>
          <w:b/>
          <w:bCs/>
          <w:color w:val="auto"/>
          <w:sz w:val="44"/>
          <w:szCs w:val="44"/>
        </w:rPr>
        <w:t xml:space="preserve">前 </w:t>
      </w:r>
      <w:r>
        <w:rPr>
          <w:rFonts w:ascii="黑体" w:hAnsi="黑体" w:eastAsia="黑体"/>
          <w:b/>
          <w:bCs/>
          <w:color w:val="auto"/>
          <w:sz w:val="44"/>
          <w:szCs w:val="44"/>
        </w:rPr>
        <w:t xml:space="preserve">    </w:t>
      </w:r>
      <w:r>
        <w:rPr>
          <w:rFonts w:hint="eastAsia" w:ascii="黑体" w:hAnsi="黑体" w:eastAsia="黑体"/>
          <w:b/>
          <w:bCs/>
          <w:color w:val="auto"/>
          <w:sz w:val="44"/>
          <w:szCs w:val="44"/>
        </w:rPr>
        <w:t>言</w:t>
      </w:r>
    </w:p>
    <w:p w14:paraId="18A37AB6">
      <w:pPr>
        <w:pStyle w:val="28"/>
        <w:jc w:val="center"/>
        <w:rPr>
          <w:rFonts w:ascii="Times New Roman" w:hAnsi="Times New Roman"/>
          <w:b/>
          <w:bCs/>
          <w:color w:val="auto"/>
          <w:sz w:val="28"/>
          <w:szCs w:val="28"/>
        </w:rPr>
      </w:pPr>
    </w:p>
    <w:p w14:paraId="52A75D20">
      <w:pPr>
        <w:pStyle w:val="327"/>
        <w:rPr>
          <w:color w:val="auto"/>
        </w:rPr>
      </w:pPr>
      <w:r>
        <w:rPr>
          <w:rFonts w:hint="eastAsia"/>
          <w:color w:val="auto"/>
        </w:rPr>
        <w:t>根据广西壮族自治区住房和城乡建设厅《自治区住房和城乡建设厅关于下达202</w:t>
      </w:r>
      <w:r>
        <w:rPr>
          <w:color w:val="auto"/>
        </w:rPr>
        <w:t>2</w:t>
      </w:r>
      <w:r>
        <w:rPr>
          <w:rFonts w:hint="eastAsia"/>
          <w:color w:val="auto"/>
        </w:rPr>
        <w:t>年度第二批全区工程建设地方标准制（修）订项目计划的通知》（桂建标[</w:t>
      </w:r>
      <w:r>
        <w:rPr>
          <w:color w:val="auto"/>
        </w:rPr>
        <w:t>2022] 4</w:t>
      </w:r>
      <w:r>
        <w:rPr>
          <w:rFonts w:hint="eastAsia"/>
          <w:color w:val="auto"/>
        </w:rPr>
        <w:t>号）的要求，规程编制组经广泛调查研究，</w:t>
      </w:r>
      <w:r>
        <w:rPr>
          <w:color w:val="auto"/>
        </w:rPr>
        <w:t>结合广西区内</w:t>
      </w:r>
      <w:r>
        <w:rPr>
          <w:rFonts w:hint="eastAsia"/>
          <w:color w:val="auto"/>
        </w:rPr>
        <w:t>市政工程建设中城市下穿通道盖板结构的应用</w:t>
      </w:r>
      <w:r>
        <w:rPr>
          <w:color w:val="auto"/>
        </w:rPr>
        <w:t>特点</w:t>
      </w:r>
      <w:r>
        <w:rPr>
          <w:rFonts w:hint="eastAsia"/>
          <w:color w:val="auto"/>
          <w:lang w:bidi="en-US"/>
        </w:rPr>
        <w:t>，认真总结超高性能混凝土</w:t>
      </w:r>
      <w:r>
        <w:rPr>
          <w:color w:val="auto"/>
          <w:lang w:bidi="en-US"/>
        </w:rPr>
        <w:t>-普通混凝土组合式盖板结构</w:t>
      </w:r>
      <w:r>
        <w:rPr>
          <w:rFonts w:hint="eastAsia"/>
          <w:color w:val="auto"/>
          <w:lang w:bidi="en-US"/>
        </w:rPr>
        <w:t>的实践经验，</w:t>
      </w:r>
      <w:r>
        <w:rPr>
          <w:rFonts w:hint="eastAsia"/>
          <w:color w:val="auto"/>
        </w:rPr>
        <w:t>参考国家、行业现行有关标准，并在广泛征求意见的基础上，制订了本</w:t>
      </w:r>
      <w:r>
        <w:rPr>
          <w:color w:val="auto"/>
        </w:rPr>
        <w:t>规程</w:t>
      </w:r>
      <w:r>
        <w:rPr>
          <w:rFonts w:hint="eastAsia"/>
          <w:color w:val="auto"/>
        </w:rPr>
        <w:t>。</w:t>
      </w:r>
    </w:p>
    <w:p w14:paraId="79AC79A0">
      <w:pPr>
        <w:spacing w:line="560" w:lineRule="exact"/>
        <w:ind w:firstLine="565" w:firstLineChars="202"/>
        <w:rPr>
          <w:rFonts w:ascii="Times New Roman" w:hAnsi="Times New Roman" w:eastAsia="宋体" w:cs="Times New Roman"/>
          <w:color w:val="auto"/>
          <w:sz w:val="28"/>
          <w:szCs w:val="28"/>
        </w:rPr>
      </w:pPr>
      <w:bookmarkStart w:id="7" w:name="_Hlk105506251"/>
      <w:r>
        <w:rPr>
          <w:rFonts w:ascii="Times New Roman" w:hAnsi="Times New Roman" w:eastAsia="宋体" w:cs="Times New Roman"/>
          <w:color w:val="auto"/>
          <w:sz w:val="28"/>
          <w:szCs w:val="28"/>
        </w:rPr>
        <w:t>本规程共11章</w:t>
      </w:r>
      <w:bookmarkEnd w:id="7"/>
      <w:r>
        <w:rPr>
          <w:rFonts w:ascii="Times New Roman" w:hAnsi="Times New Roman" w:eastAsia="宋体" w:cs="Times New Roman"/>
          <w:color w:val="auto"/>
          <w:sz w:val="28"/>
          <w:szCs w:val="28"/>
        </w:rPr>
        <w:t>，主要</w:t>
      </w:r>
      <w:r>
        <w:rPr>
          <w:rFonts w:hint="eastAsia" w:ascii="Times New Roman" w:hAnsi="Times New Roman" w:eastAsia="宋体" w:cs="Times New Roman"/>
          <w:color w:val="auto"/>
          <w:sz w:val="28"/>
          <w:szCs w:val="28"/>
        </w:rPr>
        <w:t>技术</w:t>
      </w:r>
      <w:r>
        <w:rPr>
          <w:rFonts w:ascii="Times New Roman" w:hAnsi="Times New Roman" w:eastAsia="宋体" w:cs="Times New Roman"/>
          <w:color w:val="auto"/>
          <w:sz w:val="28"/>
          <w:szCs w:val="28"/>
        </w:rPr>
        <w:t>内容包括：1 总则，2 术语</w:t>
      </w:r>
      <w:r>
        <w:rPr>
          <w:rFonts w:hint="eastAsia" w:ascii="Times New Roman" w:hAnsi="Times New Roman" w:eastAsia="宋体" w:cs="Times New Roman"/>
          <w:color w:val="auto"/>
          <w:sz w:val="28"/>
          <w:szCs w:val="28"/>
          <w:lang w:val="en-US" w:eastAsia="zh-CN"/>
        </w:rPr>
        <w:t>和符号</w:t>
      </w:r>
      <w:r>
        <w:rPr>
          <w:rFonts w:ascii="Times New Roman" w:hAnsi="Times New Roman" w:eastAsia="宋体" w:cs="Times New Roman"/>
          <w:color w:val="auto"/>
          <w:sz w:val="28"/>
          <w:szCs w:val="28"/>
        </w:rPr>
        <w:t>，3 基本规定，4 材料，5</w:t>
      </w:r>
      <w:r>
        <w:rPr>
          <w:rFonts w:ascii="Times New Roman" w:hAnsi="Times New Roman" w:eastAsia="宋体" w:cs="Times New Roman"/>
          <w:color w:val="auto"/>
        </w:rPr>
        <w:t xml:space="preserve"> </w:t>
      </w:r>
      <w:r>
        <w:rPr>
          <w:rFonts w:ascii="Times New Roman" w:hAnsi="Times New Roman" w:eastAsia="宋体" w:cs="Times New Roman"/>
          <w:color w:val="auto"/>
          <w:sz w:val="28"/>
          <w:szCs w:val="28"/>
        </w:rPr>
        <w:t>持久状况承载能力极限状态计算，6 持久状况正常使用极限状态计算，7 持久状况和短暂状况构件的应力计算，</w:t>
      </w:r>
      <w:r>
        <w:rPr>
          <w:rFonts w:hint="eastAsia" w:ascii="Times New Roman" w:hAnsi="Times New Roman" w:eastAsia="宋体" w:cs="Times New Roman"/>
          <w:color w:val="auto"/>
          <w:sz w:val="28"/>
          <w:szCs w:val="28"/>
        </w:rPr>
        <w:t>8</w:t>
      </w:r>
      <w:r>
        <w:rPr>
          <w:rFonts w:ascii="Times New Roman" w:hAnsi="Times New Roman" w:eastAsia="宋体" w:cs="Times New Roman"/>
          <w:color w:val="auto"/>
          <w:sz w:val="28"/>
          <w:szCs w:val="28"/>
        </w:rPr>
        <w:t xml:space="preserve"> 构造要求，</w:t>
      </w:r>
      <w:r>
        <w:rPr>
          <w:rFonts w:hint="eastAsia" w:ascii="Times New Roman" w:hAnsi="Times New Roman" w:eastAsia="宋体" w:cs="Times New Roman"/>
          <w:color w:val="auto"/>
          <w:sz w:val="28"/>
          <w:szCs w:val="28"/>
        </w:rPr>
        <w:t>9</w:t>
      </w:r>
      <w:r>
        <w:rPr>
          <w:rFonts w:ascii="Times New Roman" w:hAnsi="Times New Roman" w:eastAsia="宋体" w:cs="Times New Roman"/>
          <w:color w:val="auto"/>
          <w:sz w:val="28"/>
          <w:szCs w:val="28"/>
        </w:rPr>
        <w:t xml:space="preserve"> 施工，1</w:t>
      </w:r>
      <w:r>
        <w:rPr>
          <w:rFonts w:hint="eastAsia" w:ascii="Times New Roman" w:hAnsi="Times New Roman" w:eastAsia="宋体" w:cs="Times New Roman"/>
          <w:color w:val="auto"/>
          <w:sz w:val="28"/>
          <w:szCs w:val="28"/>
        </w:rPr>
        <w:t>0</w:t>
      </w:r>
      <w:r>
        <w:rPr>
          <w:rFonts w:ascii="Times New Roman" w:hAnsi="Times New Roman" w:eastAsia="宋体" w:cs="Times New Roman"/>
          <w:color w:val="auto"/>
          <w:sz w:val="28"/>
          <w:szCs w:val="28"/>
        </w:rPr>
        <w:t xml:space="preserve"> 检验与评定。</w:t>
      </w:r>
    </w:p>
    <w:p w14:paraId="68C2E9A1">
      <w:pPr>
        <w:spacing w:line="560" w:lineRule="exact"/>
        <w:ind w:firstLine="565" w:firstLineChars="202"/>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本规程由广西壮族自治区住房和城乡建设厅负责管理，由广西大学负责具体技术内容的解释。执行过程中如有意见或建议，请寄送广西大学（地址：广西南宁西乡塘区大学东路100号广西大学土木建筑工程学院，邮编：510004），以</w:t>
      </w:r>
      <w:r>
        <w:rPr>
          <w:rFonts w:hint="eastAsia" w:ascii="Times New Roman" w:hAnsi="Times New Roman" w:eastAsia="宋体" w:cs="Times New Roman"/>
          <w:color w:val="auto"/>
          <w:sz w:val="28"/>
          <w:szCs w:val="28"/>
        </w:rPr>
        <w:t>供</w:t>
      </w:r>
      <w:r>
        <w:rPr>
          <w:rFonts w:ascii="Times New Roman" w:hAnsi="Times New Roman" w:eastAsia="宋体" w:cs="Times New Roman"/>
          <w:color w:val="auto"/>
          <w:sz w:val="28"/>
          <w:szCs w:val="28"/>
        </w:rPr>
        <w:t>修订时参考。</w:t>
      </w:r>
    </w:p>
    <w:p w14:paraId="1889C518">
      <w:pPr>
        <w:pStyle w:val="28"/>
        <w:rPr>
          <w:rFonts w:hint="eastAsia" w:ascii="黑体" w:hAnsi="黑体" w:eastAsia="黑体"/>
          <w:b/>
          <w:bCs/>
          <w:color w:val="auto"/>
          <w:sz w:val="28"/>
          <w:szCs w:val="28"/>
        </w:rPr>
      </w:pPr>
    </w:p>
    <w:p w14:paraId="785AEA01">
      <w:pPr>
        <w:pStyle w:val="28"/>
        <w:rPr>
          <w:rFonts w:hint="eastAsia" w:ascii="黑体" w:hAnsi="黑体" w:eastAsia="黑体"/>
          <w:b/>
          <w:bCs/>
          <w:color w:val="auto"/>
          <w:sz w:val="28"/>
          <w:szCs w:val="28"/>
        </w:rPr>
      </w:pPr>
      <w:r>
        <w:rPr>
          <w:rFonts w:ascii="黑体" w:hAnsi="黑体" w:eastAsia="黑体"/>
          <w:b/>
          <w:bCs/>
          <w:color w:val="auto"/>
          <w:sz w:val="28"/>
          <w:szCs w:val="28"/>
        </w:rPr>
        <w:br w:type="page"/>
      </w:r>
    </w:p>
    <w:p w14:paraId="52D022B8">
      <w:pPr>
        <w:pStyle w:val="28"/>
        <w:spacing w:line="276" w:lineRule="auto"/>
        <w:rPr>
          <w:rFonts w:hint="eastAsia" w:ascii="黑体" w:hAnsi="黑体" w:eastAsia="黑体"/>
          <w:b/>
          <w:bCs/>
          <w:color w:val="auto"/>
          <w:sz w:val="28"/>
          <w:szCs w:val="28"/>
        </w:rPr>
      </w:pPr>
    </w:p>
    <w:p w14:paraId="15D0DE83">
      <w:pPr>
        <w:pStyle w:val="28"/>
        <w:spacing w:line="276" w:lineRule="auto"/>
        <w:rPr>
          <w:rFonts w:ascii="Times New Roman" w:hAnsi="Times New Roman"/>
          <w:color w:val="auto"/>
          <w:sz w:val="28"/>
          <w:szCs w:val="28"/>
        </w:rPr>
      </w:pPr>
      <w:r>
        <w:rPr>
          <w:rFonts w:hint="eastAsia" w:ascii="黑体" w:hAnsi="黑体" w:eastAsia="黑体"/>
          <w:b/>
          <w:bCs/>
          <w:color w:val="auto"/>
          <w:sz w:val="28"/>
          <w:szCs w:val="28"/>
        </w:rPr>
        <w:t>本标准主编单位：</w:t>
      </w:r>
      <w:bookmarkStart w:id="8" w:name="_Hlk97562612"/>
      <w:r>
        <w:rPr>
          <w:rFonts w:hint="eastAsia" w:ascii="Times New Roman" w:hAnsi="Times New Roman"/>
          <w:color w:val="auto"/>
          <w:sz w:val="28"/>
          <w:szCs w:val="28"/>
        </w:rPr>
        <w:t>广西新祥高速公路有限公司</w:t>
      </w:r>
    </w:p>
    <w:p w14:paraId="08F51020">
      <w:pPr>
        <w:pStyle w:val="28"/>
        <w:spacing w:line="276" w:lineRule="auto"/>
        <w:ind w:firstLine="2240" w:firstLineChars="800"/>
        <w:rPr>
          <w:rFonts w:ascii="Times New Roman" w:hAnsi="Times New Roman"/>
          <w:color w:val="auto"/>
          <w:sz w:val="28"/>
          <w:szCs w:val="28"/>
        </w:rPr>
      </w:pPr>
      <w:r>
        <w:rPr>
          <w:rFonts w:hint="eastAsia" w:ascii="Times New Roman" w:hAnsi="Times New Roman"/>
          <w:color w:val="auto"/>
          <w:sz w:val="28"/>
          <w:szCs w:val="28"/>
        </w:rPr>
        <w:t>广西大学</w:t>
      </w:r>
    </w:p>
    <w:p w14:paraId="3C784882">
      <w:pPr>
        <w:pStyle w:val="28"/>
        <w:spacing w:line="276" w:lineRule="auto"/>
        <w:ind w:firstLine="2240" w:firstLineChars="800"/>
        <w:rPr>
          <w:rFonts w:ascii="Times New Roman" w:hAnsi="Times New Roman"/>
          <w:color w:val="auto"/>
          <w:sz w:val="28"/>
          <w:szCs w:val="28"/>
        </w:rPr>
      </w:pPr>
    </w:p>
    <w:bookmarkEnd w:id="8"/>
    <w:p w14:paraId="6D82757F">
      <w:pPr>
        <w:pStyle w:val="28"/>
        <w:spacing w:line="276" w:lineRule="auto"/>
        <w:ind w:firstLine="2240" w:firstLineChars="800"/>
        <w:rPr>
          <w:rFonts w:ascii="Times New Roman" w:hAnsi="Times New Roman"/>
          <w:color w:val="auto"/>
          <w:sz w:val="28"/>
          <w:szCs w:val="28"/>
        </w:rPr>
      </w:pPr>
    </w:p>
    <w:p w14:paraId="40E273E9">
      <w:pPr>
        <w:pStyle w:val="28"/>
        <w:spacing w:line="276" w:lineRule="auto"/>
        <w:rPr>
          <w:rFonts w:ascii="Times New Roman" w:hAnsi="Times New Roman"/>
          <w:color w:val="auto"/>
          <w:sz w:val="28"/>
          <w:szCs w:val="28"/>
        </w:rPr>
      </w:pPr>
      <w:r>
        <w:rPr>
          <w:rFonts w:hint="eastAsia" w:ascii="黑体" w:hAnsi="黑体" w:eastAsia="黑体"/>
          <w:b/>
          <w:bCs/>
          <w:color w:val="auto"/>
          <w:sz w:val="28"/>
          <w:szCs w:val="28"/>
        </w:rPr>
        <w:t>本标准参编单位：</w:t>
      </w:r>
      <w:bookmarkStart w:id="9" w:name="_Hlk141606287"/>
      <w:r>
        <w:rPr>
          <w:rFonts w:hint="eastAsia" w:ascii="Times New Roman" w:hAnsi="Times New Roman"/>
          <w:color w:val="auto"/>
          <w:sz w:val="28"/>
          <w:szCs w:val="28"/>
        </w:rPr>
        <w:t>广西交建工程建设集团有限公司</w:t>
      </w:r>
      <w:bookmarkEnd w:id="9"/>
    </w:p>
    <w:p w14:paraId="4A858557">
      <w:pPr>
        <w:pStyle w:val="28"/>
        <w:spacing w:line="276" w:lineRule="auto"/>
        <w:ind w:firstLine="2240" w:firstLineChars="800"/>
        <w:rPr>
          <w:rFonts w:ascii="Times New Roman" w:hAnsi="Times New Roman"/>
          <w:color w:val="auto"/>
          <w:sz w:val="28"/>
          <w:szCs w:val="28"/>
        </w:rPr>
      </w:pPr>
      <w:r>
        <w:rPr>
          <w:rFonts w:hint="eastAsia" w:ascii="Times New Roman" w:hAnsi="Times New Roman"/>
          <w:color w:val="auto"/>
          <w:sz w:val="28"/>
          <w:szCs w:val="28"/>
        </w:rPr>
        <w:t>中铁一局集团有限公司</w:t>
      </w:r>
    </w:p>
    <w:p w14:paraId="7F593052">
      <w:pPr>
        <w:pStyle w:val="28"/>
        <w:spacing w:line="276" w:lineRule="auto"/>
        <w:ind w:firstLine="2240" w:firstLineChars="800"/>
        <w:rPr>
          <w:rFonts w:ascii="Times New Roman" w:hAnsi="Times New Roman"/>
          <w:color w:val="auto"/>
          <w:sz w:val="28"/>
          <w:szCs w:val="28"/>
        </w:rPr>
      </w:pPr>
      <w:r>
        <w:rPr>
          <w:rFonts w:hint="eastAsia" w:ascii="Times New Roman" w:hAnsi="Times New Roman"/>
          <w:color w:val="auto"/>
          <w:sz w:val="28"/>
          <w:szCs w:val="28"/>
        </w:rPr>
        <w:t>中国一冶集团有限公司</w:t>
      </w:r>
    </w:p>
    <w:p w14:paraId="1B9FB234">
      <w:pPr>
        <w:pStyle w:val="28"/>
        <w:spacing w:line="276" w:lineRule="auto"/>
        <w:ind w:firstLine="2240" w:firstLineChars="800"/>
        <w:rPr>
          <w:rFonts w:ascii="Times New Roman" w:hAnsi="Times New Roman"/>
          <w:color w:val="auto"/>
          <w:sz w:val="28"/>
          <w:szCs w:val="28"/>
        </w:rPr>
      </w:pPr>
      <w:r>
        <w:rPr>
          <w:rFonts w:ascii="Times New Roman" w:hAnsi="Times New Roman"/>
          <w:color w:val="auto"/>
          <w:sz w:val="28"/>
          <w:szCs w:val="28"/>
        </w:rPr>
        <w:t>广西正茂材料科技有限公司</w:t>
      </w:r>
    </w:p>
    <w:p w14:paraId="58842478">
      <w:pPr>
        <w:pStyle w:val="28"/>
        <w:spacing w:line="276" w:lineRule="auto"/>
        <w:rPr>
          <w:rFonts w:ascii="Arial" w:hAnsi="Arial" w:cs="Arial"/>
          <w:color w:val="auto"/>
          <w:sz w:val="20"/>
          <w:szCs w:val="20"/>
          <w:shd w:val="clear" w:color="auto" w:fill="FFFFFF"/>
        </w:rPr>
      </w:pPr>
    </w:p>
    <w:p w14:paraId="6077F68B">
      <w:pPr>
        <w:pStyle w:val="28"/>
        <w:spacing w:line="276" w:lineRule="auto"/>
        <w:rPr>
          <w:rFonts w:ascii="Arial" w:hAnsi="Arial" w:cs="Arial"/>
          <w:color w:val="auto"/>
          <w:sz w:val="20"/>
          <w:szCs w:val="20"/>
          <w:shd w:val="clear" w:color="auto" w:fill="FFFFFF"/>
        </w:rPr>
      </w:pPr>
    </w:p>
    <w:p w14:paraId="753A225C">
      <w:pPr>
        <w:pStyle w:val="28"/>
        <w:spacing w:line="276" w:lineRule="auto"/>
        <w:jc w:val="both"/>
        <w:rPr>
          <w:rFonts w:ascii="Times New Roman" w:hAnsi="Times New Roman"/>
          <w:color w:val="auto"/>
          <w:sz w:val="28"/>
          <w:szCs w:val="28"/>
        </w:rPr>
      </w:pPr>
      <w:r>
        <w:rPr>
          <w:rFonts w:hint="eastAsia" w:ascii="黑体" w:hAnsi="黑体" w:eastAsia="黑体"/>
          <w:b/>
          <w:bCs/>
          <w:color w:val="auto"/>
          <w:sz w:val="28"/>
          <w:szCs w:val="28"/>
        </w:rPr>
        <w:t>本标准主要起草人员：</w:t>
      </w:r>
    </w:p>
    <w:p w14:paraId="52452AE4">
      <w:pPr>
        <w:pStyle w:val="28"/>
        <w:spacing w:line="276" w:lineRule="auto"/>
        <w:jc w:val="both"/>
        <w:rPr>
          <w:rFonts w:hint="eastAsia" w:ascii="黑体" w:hAnsi="黑体" w:eastAsia="黑体"/>
          <w:b/>
          <w:bCs/>
          <w:color w:val="auto"/>
          <w:sz w:val="28"/>
          <w:szCs w:val="28"/>
        </w:rPr>
      </w:pPr>
    </w:p>
    <w:p w14:paraId="428B5641">
      <w:pPr>
        <w:pStyle w:val="28"/>
        <w:spacing w:line="276" w:lineRule="auto"/>
        <w:jc w:val="both"/>
        <w:rPr>
          <w:rFonts w:hint="eastAsia" w:ascii="黑体" w:hAnsi="黑体" w:eastAsia="黑体"/>
          <w:b/>
          <w:bCs/>
          <w:color w:val="auto"/>
          <w:sz w:val="28"/>
          <w:szCs w:val="28"/>
        </w:rPr>
      </w:pPr>
    </w:p>
    <w:p w14:paraId="7678C4E4">
      <w:pPr>
        <w:pStyle w:val="28"/>
        <w:spacing w:line="276" w:lineRule="auto"/>
        <w:jc w:val="both"/>
        <w:rPr>
          <w:rFonts w:hint="eastAsia" w:ascii="黑体" w:hAnsi="黑体" w:eastAsia="黑体"/>
          <w:b/>
          <w:bCs/>
          <w:color w:val="auto"/>
          <w:sz w:val="28"/>
          <w:szCs w:val="28"/>
        </w:rPr>
      </w:pPr>
    </w:p>
    <w:p w14:paraId="12265166">
      <w:pPr>
        <w:pStyle w:val="28"/>
        <w:spacing w:line="276" w:lineRule="auto"/>
        <w:rPr>
          <w:rFonts w:ascii="Times New Roman" w:hAnsi="Times New Roman"/>
          <w:color w:val="auto"/>
          <w:sz w:val="28"/>
          <w:szCs w:val="28"/>
        </w:rPr>
      </w:pPr>
    </w:p>
    <w:p w14:paraId="630D5F30">
      <w:pPr>
        <w:pStyle w:val="28"/>
        <w:spacing w:line="276" w:lineRule="auto"/>
        <w:jc w:val="both"/>
        <w:rPr>
          <w:rFonts w:ascii="Times New Roman" w:hAnsi="Times New Roman"/>
          <w:color w:val="auto"/>
          <w:sz w:val="28"/>
          <w:szCs w:val="28"/>
        </w:rPr>
      </w:pPr>
      <w:r>
        <w:rPr>
          <w:rFonts w:hint="eastAsia" w:ascii="黑体" w:hAnsi="黑体" w:eastAsia="黑体"/>
          <w:b/>
          <w:bCs/>
          <w:color w:val="auto"/>
          <w:sz w:val="28"/>
          <w:szCs w:val="28"/>
        </w:rPr>
        <w:t>本标准主要审查人员：</w:t>
      </w:r>
    </w:p>
    <w:p w14:paraId="1309A9EE">
      <w:pPr>
        <w:pStyle w:val="28"/>
        <w:spacing w:line="276" w:lineRule="auto"/>
        <w:jc w:val="both"/>
        <w:rPr>
          <w:rFonts w:ascii="Times New Roman" w:hAnsi="Times New Roman"/>
          <w:color w:val="auto"/>
          <w:sz w:val="28"/>
          <w:szCs w:val="28"/>
        </w:rPr>
      </w:pPr>
    </w:p>
    <w:p w14:paraId="74C8BBBE">
      <w:pPr>
        <w:pStyle w:val="28"/>
        <w:spacing w:line="276" w:lineRule="auto"/>
        <w:jc w:val="both"/>
        <w:rPr>
          <w:rFonts w:ascii="Times New Roman" w:hAnsi="Times New Roman"/>
          <w:color w:val="auto"/>
          <w:sz w:val="28"/>
          <w:szCs w:val="28"/>
        </w:rPr>
        <w:sectPr>
          <w:footerReference r:id="rId3" w:type="default"/>
          <w:pgSz w:w="11905" w:h="16840"/>
          <w:pgMar w:top="1340" w:right="1380" w:bottom="1060" w:left="1580" w:header="567" w:footer="624" w:gutter="0"/>
          <w:pgNumType w:fmt="lowerRoman" w:start="1"/>
          <w:cols w:space="720" w:num="1"/>
        </w:sectPr>
      </w:pPr>
    </w:p>
    <w:p w14:paraId="53D74F46">
      <w:pPr>
        <w:pStyle w:val="32"/>
        <w:jc w:val="center"/>
        <w:rPr>
          <w:b/>
          <w:bCs/>
          <w:color w:val="auto"/>
          <w:sz w:val="28"/>
        </w:rPr>
      </w:pPr>
      <w:bookmarkStart w:id="10" w:name="_Toc94337374"/>
      <w:bookmarkStart w:id="11" w:name="_Toc32008"/>
      <w:bookmarkStart w:id="12" w:name="_Toc5160"/>
      <w:bookmarkStart w:id="13" w:name="_Toc7930"/>
      <w:bookmarkStart w:id="14" w:name="_Toc29853"/>
      <w:bookmarkStart w:id="15" w:name="_Toc18889"/>
      <w:bookmarkStart w:id="16" w:name="_Hlk82973490"/>
      <w:r>
        <w:rPr>
          <w:rFonts w:hint="eastAsia"/>
          <w:b/>
          <w:bCs/>
          <w:color w:val="auto"/>
          <w:sz w:val="28"/>
        </w:rPr>
        <w:t>目  次</w:t>
      </w:r>
    </w:p>
    <w:p w14:paraId="6B272D2E">
      <w:pPr>
        <w:pStyle w:val="32"/>
        <w:tabs>
          <w:tab w:val="right" w:leader="dot" w:pos="8306"/>
        </w:tabs>
        <w:rPr>
          <w:color w:val="auto"/>
        </w:rPr>
      </w:pPr>
      <w:r>
        <w:rPr>
          <w:rFonts w:ascii="Times New Roman" w:hAnsi="Times New Roman"/>
          <w:color w:val="auto"/>
        </w:rPr>
        <w:fldChar w:fldCharType="begin"/>
      </w:r>
      <w:r>
        <w:rPr>
          <w:rFonts w:ascii="Times New Roman" w:hAnsi="Times New Roman"/>
          <w:color w:val="auto"/>
        </w:rPr>
        <w:instrText xml:space="preserve">TOC \o "1-2" \h \u </w:instrText>
      </w:r>
      <w:r>
        <w:rPr>
          <w:rFonts w:ascii="Times New Roman" w:hAnsi="Times New Roman"/>
          <w:color w:val="auto"/>
        </w:rPr>
        <w:fldChar w:fldCharType="separate"/>
      </w:r>
      <w:r>
        <w:rPr>
          <w:rFonts w:ascii="Times New Roman" w:hAnsi="Times New Roman"/>
          <w:color w:val="auto"/>
        </w:rPr>
        <w:fldChar w:fldCharType="begin"/>
      </w:r>
      <w:r>
        <w:rPr>
          <w:rFonts w:ascii="Times New Roman" w:hAnsi="Times New Roman"/>
          <w:color w:val="auto"/>
        </w:rPr>
        <w:instrText xml:space="preserve"> HYPERLINK \l _Toc5566 </w:instrText>
      </w:r>
      <w:r>
        <w:rPr>
          <w:rFonts w:ascii="Times New Roman" w:hAnsi="Times New Roman"/>
          <w:color w:val="auto"/>
        </w:rPr>
        <w:fldChar w:fldCharType="separate"/>
      </w:r>
      <w:r>
        <w:rPr>
          <w:rFonts w:ascii="Times New Roman" w:hAnsi="Times New Roman"/>
          <w:color w:val="auto"/>
        </w:rPr>
        <w:t>1</w:t>
      </w:r>
      <w:r>
        <w:rPr>
          <w:rFonts w:hint="eastAsia"/>
          <w:color w:val="auto"/>
        </w:rPr>
        <w:t xml:space="preserve">  总则</w:t>
      </w:r>
      <w:r>
        <w:rPr>
          <w:color w:val="auto"/>
        </w:rPr>
        <w:tab/>
      </w:r>
      <w:r>
        <w:rPr>
          <w:color w:val="auto"/>
        </w:rPr>
        <w:fldChar w:fldCharType="begin"/>
      </w:r>
      <w:r>
        <w:rPr>
          <w:color w:val="auto"/>
        </w:rPr>
        <w:instrText xml:space="preserve"> PAGEREF _Toc5566 \h </w:instrText>
      </w:r>
      <w:r>
        <w:rPr>
          <w:color w:val="auto"/>
        </w:rPr>
        <w:fldChar w:fldCharType="separate"/>
      </w:r>
      <w:r>
        <w:rPr>
          <w:color w:val="auto"/>
        </w:rPr>
        <w:t>1</w:t>
      </w:r>
      <w:r>
        <w:rPr>
          <w:color w:val="auto"/>
        </w:rPr>
        <w:fldChar w:fldCharType="end"/>
      </w:r>
      <w:r>
        <w:rPr>
          <w:rFonts w:ascii="Times New Roman" w:hAnsi="Times New Roman"/>
          <w:color w:val="auto"/>
        </w:rPr>
        <w:fldChar w:fldCharType="end"/>
      </w:r>
    </w:p>
    <w:p w14:paraId="7714A377">
      <w:pPr>
        <w:pStyle w:val="32"/>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_Toc5104 </w:instrText>
      </w:r>
      <w:r>
        <w:rPr>
          <w:rFonts w:ascii="Times New Roman" w:hAnsi="Times New Roman" w:cs="Times New Roman"/>
          <w:color w:val="auto"/>
        </w:rPr>
        <w:fldChar w:fldCharType="separate"/>
      </w:r>
      <w:r>
        <w:rPr>
          <w:rFonts w:ascii="Times New Roman" w:hAnsi="Times New Roman"/>
          <w:color w:val="auto"/>
        </w:rPr>
        <w:t>2</w:t>
      </w:r>
      <w:r>
        <w:rPr>
          <w:rFonts w:hint="eastAsia"/>
          <w:color w:val="auto"/>
        </w:rPr>
        <w:t xml:space="preserve">  术语和符号</w:t>
      </w:r>
      <w:r>
        <w:rPr>
          <w:color w:val="auto"/>
        </w:rPr>
        <w:tab/>
      </w:r>
      <w:r>
        <w:rPr>
          <w:color w:val="auto"/>
        </w:rPr>
        <w:fldChar w:fldCharType="begin"/>
      </w:r>
      <w:r>
        <w:rPr>
          <w:color w:val="auto"/>
        </w:rPr>
        <w:instrText xml:space="preserve"> PAGEREF _Toc5104 \h </w:instrText>
      </w:r>
      <w:r>
        <w:rPr>
          <w:color w:val="auto"/>
        </w:rPr>
        <w:fldChar w:fldCharType="separate"/>
      </w:r>
      <w:r>
        <w:rPr>
          <w:color w:val="auto"/>
        </w:rPr>
        <w:t>2</w:t>
      </w:r>
      <w:r>
        <w:rPr>
          <w:color w:val="auto"/>
        </w:rPr>
        <w:fldChar w:fldCharType="end"/>
      </w:r>
      <w:r>
        <w:rPr>
          <w:rFonts w:ascii="Times New Roman" w:hAnsi="Times New Roman" w:cs="Times New Roman"/>
          <w:color w:val="auto"/>
        </w:rPr>
        <w:fldChar w:fldCharType="end"/>
      </w:r>
    </w:p>
    <w:p w14:paraId="034E9034">
      <w:pPr>
        <w:pStyle w:val="32"/>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_Toc10910 </w:instrText>
      </w:r>
      <w:r>
        <w:rPr>
          <w:rFonts w:ascii="Times New Roman" w:hAnsi="Times New Roman" w:cs="Times New Roman"/>
          <w:color w:val="auto"/>
        </w:rPr>
        <w:fldChar w:fldCharType="separate"/>
      </w:r>
      <w:r>
        <w:rPr>
          <w:rFonts w:ascii="Times New Roman" w:hAnsi="Times New Roman"/>
          <w:color w:val="auto"/>
        </w:rPr>
        <w:t>3</w:t>
      </w:r>
      <w:r>
        <w:rPr>
          <w:rFonts w:hint="eastAsia"/>
          <w:color w:val="auto"/>
        </w:rPr>
        <w:t xml:space="preserve">  基本规定</w:t>
      </w:r>
      <w:r>
        <w:rPr>
          <w:color w:val="auto"/>
        </w:rPr>
        <w:tab/>
      </w:r>
      <w:r>
        <w:rPr>
          <w:color w:val="auto"/>
        </w:rPr>
        <w:fldChar w:fldCharType="begin"/>
      </w:r>
      <w:r>
        <w:rPr>
          <w:color w:val="auto"/>
        </w:rPr>
        <w:instrText xml:space="preserve"> PAGEREF _Toc10910 \h </w:instrText>
      </w:r>
      <w:r>
        <w:rPr>
          <w:color w:val="auto"/>
        </w:rPr>
        <w:fldChar w:fldCharType="separate"/>
      </w:r>
      <w:r>
        <w:rPr>
          <w:color w:val="auto"/>
        </w:rPr>
        <w:t>7</w:t>
      </w:r>
      <w:r>
        <w:rPr>
          <w:color w:val="auto"/>
        </w:rPr>
        <w:fldChar w:fldCharType="end"/>
      </w:r>
      <w:r>
        <w:rPr>
          <w:rFonts w:ascii="Times New Roman" w:hAnsi="Times New Roman" w:cs="Times New Roman"/>
          <w:color w:val="auto"/>
        </w:rPr>
        <w:fldChar w:fldCharType="end"/>
      </w:r>
    </w:p>
    <w:p w14:paraId="1F82CF7B">
      <w:pPr>
        <w:pStyle w:val="32"/>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_Toc375 </w:instrText>
      </w:r>
      <w:r>
        <w:rPr>
          <w:rFonts w:ascii="Times New Roman" w:hAnsi="Times New Roman" w:cs="Times New Roman"/>
          <w:color w:val="auto"/>
        </w:rPr>
        <w:fldChar w:fldCharType="separate"/>
      </w:r>
      <w:r>
        <w:rPr>
          <w:rFonts w:ascii="Times New Roman" w:hAnsi="Times New Roman"/>
          <w:color w:val="auto"/>
        </w:rPr>
        <w:t>4  材料</w:t>
      </w:r>
      <w:r>
        <w:rPr>
          <w:color w:val="auto"/>
        </w:rPr>
        <w:tab/>
      </w:r>
      <w:r>
        <w:rPr>
          <w:color w:val="auto"/>
        </w:rPr>
        <w:fldChar w:fldCharType="begin"/>
      </w:r>
      <w:r>
        <w:rPr>
          <w:color w:val="auto"/>
        </w:rPr>
        <w:instrText xml:space="preserve"> PAGEREF _Toc375 \h </w:instrText>
      </w:r>
      <w:r>
        <w:rPr>
          <w:color w:val="auto"/>
        </w:rPr>
        <w:fldChar w:fldCharType="separate"/>
      </w:r>
      <w:r>
        <w:rPr>
          <w:color w:val="auto"/>
        </w:rPr>
        <w:t>8</w:t>
      </w:r>
      <w:r>
        <w:rPr>
          <w:color w:val="auto"/>
        </w:rPr>
        <w:fldChar w:fldCharType="end"/>
      </w:r>
      <w:r>
        <w:rPr>
          <w:rFonts w:ascii="Times New Roman" w:hAnsi="Times New Roman" w:cs="Times New Roman"/>
          <w:color w:val="auto"/>
        </w:rPr>
        <w:fldChar w:fldCharType="end"/>
      </w:r>
    </w:p>
    <w:p w14:paraId="365F9082">
      <w:pPr>
        <w:pStyle w:val="36"/>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_Toc48 </w:instrText>
      </w:r>
      <w:r>
        <w:rPr>
          <w:rFonts w:ascii="Times New Roman" w:hAnsi="Times New Roman" w:cs="Times New Roman"/>
          <w:color w:val="auto"/>
        </w:rPr>
        <w:fldChar w:fldCharType="separate"/>
      </w:r>
      <w:r>
        <w:rPr>
          <w:color w:val="auto"/>
        </w:rPr>
        <w:t xml:space="preserve">4.1  </w:t>
      </w:r>
      <w:r>
        <w:rPr>
          <w:rFonts w:hint="eastAsia"/>
          <w:color w:val="auto"/>
        </w:rPr>
        <w:t>超高性能混凝土</w:t>
      </w:r>
      <w:r>
        <w:rPr>
          <w:color w:val="auto"/>
        </w:rPr>
        <w:tab/>
      </w:r>
      <w:r>
        <w:rPr>
          <w:color w:val="auto"/>
        </w:rPr>
        <w:fldChar w:fldCharType="begin"/>
      </w:r>
      <w:r>
        <w:rPr>
          <w:color w:val="auto"/>
        </w:rPr>
        <w:instrText xml:space="preserve"> PAGEREF _Toc48 \h </w:instrText>
      </w:r>
      <w:r>
        <w:rPr>
          <w:color w:val="auto"/>
        </w:rPr>
        <w:fldChar w:fldCharType="separate"/>
      </w:r>
      <w:r>
        <w:rPr>
          <w:color w:val="auto"/>
        </w:rPr>
        <w:t>8</w:t>
      </w:r>
      <w:r>
        <w:rPr>
          <w:color w:val="auto"/>
        </w:rPr>
        <w:fldChar w:fldCharType="end"/>
      </w:r>
      <w:r>
        <w:rPr>
          <w:rFonts w:ascii="Times New Roman" w:hAnsi="Times New Roman" w:cs="Times New Roman"/>
          <w:color w:val="auto"/>
        </w:rPr>
        <w:fldChar w:fldCharType="end"/>
      </w:r>
    </w:p>
    <w:p w14:paraId="25DD5E1F">
      <w:pPr>
        <w:pStyle w:val="36"/>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_Toc15977 </w:instrText>
      </w:r>
      <w:r>
        <w:rPr>
          <w:rFonts w:ascii="Times New Roman" w:hAnsi="Times New Roman" w:cs="Times New Roman"/>
          <w:color w:val="auto"/>
        </w:rPr>
        <w:fldChar w:fldCharType="separate"/>
      </w:r>
      <w:r>
        <w:rPr>
          <w:rFonts w:hint="eastAsia"/>
          <w:color w:val="auto"/>
        </w:rPr>
        <w:t>4</w:t>
      </w:r>
      <w:r>
        <w:rPr>
          <w:color w:val="auto"/>
        </w:rPr>
        <w:t xml:space="preserve">.2  </w:t>
      </w:r>
      <w:r>
        <w:rPr>
          <w:rFonts w:hint="eastAsia"/>
          <w:color w:val="auto"/>
        </w:rPr>
        <w:t>其他材料</w:t>
      </w:r>
      <w:r>
        <w:rPr>
          <w:color w:val="auto"/>
        </w:rPr>
        <w:tab/>
      </w:r>
      <w:r>
        <w:rPr>
          <w:color w:val="auto"/>
        </w:rPr>
        <w:fldChar w:fldCharType="begin"/>
      </w:r>
      <w:r>
        <w:rPr>
          <w:color w:val="auto"/>
        </w:rPr>
        <w:instrText xml:space="preserve"> PAGEREF _Toc15977 \h </w:instrText>
      </w:r>
      <w:r>
        <w:rPr>
          <w:color w:val="auto"/>
        </w:rPr>
        <w:fldChar w:fldCharType="separate"/>
      </w:r>
      <w:r>
        <w:rPr>
          <w:color w:val="auto"/>
        </w:rPr>
        <w:t>9</w:t>
      </w:r>
      <w:r>
        <w:rPr>
          <w:color w:val="auto"/>
        </w:rPr>
        <w:fldChar w:fldCharType="end"/>
      </w:r>
      <w:r>
        <w:rPr>
          <w:rFonts w:ascii="Times New Roman" w:hAnsi="Times New Roman" w:cs="Times New Roman"/>
          <w:color w:val="auto"/>
        </w:rPr>
        <w:fldChar w:fldCharType="end"/>
      </w:r>
    </w:p>
    <w:p w14:paraId="32E07FF7">
      <w:pPr>
        <w:pStyle w:val="32"/>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_Toc18429 </w:instrText>
      </w:r>
      <w:r>
        <w:rPr>
          <w:rFonts w:ascii="Times New Roman" w:hAnsi="Times New Roman" w:cs="Times New Roman"/>
          <w:color w:val="auto"/>
        </w:rPr>
        <w:fldChar w:fldCharType="separate"/>
      </w:r>
      <w:r>
        <w:rPr>
          <w:rFonts w:hint="eastAsia"/>
          <w:color w:val="auto"/>
        </w:rPr>
        <w:t>5  持久状况承载能力极限状态计算</w:t>
      </w:r>
      <w:r>
        <w:rPr>
          <w:color w:val="auto"/>
        </w:rPr>
        <w:tab/>
      </w:r>
      <w:r>
        <w:rPr>
          <w:color w:val="auto"/>
        </w:rPr>
        <w:fldChar w:fldCharType="begin"/>
      </w:r>
      <w:r>
        <w:rPr>
          <w:color w:val="auto"/>
        </w:rPr>
        <w:instrText xml:space="preserve"> PAGEREF _Toc18429 \h </w:instrText>
      </w:r>
      <w:r>
        <w:rPr>
          <w:color w:val="auto"/>
        </w:rPr>
        <w:fldChar w:fldCharType="separate"/>
      </w:r>
      <w:r>
        <w:rPr>
          <w:color w:val="auto"/>
        </w:rPr>
        <w:t>10</w:t>
      </w:r>
      <w:r>
        <w:rPr>
          <w:color w:val="auto"/>
        </w:rPr>
        <w:fldChar w:fldCharType="end"/>
      </w:r>
      <w:r>
        <w:rPr>
          <w:rFonts w:ascii="Times New Roman" w:hAnsi="Times New Roman" w:cs="Times New Roman"/>
          <w:color w:val="auto"/>
        </w:rPr>
        <w:fldChar w:fldCharType="end"/>
      </w:r>
    </w:p>
    <w:p w14:paraId="4A586D18">
      <w:pPr>
        <w:pStyle w:val="36"/>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_Toc17465 </w:instrText>
      </w:r>
      <w:r>
        <w:rPr>
          <w:rFonts w:ascii="Times New Roman" w:hAnsi="Times New Roman" w:cs="Times New Roman"/>
          <w:color w:val="auto"/>
        </w:rPr>
        <w:fldChar w:fldCharType="separate"/>
      </w:r>
      <w:r>
        <w:rPr>
          <w:rFonts w:hint="eastAsia"/>
          <w:color w:val="auto"/>
        </w:rPr>
        <w:t>5.1  一般规定</w:t>
      </w:r>
      <w:r>
        <w:rPr>
          <w:color w:val="auto"/>
        </w:rPr>
        <w:tab/>
      </w:r>
      <w:r>
        <w:rPr>
          <w:color w:val="auto"/>
        </w:rPr>
        <w:fldChar w:fldCharType="begin"/>
      </w:r>
      <w:r>
        <w:rPr>
          <w:color w:val="auto"/>
        </w:rPr>
        <w:instrText xml:space="preserve"> PAGEREF _Toc17465 \h </w:instrText>
      </w:r>
      <w:r>
        <w:rPr>
          <w:color w:val="auto"/>
        </w:rPr>
        <w:fldChar w:fldCharType="separate"/>
      </w:r>
      <w:r>
        <w:rPr>
          <w:color w:val="auto"/>
        </w:rPr>
        <w:t>10</w:t>
      </w:r>
      <w:r>
        <w:rPr>
          <w:color w:val="auto"/>
        </w:rPr>
        <w:fldChar w:fldCharType="end"/>
      </w:r>
      <w:r>
        <w:rPr>
          <w:rFonts w:ascii="Times New Roman" w:hAnsi="Times New Roman" w:cs="Times New Roman"/>
          <w:color w:val="auto"/>
        </w:rPr>
        <w:fldChar w:fldCharType="end"/>
      </w:r>
    </w:p>
    <w:p w14:paraId="538389CD">
      <w:pPr>
        <w:pStyle w:val="36"/>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_Toc5007 </w:instrText>
      </w:r>
      <w:r>
        <w:rPr>
          <w:rFonts w:ascii="Times New Roman" w:hAnsi="Times New Roman" w:cs="Times New Roman"/>
          <w:color w:val="auto"/>
        </w:rPr>
        <w:fldChar w:fldCharType="separate"/>
      </w:r>
      <w:r>
        <w:rPr>
          <w:rFonts w:hint="eastAsia"/>
          <w:color w:val="auto"/>
        </w:rPr>
        <w:t>5.2  梁板正截面抗弯承载力计算</w:t>
      </w:r>
      <w:r>
        <w:rPr>
          <w:color w:val="auto"/>
        </w:rPr>
        <w:tab/>
      </w:r>
      <w:r>
        <w:rPr>
          <w:color w:val="auto"/>
        </w:rPr>
        <w:fldChar w:fldCharType="begin"/>
      </w:r>
      <w:r>
        <w:rPr>
          <w:color w:val="auto"/>
        </w:rPr>
        <w:instrText xml:space="preserve"> PAGEREF _Toc5007 \h </w:instrText>
      </w:r>
      <w:r>
        <w:rPr>
          <w:color w:val="auto"/>
        </w:rPr>
        <w:fldChar w:fldCharType="separate"/>
      </w:r>
      <w:r>
        <w:rPr>
          <w:color w:val="auto"/>
        </w:rPr>
        <w:t>10</w:t>
      </w:r>
      <w:r>
        <w:rPr>
          <w:color w:val="auto"/>
        </w:rPr>
        <w:fldChar w:fldCharType="end"/>
      </w:r>
      <w:r>
        <w:rPr>
          <w:rFonts w:ascii="Times New Roman" w:hAnsi="Times New Roman" w:cs="Times New Roman"/>
          <w:color w:val="auto"/>
        </w:rPr>
        <w:fldChar w:fldCharType="end"/>
      </w:r>
    </w:p>
    <w:p w14:paraId="33C89587">
      <w:pPr>
        <w:pStyle w:val="36"/>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_Toc27805 </w:instrText>
      </w:r>
      <w:r>
        <w:rPr>
          <w:rFonts w:ascii="Times New Roman" w:hAnsi="Times New Roman" w:cs="Times New Roman"/>
          <w:color w:val="auto"/>
        </w:rPr>
        <w:fldChar w:fldCharType="separate"/>
      </w:r>
      <w:r>
        <w:rPr>
          <w:rFonts w:hint="eastAsia"/>
          <w:color w:val="auto"/>
        </w:rPr>
        <w:t>5.3  主梁斜截面抗剪承载力计算</w:t>
      </w:r>
      <w:r>
        <w:rPr>
          <w:color w:val="auto"/>
        </w:rPr>
        <w:tab/>
      </w:r>
      <w:r>
        <w:rPr>
          <w:color w:val="auto"/>
        </w:rPr>
        <w:fldChar w:fldCharType="begin"/>
      </w:r>
      <w:r>
        <w:rPr>
          <w:color w:val="auto"/>
        </w:rPr>
        <w:instrText xml:space="preserve"> PAGEREF _Toc27805 \h </w:instrText>
      </w:r>
      <w:r>
        <w:rPr>
          <w:color w:val="auto"/>
        </w:rPr>
        <w:fldChar w:fldCharType="separate"/>
      </w:r>
      <w:r>
        <w:rPr>
          <w:color w:val="auto"/>
        </w:rPr>
        <w:t>12</w:t>
      </w:r>
      <w:r>
        <w:rPr>
          <w:color w:val="auto"/>
        </w:rPr>
        <w:fldChar w:fldCharType="end"/>
      </w:r>
      <w:r>
        <w:rPr>
          <w:rFonts w:ascii="Times New Roman" w:hAnsi="Times New Roman" w:cs="Times New Roman"/>
          <w:color w:val="auto"/>
        </w:rPr>
        <w:fldChar w:fldCharType="end"/>
      </w:r>
    </w:p>
    <w:p w14:paraId="6297C7B0">
      <w:pPr>
        <w:pStyle w:val="36"/>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_Toc4788 </w:instrText>
      </w:r>
      <w:r>
        <w:rPr>
          <w:rFonts w:ascii="Times New Roman" w:hAnsi="Times New Roman" w:cs="Times New Roman"/>
          <w:color w:val="auto"/>
        </w:rPr>
        <w:fldChar w:fldCharType="separate"/>
      </w:r>
      <w:r>
        <w:rPr>
          <w:color w:val="auto"/>
        </w:rPr>
        <w:t>5</w:t>
      </w:r>
      <w:r>
        <w:rPr>
          <w:rFonts w:hint="eastAsia"/>
          <w:color w:val="auto"/>
        </w:rPr>
        <w:t xml:space="preserve">.4 </w:t>
      </w:r>
      <w:r>
        <w:rPr>
          <w:color w:val="auto"/>
        </w:rPr>
        <w:t xml:space="preserve"> </w:t>
      </w:r>
      <w:r>
        <w:rPr>
          <w:rFonts w:hint="eastAsia"/>
          <w:color w:val="auto"/>
        </w:rPr>
        <w:t>界面抗剪钢筋承载力计算</w:t>
      </w:r>
      <w:r>
        <w:rPr>
          <w:color w:val="auto"/>
        </w:rPr>
        <w:tab/>
      </w:r>
      <w:r>
        <w:rPr>
          <w:color w:val="auto"/>
        </w:rPr>
        <w:fldChar w:fldCharType="begin"/>
      </w:r>
      <w:r>
        <w:rPr>
          <w:color w:val="auto"/>
        </w:rPr>
        <w:instrText xml:space="preserve"> PAGEREF _Toc4788 \h </w:instrText>
      </w:r>
      <w:r>
        <w:rPr>
          <w:color w:val="auto"/>
        </w:rPr>
        <w:fldChar w:fldCharType="separate"/>
      </w:r>
      <w:r>
        <w:rPr>
          <w:color w:val="auto"/>
        </w:rPr>
        <w:t>14</w:t>
      </w:r>
      <w:r>
        <w:rPr>
          <w:color w:val="auto"/>
        </w:rPr>
        <w:fldChar w:fldCharType="end"/>
      </w:r>
      <w:r>
        <w:rPr>
          <w:rFonts w:ascii="Times New Roman" w:hAnsi="Times New Roman" w:cs="Times New Roman"/>
          <w:color w:val="auto"/>
        </w:rPr>
        <w:fldChar w:fldCharType="end"/>
      </w:r>
    </w:p>
    <w:p w14:paraId="41CC91EC">
      <w:pPr>
        <w:pStyle w:val="36"/>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_Toc14677 </w:instrText>
      </w:r>
      <w:r>
        <w:rPr>
          <w:rFonts w:ascii="Times New Roman" w:hAnsi="Times New Roman" w:cs="Times New Roman"/>
          <w:color w:val="auto"/>
        </w:rPr>
        <w:fldChar w:fldCharType="separate"/>
      </w:r>
      <w:r>
        <w:rPr>
          <w:color w:val="auto"/>
        </w:rPr>
        <w:t>5</w:t>
      </w:r>
      <w:r>
        <w:rPr>
          <w:rFonts w:hint="eastAsia"/>
          <w:color w:val="auto"/>
        </w:rPr>
        <w:t>.5  界面抗剪钢筋数量计算</w:t>
      </w:r>
      <w:r>
        <w:rPr>
          <w:color w:val="auto"/>
        </w:rPr>
        <w:tab/>
      </w:r>
      <w:r>
        <w:rPr>
          <w:color w:val="auto"/>
        </w:rPr>
        <w:fldChar w:fldCharType="begin"/>
      </w:r>
      <w:r>
        <w:rPr>
          <w:color w:val="auto"/>
        </w:rPr>
        <w:instrText xml:space="preserve"> PAGEREF _Toc14677 \h </w:instrText>
      </w:r>
      <w:r>
        <w:rPr>
          <w:color w:val="auto"/>
        </w:rPr>
        <w:fldChar w:fldCharType="separate"/>
      </w:r>
      <w:r>
        <w:rPr>
          <w:color w:val="auto"/>
        </w:rPr>
        <w:t>14</w:t>
      </w:r>
      <w:r>
        <w:rPr>
          <w:color w:val="auto"/>
        </w:rPr>
        <w:fldChar w:fldCharType="end"/>
      </w:r>
      <w:r>
        <w:rPr>
          <w:rFonts w:ascii="Times New Roman" w:hAnsi="Times New Roman" w:cs="Times New Roman"/>
          <w:color w:val="auto"/>
        </w:rPr>
        <w:fldChar w:fldCharType="end"/>
      </w:r>
    </w:p>
    <w:p w14:paraId="1BCCD84B">
      <w:pPr>
        <w:pStyle w:val="32"/>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_Toc13491 </w:instrText>
      </w:r>
      <w:r>
        <w:rPr>
          <w:rFonts w:ascii="Times New Roman" w:hAnsi="Times New Roman" w:cs="Times New Roman"/>
          <w:color w:val="auto"/>
        </w:rPr>
        <w:fldChar w:fldCharType="separate"/>
      </w:r>
      <w:r>
        <w:rPr>
          <w:rFonts w:hint="eastAsia"/>
          <w:color w:val="auto"/>
        </w:rPr>
        <w:t>6  持久状况正常使用极限状态计算</w:t>
      </w:r>
      <w:r>
        <w:rPr>
          <w:color w:val="auto"/>
        </w:rPr>
        <w:tab/>
      </w:r>
      <w:r>
        <w:rPr>
          <w:color w:val="auto"/>
        </w:rPr>
        <w:fldChar w:fldCharType="begin"/>
      </w:r>
      <w:r>
        <w:rPr>
          <w:color w:val="auto"/>
        </w:rPr>
        <w:instrText xml:space="preserve"> PAGEREF _Toc13491 \h </w:instrText>
      </w:r>
      <w:r>
        <w:rPr>
          <w:color w:val="auto"/>
        </w:rPr>
        <w:fldChar w:fldCharType="separate"/>
      </w:r>
      <w:r>
        <w:rPr>
          <w:color w:val="auto"/>
        </w:rPr>
        <w:t>17</w:t>
      </w:r>
      <w:r>
        <w:rPr>
          <w:color w:val="auto"/>
        </w:rPr>
        <w:fldChar w:fldCharType="end"/>
      </w:r>
      <w:r>
        <w:rPr>
          <w:rFonts w:ascii="Times New Roman" w:hAnsi="Times New Roman" w:cs="Times New Roman"/>
          <w:color w:val="auto"/>
        </w:rPr>
        <w:fldChar w:fldCharType="end"/>
      </w:r>
    </w:p>
    <w:p w14:paraId="6DDD5A3E">
      <w:pPr>
        <w:pStyle w:val="36"/>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_Toc1804 </w:instrText>
      </w:r>
      <w:r>
        <w:rPr>
          <w:rFonts w:ascii="Times New Roman" w:hAnsi="Times New Roman" w:cs="Times New Roman"/>
          <w:color w:val="auto"/>
        </w:rPr>
        <w:fldChar w:fldCharType="separate"/>
      </w:r>
      <w:r>
        <w:rPr>
          <w:rFonts w:hint="eastAsia"/>
          <w:color w:val="auto"/>
        </w:rPr>
        <w:t>6.1  一般规定</w:t>
      </w:r>
      <w:r>
        <w:rPr>
          <w:color w:val="auto"/>
        </w:rPr>
        <w:tab/>
      </w:r>
      <w:r>
        <w:rPr>
          <w:color w:val="auto"/>
        </w:rPr>
        <w:fldChar w:fldCharType="begin"/>
      </w:r>
      <w:r>
        <w:rPr>
          <w:color w:val="auto"/>
        </w:rPr>
        <w:instrText xml:space="preserve"> PAGEREF _Toc1804 \h </w:instrText>
      </w:r>
      <w:r>
        <w:rPr>
          <w:color w:val="auto"/>
        </w:rPr>
        <w:fldChar w:fldCharType="separate"/>
      </w:r>
      <w:r>
        <w:rPr>
          <w:color w:val="auto"/>
        </w:rPr>
        <w:t>17</w:t>
      </w:r>
      <w:r>
        <w:rPr>
          <w:color w:val="auto"/>
        </w:rPr>
        <w:fldChar w:fldCharType="end"/>
      </w:r>
      <w:r>
        <w:rPr>
          <w:rFonts w:ascii="Times New Roman" w:hAnsi="Times New Roman" w:cs="Times New Roman"/>
          <w:color w:val="auto"/>
        </w:rPr>
        <w:fldChar w:fldCharType="end"/>
      </w:r>
    </w:p>
    <w:p w14:paraId="6256E057">
      <w:pPr>
        <w:pStyle w:val="36"/>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_Toc19476 </w:instrText>
      </w:r>
      <w:r>
        <w:rPr>
          <w:rFonts w:ascii="Times New Roman" w:hAnsi="Times New Roman" w:cs="Times New Roman"/>
          <w:color w:val="auto"/>
        </w:rPr>
        <w:fldChar w:fldCharType="separate"/>
      </w:r>
      <w:r>
        <w:rPr>
          <w:rFonts w:hint="eastAsia"/>
          <w:color w:val="auto"/>
        </w:rPr>
        <w:t>6.2  裂缝宽度验算</w:t>
      </w:r>
      <w:r>
        <w:rPr>
          <w:color w:val="auto"/>
        </w:rPr>
        <w:tab/>
      </w:r>
      <w:r>
        <w:rPr>
          <w:color w:val="auto"/>
        </w:rPr>
        <w:fldChar w:fldCharType="begin"/>
      </w:r>
      <w:r>
        <w:rPr>
          <w:color w:val="auto"/>
        </w:rPr>
        <w:instrText xml:space="preserve"> PAGEREF _Toc19476 \h </w:instrText>
      </w:r>
      <w:r>
        <w:rPr>
          <w:color w:val="auto"/>
        </w:rPr>
        <w:fldChar w:fldCharType="separate"/>
      </w:r>
      <w:r>
        <w:rPr>
          <w:color w:val="auto"/>
        </w:rPr>
        <w:t>17</w:t>
      </w:r>
      <w:r>
        <w:rPr>
          <w:color w:val="auto"/>
        </w:rPr>
        <w:fldChar w:fldCharType="end"/>
      </w:r>
      <w:r>
        <w:rPr>
          <w:rFonts w:ascii="Times New Roman" w:hAnsi="Times New Roman" w:cs="Times New Roman"/>
          <w:color w:val="auto"/>
        </w:rPr>
        <w:fldChar w:fldCharType="end"/>
      </w:r>
    </w:p>
    <w:p w14:paraId="68E51CDD">
      <w:pPr>
        <w:pStyle w:val="36"/>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_Toc27757 </w:instrText>
      </w:r>
      <w:r>
        <w:rPr>
          <w:rFonts w:ascii="Times New Roman" w:hAnsi="Times New Roman" w:cs="Times New Roman"/>
          <w:color w:val="auto"/>
        </w:rPr>
        <w:fldChar w:fldCharType="separate"/>
      </w:r>
      <w:r>
        <w:rPr>
          <w:rFonts w:hint="eastAsia"/>
          <w:color w:val="auto"/>
        </w:rPr>
        <w:t>6.3  挠度验算</w:t>
      </w:r>
      <w:r>
        <w:rPr>
          <w:color w:val="auto"/>
        </w:rPr>
        <w:tab/>
      </w:r>
      <w:r>
        <w:rPr>
          <w:color w:val="auto"/>
        </w:rPr>
        <w:fldChar w:fldCharType="begin"/>
      </w:r>
      <w:r>
        <w:rPr>
          <w:color w:val="auto"/>
        </w:rPr>
        <w:instrText xml:space="preserve"> PAGEREF _Toc27757 \h </w:instrText>
      </w:r>
      <w:r>
        <w:rPr>
          <w:color w:val="auto"/>
        </w:rPr>
        <w:fldChar w:fldCharType="separate"/>
      </w:r>
      <w:r>
        <w:rPr>
          <w:color w:val="auto"/>
        </w:rPr>
        <w:t>19</w:t>
      </w:r>
      <w:r>
        <w:rPr>
          <w:color w:val="auto"/>
        </w:rPr>
        <w:fldChar w:fldCharType="end"/>
      </w:r>
      <w:r>
        <w:rPr>
          <w:rFonts w:ascii="Times New Roman" w:hAnsi="Times New Roman" w:cs="Times New Roman"/>
          <w:color w:val="auto"/>
        </w:rPr>
        <w:fldChar w:fldCharType="end"/>
      </w:r>
    </w:p>
    <w:p w14:paraId="17A6CCF6">
      <w:pPr>
        <w:pStyle w:val="32"/>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_Toc4609 </w:instrText>
      </w:r>
      <w:r>
        <w:rPr>
          <w:rFonts w:ascii="Times New Roman" w:hAnsi="Times New Roman" w:cs="Times New Roman"/>
          <w:color w:val="auto"/>
        </w:rPr>
        <w:fldChar w:fldCharType="separate"/>
      </w:r>
      <w:r>
        <w:rPr>
          <w:rFonts w:hint="eastAsia"/>
          <w:color w:val="auto"/>
        </w:rPr>
        <w:t>7  持久状况和短暂状况构件的应力计算</w:t>
      </w:r>
      <w:r>
        <w:rPr>
          <w:color w:val="auto"/>
        </w:rPr>
        <w:tab/>
      </w:r>
      <w:r>
        <w:rPr>
          <w:color w:val="auto"/>
        </w:rPr>
        <w:fldChar w:fldCharType="begin"/>
      </w:r>
      <w:r>
        <w:rPr>
          <w:color w:val="auto"/>
        </w:rPr>
        <w:instrText xml:space="preserve"> PAGEREF _Toc4609 \h </w:instrText>
      </w:r>
      <w:r>
        <w:rPr>
          <w:color w:val="auto"/>
        </w:rPr>
        <w:fldChar w:fldCharType="separate"/>
      </w:r>
      <w:r>
        <w:rPr>
          <w:color w:val="auto"/>
        </w:rPr>
        <w:t>21</w:t>
      </w:r>
      <w:r>
        <w:rPr>
          <w:color w:val="auto"/>
        </w:rPr>
        <w:fldChar w:fldCharType="end"/>
      </w:r>
      <w:r>
        <w:rPr>
          <w:rFonts w:ascii="Times New Roman" w:hAnsi="Times New Roman" w:cs="Times New Roman"/>
          <w:color w:val="auto"/>
        </w:rPr>
        <w:fldChar w:fldCharType="end"/>
      </w:r>
    </w:p>
    <w:p w14:paraId="201765EE">
      <w:pPr>
        <w:pStyle w:val="36"/>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_Toc20123 </w:instrText>
      </w:r>
      <w:r>
        <w:rPr>
          <w:rFonts w:ascii="Times New Roman" w:hAnsi="Times New Roman" w:cs="Times New Roman"/>
          <w:color w:val="auto"/>
        </w:rPr>
        <w:fldChar w:fldCharType="separate"/>
      </w:r>
      <w:r>
        <w:rPr>
          <w:rFonts w:hint="eastAsia"/>
          <w:color w:val="auto"/>
        </w:rPr>
        <w:t>7.1  持久状况构件应力计算</w:t>
      </w:r>
      <w:r>
        <w:rPr>
          <w:color w:val="auto"/>
        </w:rPr>
        <w:tab/>
      </w:r>
      <w:r>
        <w:rPr>
          <w:color w:val="auto"/>
        </w:rPr>
        <w:fldChar w:fldCharType="begin"/>
      </w:r>
      <w:r>
        <w:rPr>
          <w:color w:val="auto"/>
        </w:rPr>
        <w:instrText xml:space="preserve"> PAGEREF _Toc20123 \h </w:instrText>
      </w:r>
      <w:r>
        <w:rPr>
          <w:color w:val="auto"/>
        </w:rPr>
        <w:fldChar w:fldCharType="separate"/>
      </w:r>
      <w:r>
        <w:rPr>
          <w:color w:val="auto"/>
        </w:rPr>
        <w:t>21</w:t>
      </w:r>
      <w:r>
        <w:rPr>
          <w:color w:val="auto"/>
        </w:rPr>
        <w:fldChar w:fldCharType="end"/>
      </w:r>
      <w:r>
        <w:rPr>
          <w:rFonts w:ascii="Times New Roman" w:hAnsi="Times New Roman" w:cs="Times New Roman"/>
          <w:color w:val="auto"/>
        </w:rPr>
        <w:fldChar w:fldCharType="end"/>
      </w:r>
    </w:p>
    <w:p w14:paraId="5322716C">
      <w:pPr>
        <w:pStyle w:val="36"/>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_Toc3390 </w:instrText>
      </w:r>
      <w:r>
        <w:rPr>
          <w:rFonts w:ascii="Times New Roman" w:hAnsi="Times New Roman" w:cs="Times New Roman"/>
          <w:color w:val="auto"/>
        </w:rPr>
        <w:fldChar w:fldCharType="separate"/>
      </w:r>
      <w:r>
        <w:rPr>
          <w:rFonts w:hint="eastAsia"/>
          <w:color w:val="auto"/>
        </w:rPr>
        <w:t>7.2  短暂状况构件应力计算</w:t>
      </w:r>
      <w:r>
        <w:rPr>
          <w:color w:val="auto"/>
        </w:rPr>
        <w:tab/>
      </w:r>
      <w:r>
        <w:rPr>
          <w:color w:val="auto"/>
        </w:rPr>
        <w:fldChar w:fldCharType="begin"/>
      </w:r>
      <w:r>
        <w:rPr>
          <w:color w:val="auto"/>
        </w:rPr>
        <w:instrText xml:space="preserve"> PAGEREF _Toc3390 \h </w:instrText>
      </w:r>
      <w:r>
        <w:rPr>
          <w:color w:val="auto"/>
        </w:rPr>
        <w:fldChar w:fldCharType="separate"/>
      </w:r>
      <w:r>
        <w:rPr>
          <w:color w:val="auto"/>
        </w:rPr>
        <w:t>21</w:t>
      </w:r>
      <w:r>
        <w:rPr>
          <w:color w:val="auto"/>
        </w:rPr>
        <w:fldChar w:fldCharType="end"/>
      </w:r>
      <w:r>
        <w:rPr>
          <w:rFonts w:ascii="Times New Roman" w:hAnsi="Times New Roman" w:cs="Times New Roman"/>
          <w:color w:val="auto"/>
        </w:rPr>
        <w:fldChar w:fldCharType="end"/>
      </w:r>
    </w:p>
    <w:p w14:paraId="2223BE0E">
      <w:pPr>
        <w:pStyle w:val="32"/>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_Toc16045 </w:instrText>
      </w:r>
      <w:r>
        <w:rPr>
          <w:rFonts w:ascii="Times New Roman" w:hAnsi="Times New Roman" w:cs="Times New Roman"/>
          <w:color w:val="auto"/>
        </w:rPr>
        <w:fldChar w:fldCharType="separate"/>
      </w:r>
      <w:r>
        <w:rPr>
          <w:rFonts w:ascii="Times New Roman" w:hAnsi="Times New Roman"/>
          <w:color w:val="auto"/>
        </w:rPr>
        <w:t>8  构造要求</w:t>
      </w:r>
      <w:r>
        <w:rPr>
          <w:color w:val="auto"/>
        </w:rPr>
        <w:tab/>
      </w:r>
      <w:r>
        <w:rPr>
          <w:color w:val="auto"/>
        </w:rPr>
        <w:fldChar w:fldCharType="begin"/>
      </w:r>
      <w:r>
        <w:rPr>
          <w:color w:val="auto"/>
        </w:rPr>
        <w:instrText xml:space="preserve"> PAGEREF _Toc16045 \h </w:instrText>
      </w:r>
      <w:r>
        <w:rPr>
          <w:color w:val="auto"/>
        </w:rPr>
        <w:fldChar w:fldCharType="separate"/>
      </w:r>
      <w:r>
        <w:rPr>
          <w:color w:val="auto"/>
        </w:rPr>
        <w:t>24</w:t>
      </w:r>
      <w:r>
        <w:rPr>
          <w:color w:val="auto"/>
        </w:rPr>
        <w:fldChar w:fldCharType="end"/>
      </w:r>
      <w:r>
        <w:rPr>
          <w:rFonts w:ascii="Times New Roman" w:hAnsi="Times New Roman" w:cs="Times New Roman"/>
          <w:color w:val="auto"/>
        </w:rPr>
        <w:fldChar w:fldCharType="end"/>
      </w:r>
    </w:p>
    <w:p w14:paraId="24A65D49">
      <w:pPr>
        <w:pStyle w:val="36"/>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_Toc16969 </w:instrText>
      </w:r>
      <w:r>
        <w:rPr>
          <w:rFonts w:ascii="Times New Roman" w:hAnsi="Times New Roman" w:cs="Times New Roman"/>
          <w:color w:val="auto"/>
        </w:rPr>
        <w:fldChar w:fldCharType="separate"/>
      </w:r>
      <w:r>
        <w:rPr>
          <w:color w:val="auto"/>
        </w:rPr>
        <w:t>8</w:t>
      </w:r>
      <w:r>
        <w:rPr>
          <w:rFonts w:hint="eastAsia"/>
          <w:color w:val="auto"/>
        </w:rPr>
        <w:t>.1  一般规定</w:t>
      </w:r>
      <w:r>
        <w:rPr>
          <w:color w:val="auto"/>
        </w:rPr>
        <w:tab/>
      </w:r>
      <w:r>
        <w:rPr>
          <w:color w:val="auto"/>
        </w:rPr>
        <w:fldChar w:fldCharType="begin"/>
      </w:r>
      <w:r>
        <w:rPr>
          <w:color w:val="auto"/>
        </w:rPr>
        <w:instrText xml:space="preserve"> PAGEREF _Toc16969 \h </w:instrText>
      </w:r>
      <w:r>
        <w:rPr>
          <w:color w:val="auto"/>
        </w:rPr>
        <w:fldChar w:fldCharType="separate"/>
      </w:r>
      <w:r>
        <w:rPr>
          <w:color w:val="auto"/>
        </w:rPr>
        <w:t>24</w:t>
      </w:r>
      <w:r>
        <w:rPr>
          <w:color w:val="auto"/>
        </w:rPr>
        <w:fldChar w:fldCharType="end"/>
      </w:r>
      <w:r>
        <w:rPr>
          <w:rFonts w:ascii="Times New Roman" w:hAnsi="Times New Roman" w:cs="Times New Roman"/>
          <w:color w:val="auto"/>
        </w:rPr>
        <w:fldChar w:fldCharType="end"/>
      </w:r>
    </w:p>
    <w:p w14:paraId="113F9FC0">
      <w:pPr>
        <w:pStyle w:val="36"/>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_Toc4071 </w:instrText>
      </w:r>
      <w:r>
        <w:rPr>
          <w:rFonts w:ascii="Times New Roman" w:hAnsi="Times New Roman" w:cs="Times New Roman"/>
          <w:color w:val="auto"/>
        </w:rPr>
        <w:fldChar w:fldCharType="separate"/>
      </w:r>
      <w:r>
        <w:rPr>
          <w:color w:val="auto"/>
        </w:rPr>
        <w:t>8.2</w:t>
      </w:r>
      <w:r>
        <w:rPr>
          <w:rFonts w:hint="eastAsia"/>
          <w:color w:val="auto"/>
        </w:rPr>
        <w:t xml:space="preserve">  </w:t>
      </w:r>
      <w:r>
        <w:rPr>
          <w:color w:val="auto"/>
        </w:rPr>
        <w:t>超高性能混凝土倒“T”/“π”形梁</w:t>
      </w:r>
      <w:r>
        <w:rPr>
          <w:color w:val="auto"/>
        </w:rPr>
        <w:tab/>
      </w:r>
      <w:r>
        <w:rPr>
          <w:color w:val="auto"/>
        </w:rPr>
        <w:fldChar w:fldCharType="begin"/>
      </w:r>
      <w:r>
        <w:rPr>
          <w:color w:val="auto"/>
        </w:rPr>
        <w:instrText xml:space="preserve"> PAGEREF _Toc4071 \h </w:instrText>
      </w:r>
      <w:r>
        <w:rPr>
          <w:color w:val="auto"/>
        </w:rPr>
        <w:fldChar w:fldCharType="separate"/>
      </w:r>
      <w:r>
        <w:rPr>
          <w:color w:val="auto"/>
        </w:rPr>
        <w:t>25</w:t>
      </w:r>
      <w:r>
        <w:rPr>
          <w:color w:val="auto"/>
        </w:rPr>
        <w:fldChar w:fldCharType="end"/>
      </w:r>
      <w:r>
        <w:rPr>
          <w:rFonts w:ascii="Times New Roman" w:hAnsi="Times New Roman" w:cs="Times New Roman"/>
          <w:color w:val="auto"/>
        </w:rPr>
        <w:fldChar w:fldCharType="end"/>
      </w:r>
    </w:p>
    <w:p w14:paraId="571984A2">
      <w:pPr>
        <w:pStyle w:val="32"/>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_Toc32043 </w:instrText>
      </w:r>
      <w:r>
        <w:rPr>
          <w:rFonts w:ascii="Times New Roman" w:hAnsi="Times New Roman" w:cs="Times New Roman"/>
          <w:color w:val="auto"/>
        </w:rPr>
        <w:fldChar w:fldCharType="separate"/>
      </w:r>
      <w:r>
        <w:rPr>
          <w:rFonts w:ascii="Times New Roman" w:hAnsi="Times New Roman"/>
          <w:color w:val="auto"/>
        </w:rPr>
        <w:t xml:space="preserve">9  </w:t>
      </w:r>
      <w:r>
        <w:rPr>
          <w:rFonts w:hint="eastAsia" w:ascii="Times New Roman" w:hAnsi="Times New Roman"/>
          <w:color w:val="auto"/>
        </w:rPr>
        <w:t>施工</w:t>
      </w:r>
      <w:r>
        <w:rPr>
          <w:color w:val="auto"/>
        </w:rPr>
        <w:tab/>
      </w:r>
      <w:r>
        <w:rPr>
          <w:color w:val="auto"/>
        </w:rPr>
        <w:fldChar w:fldCharType="begin"/>
      </w:r>
      <w:r>
        <w:rPr>
          <w:color w:val="auto"/>
        </w:rPr>
        <w:instrText xml:space="preserve"> PAGEREF _Toc32043 \h </w:instrText>
      </w:r>
      <w:r>
        <w:rPr>
          <w:color w:val="auto"/>
        </w:rPr>
        <w:fldChar w:fldCharType="separate"/>
      </w:r>
      <w:r>
        <w:rPr>
          <w:color w:val="auto"/>
        </w:rPr>
        <w:t>27</w:t>
      </w:r>
      <w:r>
        <w:rPr>
          <w:color w:val="auto"/>
        </w:rPr>
        <w:fldChar w:fldCharType="end"/>
      </w:r>
      <w:r>
        <w:rPr>
          <w:rFonts w:ascii="Times New Roman" w:hAnsi="Times New Roman" w:cs="Times New Roman"/>
          <w:color w:val="auto"/>
        </w:rPr>
        <w:fldChar w:fldCharType="end"/>
      </w:r>
    </w:p>
    <w:p w14:paraId="0F7FFE55">
      <w:pPr>
        <w:pStyle w:val="36"/>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_Toc21689 </w:instrText>
      </w:r>
      <w:r>
        <w:rPr>
          <w:rFonts w:ascii="Times New Roman" w:hAnsi="Times New Roman" w:cs="Times New Roman"/>
          <w:color w:val="auto"/>
        </w:rPr>
        <w:fldChar w:fldCharType="separate"/>
      </w:r>
      <w:r>
        <w:rPr>
          <w:color w:val="auto"/>
        </w:rPr>
        <w:t>9</w:t>
      </w:r>
      <w:r>
        <w:rPr>
          <w:rFonts w:hint="eastAsia"/>
          <w:color w:val="auto"/>
        </w:rPr>
        <w:t xml:space="preserve">.1 </w:t>
      </w:r>
      <w:r>
        <w:rPr>
          <w:color w:val="auto"/>
        </w:rPr>
        <w:t xml:space="preserve"> </w:t>
      </w:r>
      <w:r>
        <w:rPr>
          <w:rFonts w:hint="eastAsia"/>
          <w:color w:val="auto"/>
        </w:rPr>
        <w:t>一般规定</w:t>
      </w:r>
      <w:r>
        <w:rPr>
          <w:color w:val="auto"/>
        </w:rPr>
        <w:tab/>
      </w:r>
      <w:r>
        <w:rPr>
          <w:color w:val="auto"/>
        </w:rPr>
        <w:fldChar w:fldCharType="begin"/>
      </w:r>
      <w:r>
        <w:rPr>
          <w:color w:val="auto"/>
        </w:rPr>
        <w:instrText xml:space="preserve"> PAGEREF _Toc21689 \h </w:instrText>
      </w:r>
      <w:r>
        <w:rPr>
          <w:color w:val="auto"/>
        </w:rPr>
        <w:fldChar w:fldCharType="separate"/>
      </w:r>
      <w:r>
        <w:rPr>
          <w:color w:val="auto"/>
        </w:rPr>
        <w:t>27</w:t>
      </w:r>
      <w:r>
        <w:rPr>
          <w:color w:val="auto"/>
        </w:rPr>
        <w:fldChar w:fldCharType="end"/>
      </w:r>
      <w:r>
        <w:rPr>
          <w:rFonts w:ascii="Times New Roman" w:hAnsi="Times New Roman" w:cs="Times New Roman"/>
          <w:color w:val="auto"/>
        </w:rPr>
        <w:fldChar w:fldCharType="end"/>
      </w:r>
    </w:p>
    <w:p w14:paraId="48C8D28B">
      <w:pPr>
        <w:pStyle w:val="36"/>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_Toc19183 </w:instrText>
      </w:r>
      <w:r>
        <w:rPr>
          <w:rFonts w:ascii="Times New Roman" w:hAnsi="Times New Roman" w:cs="Times New Roman"/>
          <w:color w:val="auto"/>
        </w:rPr>
        <w:fldChar w:fldCharType="separate"/>
      </w:r>
      <w:r>
        <w:rPr>
          <w:color w:val="auto"/>
        </w:rPr>
        <w:t>9</w:t>
      </w:r>
      <w:r>
        <w:rPr>
          <w:rFonts w:hint="eastAsia"/>
          <w:color w:val="auto"/>
        </w:rPr>
        <w:t xml:space="preserve">.2 </w:t>
      </w:r>
      <w:r>
        <w:rPr>
          <w:color w:val="auto"/>
        </w:rPr>
        <w:t xml:space="preserve"> </w:t>
      </w:r>
      <w:r>
        <w:rPr>
          <w:rFonts w:hint="eastAsia"/>
          <w:color w:val="auto"/>
        </w:rPr>
        <w:t>钢筋施工</w:t>
      </w:r>
      <w:r>
        <w:rPr>
          <w:color w:val="auto"/>
        </w:rPr>
        <w:tab/>
      </w:r>
      <w:r>
        <w:rPr>
          <w:color w:val="auto"/>
        </w:rPr>
        <w:fldChar w:fldCharType="begin"/>
      </w:r>
      <w:r>
        <w:rPr>
          <w:color w:val="auto"/>
        </w:rPr>
        <w:instrText xml:space="preserve"> PAGEREF _Toc19183 \h </w:instrText>
      </w:r>
      <w:r>
        <w:rPr>
          <w:color w:val="auto"/>
        </w:rPr>
        <w:fldChar w:fldCharType="separate"/>
      </w:r>
      <w:r>
        <w:rPr>
          <w:color w:val="auto"/>
        </w:rPr>
        <w:t>27</w:t>
      </w:r>
      <w:r>
        <w:rPr>
          <w:color w:val="auto"/>
        </w:rPr>
        <w:fldChar w:fldCharType="end"/>
      </w:r>
      <w:r>
        <w:rPr>
          <w:rFonts w:ascii="Times New Roman" w:hAnsi="Times New Roman" w:cs="Times New Roman"/>
          <w:color w:val="auto"/>
        </w:rPr>
        <w:fldChar w:fldCharType="end"/>
      </w:r>
    </w:p>
    <w:p w14:paraId="312CF87E">
      <w:pPr>
        <w:pStyle w:val="36"/>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_Toc8408 </w:instrText>
      </w:r>
      <w:r>
        <w:rPr>
          <w:rFonts w:ascii="Times New Roman" w:hAnsi="Times New Roman" w:cs="Times New Roman"/>
          <w:color w:val="auto"/>
        </w:rPr>
        <w:fldChar w:fldCharType="separate"/>
      </w:r>
      <w:r>
        <w:rPr>
          <w:color w:val="auto"/>
        </w:rPr>
        <w:t xml:space="preserve">9.3  </w:t>
      </w:r>
      <w:r>
        <w:rPr>
          <w:rFonts w:hint="eastAsia"/>
          <w:color w:val="auto"/>
        </w:rPr>
        <w:t>模板</w:t>
      </w:r>
      <w:r>
        <w:rPr>
          <w:color w:val="auto"/>
        </w:rPr>
        <w:tab/>
      </w:r>
      <w:r>
        <w:rPr>
          <w:color w:val="auto"/>
        </w:rPr>
        <w:fldChar w:fldCharType="begin"/>
      </w:r>
      <w:r>
        <w:rPr>
          <w:color w:val="auto"/>
        </w:rPr>
        <w:instrText xml:space="preserve"> PAGEREF _Toc8408 \h </w:instrText>
      </w:r>
      <w:r>
        <w:rPr>
          <w:color w:val="auto"/>
        </w:rPr>
        <w:fldChar w:fldCharType="separate"/>
      </w:r>
      <w:r>
        <w:rPr>
          <w:color w:val="auto"/>
        </w:rPr>
        <w:t>27</w:t>
      </w:r>
      <w:r>
        <w:rPr>
          <w:color w:val="auto"/>
        </w:rPr>
        <w:fldChar w:fldCharType="end"/>
      </w:r>
      <w:r>
        <w:rPr>
          <w:rFonts w:ascii="Times New Roman" w:hAnsi="Times New Roman" w:cs="Times New Roman"/>
          <w:color w:val="auto"/>
        </w:rPr>
        <w:fldChar w:fldCharType="end"/>
      </w:r>
    </w:p>
    <w:p w14:paraId="5C839D7F">
      <w:pPr>
        <w:pStyle w:val="36"/>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_Toc10223 </w:instrText>
      </w:r>
      <w:r>
        <w:rPr>
          <w:rFonts w:ascii="Times New Roman" w:hAnsi="Times New Roman" w:cs="Times New Roman"/>
          <w:color w:val="auto"/>
        </w:rPr>
        <w:fldChar w:fldCharType="separate"/>
      </w:r>
      <w:r>
        <w:rPr>
          <w:color w:val="auto"/>
        </w:rPr>
        <w:t xml:space="preserve">9.4  </w:t>
      </w:r>
      <w:r>
        <w:rPr>
          <w:rFonts w:hint="eastAsia"/>
          <w:color w:val="auto"/>
        </w:rPr>
        <w:t>超高性能混凝土拌合和预制</w:t>
      </w:r>
      <w:r>
        <w:rPr>
          <w:color w:val="auto"/>
        </w:rPr>
        <w:tab/>
      </w:r>
      <w:r>
        <w:rPr>
          <w:color w:val="auto"/>
        </w:rPr>
        <w:fldChar w:fldCharType="begin"/>
      </w:r>
      <w:r>
        <w:rPr>
          <w:color w:val="auto"/>
        </w:rPr>
        <w:instrText xml:space="preserve"> PAGEREF _Toc10223 \h </w:instrText>
      </w:r>
      <w:r>
        <w:rPr>
          <w:color w:val="auto"/>
        </w:rPr>
        <w:fldChar w:fldCharType="separate"/>
      </w:r>
      <w:r>
        <w:rPr>
          <w:color w:val="auto"/>
        </w:rPr>
        <w:t>29</w:t>
      </w:r>
      <w:r>
        <w:rPr>
          <w:color w:val="auto"/>
        </w:rPr>
        <w:fldChar w:fldCharType="end"/>
      </w:r>
      <w:r>
        <w:rPr>
          <w:rFonts w:ascii="Times New Roman" w:hAnsi="Times New Roman" w:cs="Times New Roman"/>
          <w:color w:val="auto"/>
        </w:rPr>
        <w:fldChar w:fldCharType="end"/>
      </w:r>
    </w:p>
    <w:p w14:paraId="23152FCA">
      <w:pPr>
        <w:pStyle w:val="36"/>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_Toc8420 </w:instrText>
      </w:r>
      <w:r>
        <w:rPr>
          <w:rFonts w:ascii="Times New Roman" w:hAnsi="Times New Roman" w:cs="Times New Roman"/>
          <w:color w:val="auto"/>
        </w:rPr>
        <w:fldChar w:fldCharType="separate"/>
      </w:r>
      <w:r>
        <w:rPr>
          <w:color w:val="auto"/>
        </w:rPr>
        <w:t>9.</w:t>
      </w:r>
      <w:r>
        <w:rPr>
          <w:rFonts w:hint="eastAsia"/>
          <w:color w:val="auto"/>
        </w:rPr>
        <w:t>5</w:t>
      </w:r>
      <w:r>
        <w:rPr>
          <w:color w:val="auto"/>
        </w:rPr>
        <w:t xml:space="preserve"> </w:t>
      </w:r>
      <w:r>
        <w:rPr>
          <w:rFonts w:hint="eastAsia"/>
          <w:color w:val="auto"/>
        </w:rPr>
        <w:t xml:space="preserve"> 超高性能混凝土板的运输与现场安装</w:t>
      </w:r>
      <w:r>
        <w:rPr>
          <w:color w:val="auto"/>
        </w:rPr>
        <w:tab/>
      </w:r>
      <w:r>
        <w:rPr>
          <w:color w:val="auto"/>
        </w:rPr>
        <w:fldChar w:fldCharType="begin"/>
      </w:r>
      <w:r>
        <w:rPr>
          <w:color w:val="auto"/>
        </w:rPr>
        <w:instrText xml:space="preserve"> PAGEREF _Toc8420 \h </w:instrText>
      </w:r>
      <w:r>
        <w:rPr>
          <w:color w:val="auto"/>
        </w:rPr>
        <w:fldChar w:fldCharType="separate"/>
      </w:r>
      <w:r>
        <w:rPr>
          <w:color w:val="auto"/>
        </w:rPr>
        <w:t>30</w:t>
      </w:r>
      <w:r>
        <w:rPr>
          <w:color w:val="auto"/>
        </w:rPr>
        <w:fldChar w:fldCharType="end"/>
      </w:r>
      <w:r>
        <w:rPr>
          <w:rFonts w:ascii="Times New Roman" w:hAnsi="Times New Roman" w:cs="Times New Roman"/>
          <w:color w:val="auto"/>
        </w:rPr>
        <w:fldChar w:fldCharType="end"/>
      </w:r>
    </w:p>
    <w:p w14:paraId="385F2FAC">
      <w:pPr>
        <w:pStyle w:val="36"/>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_Toc20809 </w:instrText>
      </w:r>
      <w:r>
        <w:rPr>
          <w:rFonts w:ascii="Times New Roman" w:hAnsi="Times New Roman" w:cs="Times New Roman"/>
          <w:color w:val="auto"/>
        </w:rPr>
        <w:fldChar w:fldCharType="separate"/>
      </w:r>
      <w:r>
        <w:rPr>
          <w:color w:val="auto"/>
        </w:rPr>
        <w:t>9.</w:t>
      </w:r>
      <w:r>
        <w:rPr>
          <w:rFonts w:hint="eastAsia"/>
          <w:color w:val="auto"/>
        </w:rPr>
        <w:t>6</w:t>
      </w:r>
      <w:r>
        <w:rPr>
          <w:color w:val="auto"/>
        </w:rPr>
        <w:t xml:space="preserve"> </w:t>
      </w:r>
      <w:r>
        <w:rPr>
          <w:rFonts w:hint="eastAsia"/>
          <w:color w:val="auto"/>
        </w:rPr>
        <w:t xml:space="preserve"> 安全文明施工、环保措施</w:t>
      </w:r>
      <w:r>
        <w:rPr>
          <w:color w:val="auto"/>
        </w:rPr>
        <w:tab/>
      </w:r>
      <w:r>
        <w:rPr>
          <w:color w:val="auto"/>
        </w:rPr>
        <w:fldChar w:fldCharType="begin"/>
      </w:r>
      <w:r>
        <w:rPr>
          <w:color w:val="auto"/>
        </w:rPr>
        <w:instrText xml:space="preserve"> PAGEREF _Toc20809 \h </w:instrText>
      </w:r>
      <w:r>
        <w:rPr>
          <w:color w:val="auto"/>
        </w:rPr>
        <w:fldChar w:fldCharType="separate"/>
      </w:r>
      <w:r>
        <w:rPr>
          <w:color w:val="auto"/>
        </w:rPr>
        <w:t>31</w:t>
      </w:r>
      <w:r>
        <w:rPr>
          <w:color w:val="auto"/>
        </w:rPr>
        <w:fldChar w:fldCharType="end"/>
      </w:r>
      <w:r>
        <w:rPr>
          <w:rFonts w:ascii="Times New Roman" w:hAnsi="Times New Roman" w:cs="Times New Roman"/>
          <w:color w:val="auto"/>
        </w:rPr>
        <w:fldChar w:fldCharType="end"/>
      </w:r>
    </w:p>
    <w:p w14:paraId="38AE8856">
      <w:pPr>
        <w:pStyle w:val="32"/>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_Toc23673 </w:instrText>
      </w:r>
      <w:r>
        <w:rPr>
          <w:rFonts w:ascii="Times New Roman" w:hAnsi="Times New Roman" w:cs="Times New Roman"/>
          <w:color w:val="auto"/>
        </w:rPr>
        <w:fldChar w:fldCharType="separate"/>
      </w:r>
      <w:r>
        <w:rPr>
          <w:rFonts w:hint="eastAsia" w:ascii="Times New Roman" w:hAnsi="Times New Roman"/>
          <w:color w:val="auto"/>
        </w:rPr>
        <w:t>1</w:t>
      </w:r>
      <w:r>
        <w:rPr>
          <w:rFonts w:ascii="Times New Roman" w:hAnsi="Times New Roman"/>
          <w:color w:val="auto"/>
        </w:rPr>
        <w:t xml:space="preserve">0 </w:t>
      </w:r>
      <w:r>
        <w:rPr>
          <w:rFonts w:hint="eastAsia" w:ascii="Times New Roman" w:hAnsi="Times New Roman"/>
          <w:color w:val="auto"/>
        </w:rPr>
        <w:t xml:space="preserve"> 检验与评定</w:t>
      </w:r>
      <w:r>
        <w:rPr>
          <w:color w:val="auto"/>
        </w:rPr>
        <w:tab/>
      </w:r>
      <w:r>
        <w:rPr>
          <w:color w:val="auto"/>
        </w:rPr>
        <w:fldChar w:fldCharType="begin"/>
      </w:r>
      <w:r>
        <w:rPr>
          <w:color w:val="auto"/>
        </w:rPr>
        <w:instrText xml:space="preserve"> PAGEREF _Toc23673 \h </w:instrText>
      </w:r>
      <w:r>
        <w:rPr>
          <w:color w:val="auto"/>
        </w:rPr>
        <w:fldChar w:fldCharType="separate"/>
      </w:r>
      <w:r>
        <w:rPr>
          <w:color w:val="auto"/>
        </w:rPr>
        <w:t>32</w:t>
      </w:r>
      <w:r>
        <w:rPr>
          <w:color w:val="auto"/>
        </w:rPr>
        <w:fldChar w:fldCharType="end"/>
      </w:r>
      <w:r>
        <w:rPr>
          <w:rFonts w:ascii="Times New Roman" w:hAnsi="Times New Roman" w:cs="Times New Roman"/>
          <w:color w:val="auto"/>
        </w:rPr>
        <w:fldChar w:fldCharType="end"/>
      </w:r>
    </w:p>
    <w:p w14:paraId="5AFE8490">
      <w:pPr>
        <w:pStyle w:val="36"/>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_Toc23358 </w:instrText>
      </w:r>
      <w:r>
        <w:rPr>
          <w:rFonts w:ascii="Times New Roman" w:hAnsi="Times New Roman" w:cs="Times New Roman"/>
          <w:color w:val="auto"/>
        </w:rPr>
        <w:fldChar w:fldCharType="separate"/>
      </w:r>
      <w:r>
        <w:rPr>
          <w:color w:val="auto"/>
        </w:rPr>
        <w:t>10</w:t>
      </w:r>
      <w:r>
        <w:rPr>
          <w:rFonts w:hint="eastAsia"/>
          <w:color w:val="auto"/>
        </w:rPr>
        <w:t>.1  一般规定</w:t>
      </w:r>
      <w:r>
        <w:rPr>
          <w:color w:val="auto"/>
        </w:rPr>
        <w:tab/>
      </w:r>
      <w:r>
        <w:rPr>
          <w:color w:val="auto"/>
        </w:rPr>
        <w:fldChar w:fldCharType="begin"/>
      </w:r>
      <w:r>
        <w:rPr>
          <w:color w:val="auto"/>
        </w:rPr>
        <w:instrText xml:space="preserve"> PAGEREF _Toc23358 \h </w:instrText>
      </w:r>
      <w:r>
        <w:rPr>
          <w:color w:val="auto"/>
        </w:rPr>
        <w:fldChar w:fldCharType="separate"/>
      </w:r>
      <w:r>
        <w:rPr>
          <w:color w:val="auto"/>
        </w:rPr>
        <w:t>32</w:t>
      </w:r>
      <w:r>
        <w:rPr>
          <w:color w:val="auto"/>
        </w:rPr>
        <w:fldChar w:fldCharType="end"/>
      </w:r>
      <w:r>
        <w:rPr>
          <w:rFonts w:ascii="Times New Roman" w:hAnsi="Times New Roman" w:cs="Times New Roman"/>
          <w:color w:val="auto"/>
        </w:rPr>
        <w:fldChar w:fldCharType="end"/>
      </w:r>
    </w:p>
    <w:p w14:paraId="0E2977B3">
      <w:pPr>
        <w:pStyle w:val="36"/>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_Toc23971 </w:instrText>
      </w:r>
      <w:r>
        <w:rPr>
          <w:rFonts w:ascii="Times New Roman" w:hAnsi="Times New Roman" w:cs="Times New Roman"/>
          <w:color w:val="auto"/>
        </w:rPr>
        <w:fldChar w:fldCharType="separate"/>
      </w:r>
      <w:r>
        <w:rPr>
          <w:color w:val="auto"/>
        </w:rPr>
        <w:t>10</w:t>
      </w:r>
      <w:r>
        <w:rPr>
          <w:rFonts w:hint="eastAsia"/>
          <w:color w:val="auto"/>
        </w:rPr>
        <w:t>.2  模板</w:t>
      </w:r>
      <w:r>
        <w:rPr>
          <w:color w:val="auto"/>
        </w:rPr>
        <w:tab/>
      </w:r>
      <w:r>
        <w:rPr>
          <w:color w:val="auto"/>
        </w:rPr>
        <w:fldChar w:fldCharType="begin"/>
      </w:r>
      <w:r>
        <w:rPr>
          <w:color w:val="auto"/>
        </w:rPr>
        <w:instrText xml:space="preserve"> PAGEREF _Toc23971 \h </w:instrText>
      </w:r>
      <w:r>
        <w:rPr>
          <w:color w:val="auto"/>
        </w:rPr>
        <w:fldChar w:fldCharType="separate"/>
      </w:r>
      <w:r>
        <w:rPr>
          <w:color w:val="auto"/>
        </w:rPr>
        <w:t>32</w:t>
      </w:r>
      <w:r>
        <w:rPr>
          <w:color w:val="auto"/>
        </w:rPr>
        <w:fldChar w:fldCharType="end"/>
      </w:r>
      <w:r>
        <w:rPr>
          <w:rFonts w:ascii="Times New Roman" w:hAnsi="Times New Roman" w:cs="Times New Roman"/>
          <w:color w:val="auto"/>
        </w:rPr>
        <w:fldChar w:fldCharType="end"/>
      </w:r>
    </w:p>
    <w:p w14:paraId="703E074A">
      <w:pPr>
        <w:pStyle w:val="36"/>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_Toc31561 </w:instrText>
      </w:r>
      <w:r>
        <w:rPr>
          <w:rFonts w:ascii="Times New Roman" w:hAnsi="Times New Roman" w:cs="Times New Roman"/>
          <w:color w:val="auto"/>
        </w:rPr>
        <w:fldChar w:fldCharType="separate"/>
      </w:r>
      <w:r>
        <w:rPr>
          <w:color w:val="auto"/>
        </w:rPr>
        <w:t xml:space="preserve">10.3 </w:t>
      </w:r>
      <w:r>
        <w:rPr>
          <w:rFonts w:hint="eastAsia"/>
          <w:color w:val="auto"/>
        </w:rPr>
        <w:t xml:space="preserve"> 钢筋工程</w:t>
      </w:r>
      <w:r>
        <w:rPr>
          <w:color w:val="auto"/>
        </w:rPr>
        <w:tab/>
      </w:r>
      <w:r>
        <w:rPr>
          <w:color w:val="auto"/>
        </w:rPr>
        <w:fldChar w:fldCharType="begin"/>
      </w:r>
      <w:r>
        <w:rPr>
          <w:color w:val="auto"/>
        </w:rPr>
        <w:instrText xml:space="preserve"> PAGEREF _Toc31561 \h </w:instrText>
      </w:r>
      <w:r>
        <w:rPr>
          <w:color w:val="auto"/>
        </w:rPr>
        <w:fldChar w:fldCharType="separate"/>
      </w:r>
      <w:r>
        <w:rPr>
          <w:color w:val="auto"/>
        </w:rPr>
        <w:t>32</w:t>
      </w:r>
      <w:r>
        <w:rPr>
          <w:color w:val="auto"/>
        </w:rPr>
        <w:fldChar w:fldCharType="end"/>
      </w:r>
      <w:r>
        <w:rPr>
          <w:rFonts w:ascii="Times New Roman" w:hAnsi="Times New Roman" w:cs="Times New Roman"/>
          <w:color w:val="auto"/>
        </w:rPr>
        <w:fldChar w:fldCharType="end"/>
      </w:r>
    </w:p>
    <w:p w14:paraId="1F7D4F6A">
      <w:pPr>
        <w:pStyle w:val="36"/>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_Toc4359 </w:instrText>
      </w:r>
      <w:r>
        <w:rPr>
          <w:rFonts w:ascii="Times New Roman" w:hAnsi="Times New Roman" w:cs="Times New Roman"/>
          <w:color w:val="auto"/>
        </w:rPr>
        <w:fldChar w:fldCharType="separate"/>
      </w:r>
      <w:r>
        <w:rPr>
          <w:rFonts w:hint="eastAsia"/>
          <w:color w:val="auto"/>
        </w:rPr>
        <w:t>1</w:t>
      </w:r>
      <w:r>
        <w:rPr>
          <w:color w:val="auto"/>
        </w:rPr>
        <w:t>0.4</w:t>
      </w:r>
      <w:r>
        <w:rPr>
          <w:rFonts w:hint="eastAsia"/>
          <w:color w:val="auto"/>
        </w:rPr>
        <w:t xml:space="preserve">  超高性能混凝土工程</w:t>
      </w:r>
      <w:r>
        <w:rPr>
          <w:color w:val="auto"/>
        </w:rPr>
        <w:tab/>
      </w:r>
      <w:r>
        <w:rPr>
          <w:color w:val="auto"/>
        </w:rPr>
        <w:fldChar w:fldCharType="begin"/>
      </w:r>
      <w:r>
        <w:rPr>
          <w:color w:val="auto"/>
        </w:rPr>
        <w:instrText xml:space="preserve"> PAGEREF _Toc4359 \h </w:instrText>
      </w:r>
      <w:r>
        <w:rPr>
          <w:color w:val="auto"/>
        </w:rPr>
        <w:fldChar w:fldCharType="separate"/>
      </w:r>
      <w:r>
        <w:rPr>
          <w:color w:val="auto"/>
        </w:rPr>
        <w:t>33</w:t>
      </w:r>
      <w:r>
        <w:rPr>
          <w:color w:val="auto"/>
        </w:rPr>
        <w:fldChar w:fldCharType="end"/>
      </w:r>
      <w:r>
        <w:rPr>
          <w:rFonts w:ascii="Times New Roman" w:hAnsi="Times New Roman" w:cs="Times New Roman"/>
          <w:color w:val="auto"/>
        </w:rPr>
        <w:fldChar w:fldCharType="end"/>
      </w:r>
    </w:p>
    <w:p w14:paraId="24DE9AA7">
      <w:pPr>
        <w:pStyle w:val="32"/>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_Toc11311 </w:instrText>
      </w:r>
      <w:r>
        <w:rPr>
          <w:rFonts w:ascii="Times New Roman" w:hAnsi="Times New Roman" w:cs="Times New Roman"/>
          <w:color w:val="auto"/>
        </w:rPr>
        <w:fldChar w:fldCharType="separate"/>
      </w:r>
      <w:r>
        <w:rPr>
          <w:rFonts w:hint="eastAsia"/>
          <w:color w:val="auto"/>
        </w:rPr>
        <w:t>用词说明</w:t>
      </w:r>
      <w:r>
        <w:rPr>
          <w:color w:val="auto"/>
        </w:rPr>
        <w:tab/>
      </w:r>
      <w:r>
        <w:rPr>
          <w:color w:val="auto"/>
        </w:rPr>
        <w:fldChar w:fldCharType="begin"/>
      </w:r>
      <w:r>
        <w:rPr>
          <w:color w:val="auto"/>
        </w:rPr>
        <w:instrText xml:space="preserve"> PAGEREF _Toc11311 \h </w:instrText>
      </w:r>
      <w:r>
        <w:rPr>
          <w:color w:val="auto"/>
        </w:rPr>
        <w:fldChar w:fldCharType="separate"/>
      </w:r>
      <w:r>
        <w:rPr>
          <w:color w:val="auto"/>
        </w:rPr>
        <w:t>35</w:t>
      </w:r>
      <w:r>
        <w:rPr>
          <w:color w:val="auto"/>
        </w:rPr>
        <w:fldChar w:fldCharType="end"/>
      </w:r>
      <w:r>
        <w:rPr>
          <w:rFonts w:ascii="Times New Roman" w:hAnsi="Times New Roman" w:cs="Times New Roman"/>
          <w:color w:val="auto"/>
        </w:rPr>
        <w:fldChar w:fldCharType="end"/>
      </w:r>
    </w:p>
    <w:p w14:paraId="20337088">
      <w:pPr>
        <w:pStyle w:val="32"/>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_Toc3137 </w:instrText>
      </w:r>
      <w:r>
        <w:rPr>
          <w:rFonts w:ascii="Times New Roman" w:hAnsi="Times New Roman" w:cs="Times New Roman"/>
          <w:color w:val="auto"/>
        </w:rPr>
        <w:fldChar w:fldCharType="separate"/>
      </w:r>
      <w:r>
        <w:rPr>
          <w:rFonts w:hint="eastAsia"/>
          <w:color w:val="auto"/>
        </w:rPr>
        <w:t>引用标准名录</w:t>
      </w:r>
      <w:r>
        <w:rPr>
          <w:color w:val="auto"/>
        </w:rPr>
        <w:tab/>
      </w:r>
      <w:r>
        <w:rPr>
          <w:color w:val="auto"/>
        </w:rPr>
        <w:fldChar w:fldCharType="begin"/>
      </w:r>
      <w:r>
        <w:rPr>
          <w:color w:val="auto"/>
        </w:rPr>
        <w:instrText xml:space="preserve"> PAGEREF _Toc3137 \h </w:instrText>
      </w:r>
      <w:r>
        <w:rPr>
          <w:color w:val="auto"/>
        </w:rPr>
        <w:fldChar w:fldCharType="separate"/>
      </w:r>
      <w:r>
        <w:rPr>
          <w:color w:val="auto"/>
        </w:rPr>
        <w:t>36</w:t>
      </w:r>
      <w:r>
        <w:rPr>
          <w:color w:val="auto"/>
        </w:rPr>
        <w:fldChar w:fldCharType="end"/>
      </w:r>
      <w:r>
        <w:rPr>
          <w:rFonts w:ascii="Times New Roman" w:hAnsi="Times New Roman" w:cs="Times New Roman"/>
          <w:color w:val="auto"/>
        </w:rPr>
        <w:fldChar w:fldCharType="end"/>
      </w:r>
    </w:p>
    <w:p w14:paraId="3D6EEBFD">
      <w:pPr>
        <w:pStyle w:val="32"/>
        <w:tabs>
          <w:tab w:val="right" w:leader="dot" w:pos="8306"/>
        </w:tabs>
        <w:rPr>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_Toc17244 </w:instrText>
      </w:r>
      <w:r>
        <w:rPr>
          <w:rFonts w:ascii="Times New Roman" w:hAnsi="Times New Roman" w:cs="Times New Roman"/>
          <w:color w:val="auto"/>
        </w:rPr>
        <w:fldChar w:fldCharType="separate"/>
      </w:r>
      <w:r>
        <w:rPr>
          <w:rFonts w:hint="eastAsia"/>
          <w:color w:val="auto"/>
        </w:rPr>
        <w:t>附：条文说明</w:t>
      </w:r>
      <w:r>
        <w:rPr>
          <w:color w:val="auto"/>
        </w:rPr>
        <w:tab/>
      </w:r>
      <w:r>
        <w:rPr>
          <w:color w:val="auto"/>
        </w:rPr>
        <w:fldChar w:fldCharType="begin"/>
      </w:r>
      <w:r>
        <w:rPr>
          <w:color w:val="auto"/>
        </w:rPr>
        <w:instrText xml:space="preserve"> PAGEREF _Toc17244 \h </w:instrText>
      </w:r>
      <w:r>
        <w:rPr>
          <w:color w:val="auto"/>
        </w:rPr>
        <w:fldChar w:fldCharType="separate"/>
      </w:r>
      <w:r>
        <w:rPr>
          <w:color w:val="auto"/>
        </w:rPr>
        <w:t>38</w:t>
      </w:r>
      <w:r>
        <w:rPr>
          <w:color w:val="auto"/>
        </w:rPr>
        <w:fldChar w:fldCharType="end"/>
      </w:r>
      <w:r>
        <w:rPr>
          <w:rFonts w:ascii="Times New Roman" w:hAnsi="Times New Roman" w:cs="Times New Roman"/>
          <w:color w:val="auto"/>
        </w:rPr>
        <w:fldChar w:fldCharType="end"/>
      </w:r>
    </w:p>
    <w:p w14:paraId="1B42DF3D">
      <w:pPr>
        <w:spacing w:line="360" w:lineRule="auto"/>
        <w:rPr>
          <w:rFonts w:hint="eastAsia"/>
          <w:color w:val="auto"/>
        </w:rPr>
      </w:pPr>
      <w:r>
        <w:rPr>
          <w:rFonts w:ascii="Times New Roman" w:hAnsi="Times New Roman" w:cs="Times New Roman"/>
          <w:color w:val="auto"/>
        </w:rPr>
        <w:fldChar w:fldCharType="end"/>
      </w:r>
    </w:p>
    <w:p w14:paraId="6F7AF4C9">
      <w:pPr>
        <w:pStyle w:val="32"/>
        <w:tabs>
          <w:tab w:val="right" w:leader="dot" w:pos="8296"/>
        </w:tabs>
        <w:jc w:val="center"/>
        <w:rPr>
          <w:rFonts w:ascii="Times New Roman" w:hAnsi="Times New Roman"/>
          <w:b/>
          <w:bCs/>
          <w:color w:val="auto"/>
          <w:sz w:val="28"/>
        </w:rPr>
      </w:pPr>
      <w:r>
        <w:rPr>
          <w:color w:val="auto"/>
        </w:rPr>
        <w:br w:type="page"/>
      </w:r>
      <w:r>
        <w:rPr>
          <w:rFonts w:ascii="Times New Roman" w:hAnsi="Times New Roman"/>
          <w:b/>
          <w:bCs/>
          <w:color w:val="auto"/>
          <w:sz w:val="28"/>
        </w:rPr>
        <w:t>Contents</w:t>
      </w:r>
    </w:p>
    <w:p w14:paraId="5B0DA3C0">
      <w:pPr>
        <w:pStyle w:val="312"/>
        <w:spacing w:line="360" w:lineRule="auto"/>
        <w:ind w:left="360" w:hanging="360"/>
        <w:jc w:val="distribute"/>
        <w:rPr>
          <w:rFonts w:ascii="Times New Roman" w:hAnsi="Times New Roman" w:cs="Times New Roman"/>
          <w:color w:val="auto"/>
          <w:sz w:val="21"/>
          <w:szCs w:val="21"/>
        </w:rPr>
      </w:pPr>
      <w:r>
        <w:rPr>
          <w:rFonts w:ascii="Times New Roman" w:hAnsi="Times New Roman" w:cs="Times New Roman"/>
          <w:color w:val="auto"/>
          <w:sz w:val="21"/>
          <w:szCs w:val="21"/>
        </w:rPr>
        <w:t>1</w:t>
      </w:r>
      <w:r>
        <w:rPr>
          <w:rFonts w:hint="eastAsia" w:ascii="Times New Roman" w:hAnsi="Times New Roman" w:cs="Times New Roman"/>
          <w:color w:val="auto"/>
          <w:sz w:val="21"/>
          <w:szCs w:val="21"/>
          <w:lang w:eastAsia="zh-CN"/>
        </w:rPr>
        <w:t xml:space="preserve">  </w:t>
      </w:r>
      <w:r>
        <w:rPr>
          <w:rFonts w:ascii="Times New Roman" w:hAnsi="Times New Roman" w:cs="Times New Roman"/>
          <w:color w:val="auto"/>
          <w:sz w:val="21"/>
          <w:szCs w:val="21"/>
        </w:rPr>
        <w:t xml:space="preserve">General </w:t>
      </w:r>
      <w:r>
        <w:rPr>
          <w:rFonts w:hint="eastAsia" w:ascii="Times New Roman" w:hAnsi="Times New Roman" w:cs="Times New Roman"/>
          <w:color w:val="auto"/>
          <w:sz w:val="21"/>
          <w:szCs w:val="21"/>
          <w:lang w:eastAsia="zh-CN"/>
        </w:rPr>
        <w:t>P</w:t>
      </w:r>
      <w:r>
        <w:rPr>
          <w:rFonts w:ascii="Times New Roman" w:hAnsi="Times New Roman" w:cs="Times New Roman"/>
          <w:color w:val="auto"/>
          <w:sz w:val="21"/>
          <w:szCs w:val="21"/>
        </w:rPr>
        <w:t xml:space="preserve">rovisions    </w:t>
      </w:r>
      <w:bookmarkStart w:id="17" w:name="_Hlk145271906"/>
      <w:r>
        <w:rPr>
          <w:rFonts w:ascii="Times New Roman" w:hAnsi="Times New Roman" w:cs="Times New Roman"/>
          <w:color w:val="auto"/>
          <w:sz w:val="21"/>
          <w:szCs w:val="21"/>
        </w:rPr>
        <w:t xml:space="preserve">    </w:t>
      </w:r>
      <w:bookmarkStart w:id="18" w:name="_Hlk145271885"/>
      <w:r>
        <w:rPr>
          <w:rFonts w:ascii="Times New Roman" w:hAnsi="Times New Roman" w:cs="Times New Roman"/>
          <w:color w:val="auto"/>
          <w:sz w:val="21"/>
          <w:szCs w:val="21"/>
        </w:rPr>
        <w:t xml:space="preserve">                          </w:t>
      </w:r>
      <w:bookmarkEnd w:id="18"/>
      <w:r>
        <w:rPr>
          <w:rFonts w:ascii="Times New Roman" w:hAnsi="Times New Roman" w:cs="Times New Roman"/>
          <w:color w:val="auto"/>
          <w:sz w:val="21"/>
          <w:szCs w:val="21"/>
        </w:rPr>
        <w:t xml:space="preserve">       </w:t>
      </w:r>
      <w:bookmarkEnd w:id="17"/>
      <w:r>
        <w:rPr>
          <w:rFonts w:ascii="Times New Roman" w:hAnsi="Times New Roman" w:cs="Times New Roman"/>
          <w:color w:val="auto"/>
          <w:sz w:val="21"/>
          <w:szCs w:val="21"/>
        </w:rPr>
        <w:t xml:space="preserve">                 1</w:t>
      </w:r>
    </w:p>
    <w:p w14:paraId="354FE9C6">
      <w:pPr>
        <w:pStyle w:val="312"/>
        <w:spacing w:line="360" w:lineRule="auto"/>
        <w:jc w:val="distribute"/>
        <w:rPr>
          <w:rFonts w:ascii="Times New Roman" w:hAnsi="Times New Roman" w:cs="Times New Roman"/>
          <w:color w:val="auto"/>
          <w:sz w:val="21"/>
          <w:szCs w:val="21"/>
        </w:rPr>
      </w:pPr>
      <w:r>
        <w:rPr>
          <w:rFonts w:ascii="Times New Roman" w:hAnsi="Times New Roman" w:cs="Times New Roman"/>
          <w:color w:val="auto"/>
          <w:sz w:val="21"/>
          <w:szCs w:val="21"/>
        </w:rPr>
        <w:t>2</w:t>
      </w:r>
      <w:r>
        <w:rPr>
          <w:rFonts w:hint="eastAsia" w:ascii="Times New Roman" w:hAnsi="Times New Roman" w:cs="Times New Roman"/>
          <w:color w:val="auto"/>
          <w:sz w:val="21"/>
          <w:szCs w:val="21"/>
          <w:lang w:eastAsia="zh-CN"/>
        </w:rPr>
        <w:t xml:space="preserve">  </w:t>
      </w:r>
      <w:r>
        <w:rPr>
          <w:rFonts w:ascii="Times New Roman" w:hAnsi="Times New Roman" w:cs="Times New Roman"/>
          <w:color w:val="auto"/>
          <w:sz w:val="21"/>
          <w:szCs w:val="21"/>
          <w:lang w:eastAsia="zh-CN"/>
        </w:rPr>
        <w:t>T</w:t>
      </w:r>
      <w:r>
        <w:rPr>
          <w:rFonts w:ascii="Times New Roman" w:hAnsi="Times New Roman" w:cs="Times New Roman"/>
          <w:color w:val="auto"/>
          <w:sz w:val="21"/>
          <w:szCs w:val="21"/>
        </w:rPr>
        <w:t>erm</w:t>
      </w:r>
      <w:r>
        <w:rPr>
          <w:rFonts w:hint="eastAsia" w:ascii="Times New Roman" w:hAnsi="Times New Roman" w:cs="Times New Roman"/>
          <w:color w:val="auto"/>
          <w:sz w:val="21"/>
          <w:szCs w:val="21"/>
          <w:lang w:eastAsia="zh-CN"/>
        </w:rPr>
        <w:t>inology</w:t>
      </w:r>
      <w:r>
        <w:rPr>
          <w:rFonts w:ascii="Times New Roman" w:hAnsi="Times New Roman" w:cs="Times New Roman"/>
          <w:color w:val="auto"/>
          <w:sz w:val="21"/>
          <w:szCs w:val="21"/>
        </w:rPr>
        <w:t xml:space="preserve"> </w:t>
      </w:r>
      <w:r>
        <w:rPr>
          <w:rFonts w:hint="eastAsia" w:ascii="Times New Roman" w:hAnsi="Times New Roman" w:cs="Times New Roman"/>
          <w:color w:val="auto"/>
          <w:sz w:val="21"/>
          <w:szCs w:val="21"/>
        </w:rPr>
        <w:t>and Symbols</w:t>
      </w:r>
      <w:r>
        <w:rPr>
          <w:rFonts w:ascii="Times New Roman" w:hAnsi="Times New Roman" w:cs="Times New Roman"/>
          <w:color w:val="auto"/>
          <w:sz w:val="21"/>
          <w:szCs w:val="21"/>
        </w:rPr>
        <w:t xml:space="preserve">                                                    </w:t>
      </w:r>
      <w:r>
        <w:rPr>
          <w:rFonts w:hint="eastAsia" w:ascii="Times New Roman" w:hAnsi="Times New Roman" w:cs="Times New Roman"/>
          <w:color w:val="auto"/>
          <w:sz w:val="21"/>
          <w:szCs w:val="21"/>
          <w:lang w:eastAsia="zh-CN"/>
        </w:rPr>
        <w:t xml:space="preserve"> 2</w:t>
      </w:r>
    </w:p>
    <w:p w14:paraId="55C80F6B">
      <w:pPr>
        <w:pStyle w:val="32"/>
        <w:tabs>
          <w:tab w:val="right" w:leader="dot" w:pos="8296"/>
        </w:tabs>
        <w:spacing w:line="360" w:lineRule="auto"/>
        <w:jc w:val="distribute"/>
        <w:rPr>
          <w:rFonts w:ascii="Times New Roman" w:hAnsi="Times New Roman"/>
          <w:color w:val="auto"/>
          <w:szCs w:val="21"/>
        </w:rPr>
      </w:pPr>
      <w:r>
        <w:rPr>
          <w:rFonts w:ascii="Times New Roman" w:hAnsi="Times New Roman"/>
          <w:color w:val="auto"/>
          <w:szCs w:val="21"/>
        </w:rPr>
        <w:t xml:space="preserve">3 </w:t>
      </w:r>
      <w:r>
        <w:rPr>
          <w:rFonts w:hint="eastAsia" w:ascii="Times New Roman" w:hAnsi="Times New Roman"/>
          <w:color w:val="auto"/>
          <w:szCs w:val="21"/>
        </w:rPr>
        <w:t xml:space="preserve"> </w:t>
      </w:r>
      <w:r>
        <w:rPr>
          <w:rFonts w:ascii="Times New Roman" w:hAnsi="Times New Roman"/>
          <w:color w:val="auto"/>
          <w:szCs w:val="21"/>
        </w:rPr>
        <w:t xml:space="preserve">General Requirements </w:t>
      </w:r>
      <w:r>
        <w:rPr>
          <w:rFonts w:hint="eastAsia" w:ascii="Times New Roman" w:hAnsi="Times New Roman"/>
          <w:color w:val="auto"/>
          <w:szCs w:val="21"/>
        </w:rPr>
        <w:t xml:space="preserve">   </w:t>
      </w:r>
      <w:r>
        <w:rPr>
          <w:rFonts w:ascii="Times New Roman" w:hAnsi="Times New Roman"/>
          <w:color w:val="auto"/>
          <w:szCs w:val="21"/>
        </w:rPr>
        <w:t xml:space="preserve">    </w:t>
      </w:r>
      <w:r>
        <w:rPr>
          <w:rFonts w:hint="eastAsia" w:ascii="Times New Roman" w:hAnsi="Times New Roman"/>
          <w:color w:val="auto"/>
          <w:szCs w:val="21"/>
        </w:rPr>
        <w:t xml:space="preserve">                                            </w:t>
      </w:r>
      <w:r>
        <w:rPr>
          <w:rFonts w:ascii="Times New Roman" w:hAnsi="Times New Roman"/>
          <w:color w:val="auto"/>
          <w:szCs w:val="21"/>
        </w:rPr>
        <w:t xml:space="preserve"> </w:t>
      </w:r>
      <w:r>
        <w:rPr>
          <w:rFonts w:hint="eastAsia" w:ascii="Times New Roman" w:hAnsi="Times New Roman"/>
          <w:color w:val="auto"/>
          <w:szCs w:val="21"/>
        </w:rPr>
        <w:t xml:space="preserve">   7</w:t>
      </w:r>
    </w:p>
    <w:p w14:paraId="77046870">
      <w:pPr>
        <w:pStyle w:val="32"/>
        <w:tabs>
          <w:tab w:val="right" w:leader="dot" w:pos="8296"/>
        </w:tabs>
        <w:spacing w:line="360" w:lineRule="auto"/>
        <w:jc w:val="distribute"/>
        <w:rPr>
          <w:rFonts w:ascii="Times New Roman" w:hAnsi="Times New Roman"/>
          <w:color w:val="auto"/>
          <w:szCs w:val="21"/>
        </w:rPr>
      </w:pPr>
      <w:r>
        <w:rPr>
          <w:rFonts w:ascii="Times New Roman" w:hAnsi="Times New Roman"/>
          <w:color w:val="auto"/>
          <w:szCs w:val="21"/>
        </w:rPr>
        <w:t xml:space="preserve">4 </w:t>
      </w:r>
      <w:r>
        <w:rPr>
          <w:rFonts w:hint="eastAsia" w:ascii="Times New Roman" w:hAnsi="Times New Roman"/>
          <w:color w:val="auto"/>
          <w:szCs w:val="21"/>
        </w:rPr>
        <w:t xml:space="preserve"> </w:t>
      </w:r>
      <w:r>
        <w:rPr>
          <w:rFonts w:ascii="Times New Roman" w:hAnsi="Times New Roman"/>
          <w:color w:val="auto"/>
          <w:szCs w:val="21"/>
        </w:rPr>
        <w:t xml:space="preserve">Material                                                                   </w:t>
      </w:r>
      <w:r>
        <w:rPr>
          <w:rFonts w:hint="eastAsia" w:ascii="Times New Roman" w:hAnsi="Times New Roman"/>
          <w:color w:val="auto"/>
          <w:szCs w:val="21"/>
        </w:rPr>
        <w:t>8</w:t>
      </w:r>
    </w:p>
    <w:p w14:paraId="7F279874">
      <w:pPr>
        <w:pStyle w:val="32"/>
        <w:tabs>
          <w:tab w:val="right" w:leader="dot" w:pos="8296"/>
        </w:tabs>
        <w:spacing w:line="360" w:lineRule="auto"/>
        <w:ind w:firstLine="210" w:firstLineChars="100"/>
        <w:jc w:val="distribute"/>
        <w:rPr>
          <w:rFonts w:ascii="Times New Roman" w:hAnsi="Times New Roman"/>
          <w:color w:val="auto"/>
          <w:szCs w:val="21"/>
        </w:rPr>
      </w:pPr>
      <w:r>
        <w:rPr>
          <w:rFonts w:ascii="Times New Roman" w:hAnsi="Times New Roman"/>
          <w:color w:val="auto"/>
          <w:szCs w:val="21"/>
        </w:rPr>
        <w:t>4.1 Ultra-</w:t>
      </w:r>
      <w:r>
        <w:rPr>
          <w:rFonts w:hint="eastAsia" w:ascii="Times New Roman" w:hAnsi="Times New Roman"/>
          <w:color w:val="auto"/>
          <w:szCs w:val="21"/>
        </w:rPr>
        <w:t>H</w:t>
      </w:r>
      <w:r>
        <w:rPr>
          <w:rFonts w:ascii="Times New Roman" w:hAnsi="Times New Roman"/>
          <w:color w:val="auto"/>
          <w:szCs w:val="21"/>
        </w:rPr>
        <w:t xml:space="preserve">igh </w:t>
      </w:r>
      <w:r>
        <w:rPr>
          <w:rFonts w:hint="eastAsia" w:ascii="Times New Roman" w:hAnsi="Times New Roman"/>
          <w:color w:val="auto"/>
          <w:szCs w:val="21"/>
        </w:rPr>
        <w:t>P</w:t>
      </w:r>
      <w:r>
        <w:rPr>
          <w:rFonts w:ascii="Times New Roman" w:hAnsi="Times New Roman"/>
          <w:color w:val="auto"/>
          <w:szCs w:val="21"/>
        </w:rPr>
        <w:t xml:space="preserve">erformance </w:t>
      </w:r>
      <w:r>
        <w:rPr>
          <w:rFonts w:hint="eastAsia" w:ascii="Times New Roman" w:hAnsi="Times New Roman"/>
          <w:color w:val="auto"/>
          <w:szCs w:val="21"/>
        </w:rPr>
        <w:t>C</w:t>
      </w:r>
      <w:r>
        <w:rPr>
          <w:rFonts w:ascii="Times New Roman" w:hAnsi="Times New Roman"/>
          <w:color w:val="auto"/>
          <w:szCs w:val="21"/>
        </w:rPr>
        <w:t xml:space="preserve">oncrete                                            </w:t>
      </w:r>
      <w:r>
        <w:rPr>
          <w:rFonts w:hint="eastAsia" w:ascii="Times New Roman" w:hAnsi="Times New Roman"/>
          <w:color w:val="auto"/>
          <w:szCs w:val="21"/>
        </w:rPr>
        <w:t>8</w:t>
      </w:r>
    </w:p>
    <w:p w14:paraId="2D109F71">
      <w:pPr>
        <w:pStyle w:val="32"/>
        <w:tabs>
          <w:tab w:val="right" w:leader="dot" w:pos="8296"/>
        </w:tabs>
        <w:spacing w:line="360" w:lineRule="auto"/>
        <w:ind w:firstLine="210" w:firstLineChars="100"/>
        <w:jc w:val="distribute"/>
        <w:rPr>
          <w:rFonts w:ascii="Times New Roman" w:hAnsi="Times New Roman"/>
          <w:color w:val="auto"/>
          <w:szCs w:val="21"/>
        </w:rPr>
      </w:pPr>
      <w:r>
        <w:rPr>
          <w:rFonts w:ascii="Times New Roman" w:hAnsi="Times New Roman"/>
          <w:color w:val="auto"/>
          <w:szCs w:val="21"/>
        </w:rPr>
        <w:t xml:space="preserve">4.2 Other </w:t>
      </w:r>
      <w:r>
        <w:rPr>
          <w:rFonts w:hint="eastAsia" w:ascii="Times New Roman" w:hAnsi="Times New Roman"/>
          <w:color w:val="auto"/>
          <w:szCs w:val="21"/>
        </w:rPr>
        <w:t>M</w:t>
      </w:r>
      <w:r>
        <w:rPr>
          <w:rFonts w:ascii="Times New Roman" w:hAnsi="Times New Roman"/>
          <w:color w:val="auto"/>
          <w:szCs w:val="21"/>
        </w:rPr>
        <w:t xml:space="preserve">aterials                                                           </w:t>
      </w:r>
      <w:r>
        <w:rPr>
          <w:rFonts w:hint="eastAsia" w:ascii="Times New Roman" w:hAnsi="Times New Roman"/>
          <w:color w:val="auto"/>
          <w:szCs w:val="21"/>
        </w:rPr>
        <w:t>9</w:t>
      </w:r>
    </w:p>
    <w:p w14:paraId="71C16AEB">
      <w:pPr>
        <w:pStyle w:val="32"/>
        <w:tabs>
          <w:tab w:val="right" w:leader="dot" w:pos="8296"/>
        </w:tabs>
        <w:spacing w:line="360" w:lineRule="auto"/>
        <w:jc w:val="distribute"/>
        <w:rPr>
          <w:rFonts w:ascii="Times New Roman" w:hAnsi="Times New Roman"/>
          <w:color w:val="auto"/>
          <w:szCs w:val="21"/>
        </w:rPr>
      </w:pPr>
      <w:r>
        <w:rPr>
          <w:rFonts w:ascii="Times New Roman" w:hAnsi="Times New Roman"/>
          <w:color w:val="auto"/>
          <w:szCs w:val="21"/>
        </w:rPr>
        <w:t xml:space="preserve">5 </w:t>
      </w:r>
      <w:r>
        <w:rPr>
          <w:rFonts w:hint="eastAsia" w:ascii="Times New Roman" w:hAnsi="Times New Roman"/>
          <w:color w:val="auto"/>
          <w:szCs w:val="21"/>
        </w:rPr>
        <w:t xml:space="preserve"> </w:t>
      </w:r>
      <w:r>
        <w:rPr>
          <w:rFonts w:ascii="Times New Roman" w:hAnsi="Times New Roman"/>
          <w:color w:val="auto"/>
          <w:szCs w:val="21"/>
        </w:rPr>
        <w:t xml:space="preserve">Ultimate Limit States Design under Permanent Situation                            </w:t>
      </w:r>
      <w:r>
        <w:rPr>
          <w:rFonts w:hint="eastAsia" w:ascii="Times New Roman" w:hAnsi="Times New Roman"/>
          <w:color w:val="auto"/>
          <w:szCs w:val="21"/>
        </w:rPr>
        <w:t>10</w:t>
      </w:r>
    </w:p>
    <w:p w14:paraId="242FB468">
      <w:pPr>
        <w:pStyle w:val="32"/>
        <w:tabs>
          <w:tab w:val="right" w:leader="dot" w:pos="8296"/>
        </w:tabs>
        <w:spacing w:line="360" w:lineRule="auto"/>
        <w:ind w:firstLine="210" w:firstLineChars="100"/>
        <w:jc w:val="distribute"/>
        <w:rPr>
          <w:rFonts w:ascii="Times New Roman" w:hAnsi="Times New Roman"/>
          <w:color w:val="auto"/>
          <w:szCs w:val="21"/>
        </w:rPr>
      </w:pPr>
      <w:r>
        <w:rPr>
          <w:rFonts w:ascii="Times New Roman" w:hAnsi="Times New Roman"/>
          <w:color w:val="auto"/>
          <w:szCs w:val="21"/>
        </w:rPr>
        <w:t xml:space="preserve">5.1 General Provisions                                                        </w:t>
      </w:r>
      <w:r>
        <w:rPr>
          <w:rFonts w:hint="eastAsia" w:ascii="Times New Roman" w:hAnsi="Times New Roman"/>
          <w:color w:val="auto"/>
          <w:szCs w:val="21"/>
        </w:rPr>
        <w:t>10</w:t>
      </w:r>
    </w:p>
    <w:p w14:paraId="5528B726">
      <w:pPr>
        <w:pStyle w:val="32"/>
        <w:tabs>
          <w:tab w:val="right" w:leader="dot" w:pos="8296"/>
        </w:tabs>
        <w:spacing w:line="360" w:lineRule="auto"/>
        <w:ind w:firstLine="210" w:firstLineChars="100"/>
        <w:jc w:val="distribute"/>
        <w:rPr>
          <w:rFonts w:ascii="Times New Roman" w:hAnsi="Times New Roman"/>
          <w:color w:val="auto"/>
          <w:szCs w:val="21"/>
        </w:rPr>
      </w:pPr>
      <w:r>
        <w:rPr>
          <w:rFonts w:ascii="Times New Roman" w:hAnsi="Times New Roman"/>
          <w:color w:val="auto"/>
          <w:szCs w:val="21"/>
        </w:rPr>
        <w:t xml:space="preserve">5.2 Calculation of Flexural Capacity for Beams                                     </w:t>
      </w:r>
      <w:r>
        <w:rPr>
          <w:rFonts w:hint="eastAsia" w:ascii="Times New Roman" w:hAnsi="Times New Roman"/>
          <w:color w:val="auto"/>
          <w:szCs w:val="21"/>
        </w:rPr>
        <w:t>10</w:t>
      </w:r>
    </w:p>
    <w:p w14:paraId="1606FD95">
      <w:pPr>
        <w:pStyle w:val="32"/>
        <w:tabs>
          <w:tab w:val="right" w:leader="dot" w:pos="8296"/>
        </w:tabs>
        <w:spacing w:line="360" w:lineRule="auto"/>
        <w:ind w:firstLine="210" w:firstLineChars="100"/>
        <w:jc w:val="distribute"/>
        <w:rPr>
          <w:rFonts w:ascii="Times New Roman" w:hAnsi="Times New Roman"/>
          <w:color w:val="auto"/>
          <w:szCs w:val="21"/>
        </w:rPr>
      </w:pPr>
      <w:r>
        <w:rPr>
          <w:rFonts w:ascii="Times New Roman" w:hAnsi="Times New Roman"/>
          <w:color w:val="auto"/>
          <w:szCs w:val="21"/>
        </w:rPr>
        <w:t xml:space="preserve">5.3 Calculation of Shear </w:t>
      </w:r>
      <w:bookmarkStart w:id="19" w:name="_Hlk145276636"/>
      <w:r>
        <w:rPr>
          <w:rFonts w:ascii="Times New Roman" w:hAnsi="Times New Roman"/>
          <w:color w:val="auto"/>
          <w:szCs w:val="21"/>
        </w:rPr>
        <w:t>Capacity</w:t>
      </w:r>
      <w:bookmarkEnd w:id="19"/>
      <w:r>
        <w:rPr>
          <w:rFonts w:ascii="Times New Roman" w:hAnsi="Times New Roman"/>
          <w:color w:val="auto"/>
          <w:szCs w:val="21"/>
        </w:rPr>
        <w:t xml:space="preserve"> for Beams                                       </w:t>
      </w:r>
      <w:r>
        <w:rPr>
          <w:rFonts w:hint="eastAsia" w:ascii="Times New Roman" w:hAnsi="Times New Roman"/>
          <w:color w:val="auto"/>
          <w:szCs w:val="21"/>
        </w:rPr>
        <w:t>12</w:t>
      </w:r>
    </w:p>
    <w:p w14:paraId="253AE943">
      <w:pPr>
        <w:spacing w:line="360" w:lineRule="auto"/>
        <w:ind w:firstLine="210" w:firstLineChars="100"/>
        <w:jc w:val="distribute"/>
        <w:rPr>
          <w:rFonts w:ascii="Times New Roman" w:hAnsi="Times New Roman" w:cs="Times New Roman"/>
          <w:color w:val="auto"/>
        </w:rPr>
      </w:pPr>
      <w:r>
        <w:rPr>
          <w:rFonts w:hint="eastAsia" w:ascii="Times New Roman" w:hAnsi="Times New Roman" w:cs="Times New Roman"/>
          <w:color w:val="auto"/>
        </w:rPr>
        <w:t>5.4 Calculation of the bearing capacity of interface shear resistant steel bars              14</w:t>
      </w:r>
    </w:p>
    <w:p w14:paraId="601388A7">
      <w:pPr>
        <w:spacing w:line="360" w:lineRule="auto"/>
        <w:ind w:firstLine="210" w:firstLineChars="100"/>
        <w:jc w:val="distribute"/>
        <w:rPr>
          <w:rFonts w:ascii="Times New Roman" w:hAnsi="Times New Roman" w:cs="Times New Roman"/>
          <w:color w:val="auto"/>
        </w:rPr>
      </w:pPr>
      <w:r>
        <w:rPr>
          <w:rFonts w:hint="eastAsia" w:ascii="Times New Roman" w:hAnsi="Times New Roman" w:cs="Times New Roman"/>
          <w:color w:val="auto"/>
        </w:rPr>
        <w:t>5.5 Calculation of the quantity of shear resistant steel bars on the interface               14</w:t>
      </w:r>
    </w:p>
    <w:p w14:paraId="686E5C49">
      <w:pPr>
        <w:pStyle w:val="32"/>
        <w:tabs>
          <w:tab w:val="right" w:leader="dot" w:pos="8296"/>
        </w:tabs>
        <w:spacing w:line="360" w:lineRule="auto"/>
        <w:jc w:val="distribute"/>
        <w:rPr>
          <w:rFonts w:ascii="Times New Roman" w:hAnsi="Times New Roman"/>
          <w:color w:val="auto"/>
          <w:szCs w:val="21"/>
        </w:rPr>
      </w:pPr>
      <w:r>
        <w:rPr>
          <w:rFonts w:ascii="Times New Roman" w:hAnsi="Times New Roman"/>
          <w:color w:val="auto"/>
          <w:szCs w:val="21"/>
        </w:rPr>
        <w:t>6  Serviceability Limit States Design under Permanent Situation                        1</w:t>
      </w:r>
      <w:r>
        <w:rPr>
          <w:rFonts w:hint="eastAsia" w:ascii="Times New Roman" w:hAnsi="Times New Roman"/>
          <w:color w:val="auto"/>
          <w:szCs w:val="21"/>
        </w:rPr>
        <w:t>7</w:t>
      </w:r>
    </w:p>
    <w:p w14:paraId="6CD752C1">
      <w:pPr>
        <w:pStyle w:val="32"/>
        <w:tabs>
          <w:tab w:val="right" w:leader="dot" w:pos="8296"/>
        </w:tabs>
        <w:spacing w:line="360" w:lineRule="auto"/>
        <w:ind w:firstLine="210" w:firstLineChars="100"/>
        <w:jc w:val="distribute"/>
        <w:rPr>
          <w:rFonts w:ascii="Times New Roman" w:hAnsi="Times New Roman"/>
          <w:color w:val="auto"/>
          <w:szCs w:val="21"/>
        </w:rPr>
      </w:pPr>
      <w:r>
        <w:rPr>
          <w:rFonts w:ascii="Times New Roman" w:hAnsi="Times New Roman"/>
          <w:color w:val="auto"/>
          <w:szCs w:val="21"/>
        </w:rPr>
        <w:t>6.1 General Provisions                                                       1</w:t>
      </w:r>
      <w:r>
        <w:rPr>
          <w:rFonts w:hint="eastAsia" w:ascii="Times New Roman" w:hAnsi="Times New Roman"/>
          <w:color w:val="auto"/>
          <w:szCs w:val="21"/>
        </w:rPr>
        <w:t>7</w:t>
      </w:r>
    </w:p>
    <w:p w14:paraId="1B8EA815">
      <w:pPr>
        <w:pStyle w:val="32"/>
        <w:tabs>
          <w:tab w:val="right" w:leader="dot" w:pos="8296"/>
        </w:tabs>
        <w:spacing w:line="360" w:lineRule="auto"/>
        <w:ind w:firstLine="210" w:firstLineChars="100"/>
        <w:jc w:val="distribute"/>
        <w:rPr>
          <w:rFonts w:ascii="Times New Roman" w:hAnsi="Times New Roman"/>
          <w:color w:val="auto"/>
          <w:szCs w:val="21"/>
        </w:rPr>
      </w:pPr>
      <w:r>
        <w:rPr>
          <w:rFonts w:ascii="Times New Roman" w:hAnsi="Times New Roman"/>
          <w:color w:val="auto"/>
          <w:szCs w:val="21"/>
        </w:rPr>
        <w:t>6.2 Checking of Crack Widths                                                 1</w:t>
      </w:r>
      <w:r>
        <w:rPr>
          <w:rFonts w:hint="eastAsia" w:ascii="Times New Roman" w:hAnsi="Times New Roman"/>
          <w:color w:val="auto"/>
          <w:szCs w:val="21"/>
        </w:rPr>
        <w:t>7</w:t>
      </w:r>
    </w:p>
    <w:p w14:paraId="4AD2EBBE">
      <w:pPr>
        <w:pStyle w:val="32"/>
        <w:tabs>
          <w:tab w:val="right" w:leader="dot" w:pos="8296"/>
        </w:tabs>
        <w:spacing w:line="360" w:lineRule="auto"/>
        <w:ind w:firstLine="210" w:firstLineChars="100"/>
        <w:jc w:val="distribute"/>
        <w:rPr>
          <w:rFonts w:ascii="Times New Roman" w:hAnsi="Times New Roman"/>
          <w:color w:val="auto"/>
          <w:szCs w:val="21"/>
        </w:rPr>
      </w:pPr>
      <w:r>
        <w:rPr>
          <w:rFonts w:ascii="Times New Roman" w:hAnsi="Times New Roman"/>
          <w:color w:val="auto"/>
          <w:szCs w:val="21"/>
        </w:rPr>
        <w:t>6.3 Checking of Deflection                                                    1</w:t>
      </w:r>
      <w:r>
        <w:rPr>
          <w:rFonts w:hint="eastAsia" w:ascii="Times New Roman" w:hAnsi="Times New Roman"/>
          <w:color w:val="auto"/>
          <w:szCs w:val="21"/>
        </w:rPr>
        <w:t>9</w:t>
      </w:r>
    </w:p>
    <w:p w14:paraId="18AAC81E">
      <w:pPr>
        <w:pStyle w:val="32"/>
        <w:tabs>
          <w:tab w:val="right" w:leader="dot" w:pos="8296"/>
        </w:tabs>
        <w:spacing w:line="360" w:lineRule="auto"/>
        <w:jc w:val="distribute"/>
        <w:rPr>
          <w:rFonts w:ascii="Times New Roman" w:hAnsi="Times New Roman"/>
          <w:color w:val="auto"/>
          <w:szCs w:val="21"/>
        </w:rPr>
      </w:pPr>
      <w:r>
        <w:rPr>
          <w:rFonts w:ascii="Times New Roman" w:hAnsi="Times New Roman"/>
          <w:color w:val="auto"/>
          <w:szCs w:val="21"/>
        </w:rPr>
        <w:t xml:space="preserve">7  Stress Calculation of Members under Permanent and Short-Term Situations          </w:t>
      </w:r>
      <w:r>
        <w:rPr>
          <w:rFonts w:hint="eastAsia" w:ascii="Times New Roman" w:hAnsi="Times New Roman"/>
          <w:color w:val="auto"/>
          <w:szCs w:val="21"/>
        </w:rPr>
        <w:t>21</w:t>
      </w:r>
    </w:p>
    <w:p w14:paraId="6ACBF68C">
      <w:pPr>
        <w:pStyle w:val="32"/>
        <w:tabs>
          <w:tab w:val="right" w:leader="dot" w:pos="8296"/>
        </w:tabs>
        <w:spacing w:line="360" w:lineRule="auto"/>
        <w:ind w:firstLine="210" w:firstLineChars="100"/>
        <w:jc w:val="distribute"/>
        <w:rPr>
          <w:rFonts w:ascii="Times New Roman" w:hAnsi="Times New Roman"/>
          <w:color w:val="auto"/>
          <w:szCs w:val="21"/>
        </w:rPr>
      </w:pPr>
      <w:r>
        <w:rPr>
          <w:rFonts w:ascii="Times New Roman" w:hAnsi="Times New Roman"/>
          <w:color w:val="auto"/>
          <w:szCs w:val="21"/>
        </w:rPr>
        <w:t xml:space="preserve">7.1 Stress Calculation of Members under Permanent Situation                     </w:t>
      </w:r>
      <w:r>
        <w:rPr>
          <w:rFonts w:hint="eastAsia" w:ascii="Times New Roman" w:hAnsi="Times New Roman"/>
          <w:color w:val="auto"/>
          <w:szCs w:val="21"/>
        </w:rPr>
        <w:t>21</w:t>
      </w:r>
    </w:p>
    <w:p w14:paraId="2DBE35EC">
      <w:pPr>
        <w:pStyle w:val="32"/>
        <w:tabs>
          <w:tab w:val="right" w:leader="dot" w:pos="8296"/>
        </w:tabs>
        <w:spacing w:line="360" w:lineRule="auto"/>
        <w:ind w:firstLine="210" w:firstLineChars="100"/>
        <w:jc w:val="distribute"/>
        <w:rPr>
          <w:rFonts w:ascii="Times New Roman" w:hAnsi="Times New Roman"/>
          <w:color w:val="auto"/>
          <w:szCs w:val="21"/>
        </w:rPr>
      </w:pPr>
      <w:r>
        <w:rPr>
          <w:rFonts w:ascii="Times New Roman" w:hAnsi="Times New Roman"/>
          <w:color w:val="auto"/>
          <w:szCs w:val="21"/>
        </w:rPr>
        <w:t xml:space="preserve">7.2 Stress Calculation of Members under Short-Term Situation                     </w:t>
      </w:r>
      <w:r>
        <w:rPr>
          <w:rFonts w:hint="eastAsia" w:ascii="Times New Roman" w:hAnsi="Times New Roman"/>
          <w:color w:val="auto"/>
          <w:szCs w:val="21"/>
        </w:rPr>
        <w:t>21</w:t>
      </w:r>
    </w:p>
    <w:p w14:paraId="75276949">
      <w:pPr>
        <w:pStyle w:val="32"/>
        <w:tabs>
          <w:tab w:val="right" w:leader="dot" w:pos="8296"/>
        </w:tabs>
        <w:spacing w:line="360" w:lineRule="auto"/>
        <w:jc w:val="distribute"/>
        <w:rPr>
          <w:rFonts w:ascii="Times New Roman" w:hAnsi="Times New Roman"/>
          <w:color w:val="auto"/>
          <w:szCs w:val="21"/>
        </w:rPr>
      </w:pPr>
      <w:r>
        <w:rPr>
          <w:rFonts w:hint="eastAsia" w:ascii="Times New Roman" w:hAnsi="Times New Roman"/>
          <w:color w:val="auto"/>
          <w:szCs w:val="21"/>
        </w:rPr>
        <w:t>8</w:t>
      </w:r>
      <w:r>
        <w:rPr>
          <w:rFonts w:ascii="Times New Roman" w:hAnsi="Times New Roman"/>
          <w:color w:val="auto"/>
          <w:szCs w:val="21"/>
        </w:rPr>
        <w:t xml:space="preserve">  Structural Requirements                                                     2</w:t>
      </w:r>
      <w:r>
        <w:rPr>
          <w:rFonts w:hint="eastAsia" w:ascii="Times New Roman" w:hAnsi="Times New Roman"/>
          <w:color w:val="auto"/>
          <w:szCs w:val="21"/>
        </w:rPr>
        <w:t>4</w:t>
      </w:r>
    </w:p>
    <w:p w14:paraId="03FF0B76">
      <w:pPr>
        <w:pStyle w:val="32"/>
        <w:tabs>
          <w:tab w:val="right" w:leader="dot" w:pos="8296"/>
        </w:tabs>
        <w:spacing w:line="360" w:lineRule="auto"/>
        <w:ind w:firstLine="210" w:firstLineChars="100"/>
        <w:jc w:val="distribute"/>
        <w:rPr>
          <w:rFonts w:ascii="Times New Roman" w:hAnsi="Times New Roman"/>
          <w:color w:val="auto"/>
          <w:szCs w:val="21"/>
        </w:rPr>
      </w:pPr>
      <w:r>
        <w:rPr>
          <w:rFonts w:hint="eastAsia" w:ascii="Times New Roman" w:hAnsi="Times New Roman"/>
          <w:color w:val="auto"/>
          <w:szCs w:val="21"/>
        </w:rPr>
        <w:t>8</w:t>
      </w:r>
      <w:r>
        <w:rPr>
          <w:rFonts w:ascii="Times New Roman" w:hAnsi="Times New Roman"/>
          <w:color w:val="auto"/>
          <w:szCs w:val="21"/>
        </w:rPr>
        <w:t>.1 General Provisions                                                       2</w:t>
      </w:r>
      <w:r>
        <w:rPr>
          <w:rFonts w:hint="eastAsia" w:ascii="Times New Roman" w:hAnsi="Times New Roman"/>
          <w:color w:val="auto"/>
          <w:szCs w:val="21"/>
        </w:rPr>
        <w:t>4</w:t>
      </w:r>
    </w:p>
    <w:p w14:paraId="6A675DBE">
      <w:pPr>
        <w:pStyle w:val="32"/>
        <w:tabs>
          <w:tab w:val="right" w:leader="dot" w:pos="8296"/>
        </w:tabs>
        <w:spacing w:line="360" w:lineRule="auto"/>
        <w:ind w:firstLine="210" w:firstLineChars="100"/>
        <w:jc w:val="distribute"/>
        <w:rPr>
          <w:rFonts w:ascii="Times New Roman" w:hAnsi="Times New Roman"/>
          <w:color w:val="auto"/>
          <w:szCs w:val="21"/>
        </w:rPr>
      </w:pPr>
      <w:r>
        <w:rPr>
          <w:rFonts w:hint="eastAsia" w:ascii="Times New Roman" w:hAnsi="Times New Roman"/>
          <w:color w:val="auto"/>
          <w:szCs w:val="21"/>
        </w:rPr>
        <w:t>8</w:t>
      </w:r>
      <w:r>
        <w:rPr>
          <w:rFonts w:ascii="Times New Roman" w:hAnsi="Times New Roman"/>
          <w:color w:val="auto"/>
          <w:szCs w:val="21"/>
        </w:rPr>
        <w:t xml:space="preserve">.2 Inverted "T" or "π"-shaped Ultra-High Performance Concrete Beam </w:t>
      </w:r>
      <w:r>
        <w:rPr>
          <w:rFonts w:hint="eastAsia" w:ascii="Times New Roman" w:hAnsi="Times New Roman"/>
          <w:color w:val="auto"/>
          <w:szCs w:val="21"/>
        </w:rPr>
        <w:t xml:space="preserve">                25</w:t>
      </w:r>
    </w:p>
    <w:p w14:paraId="1A8444DA">
      <w:pPr>
        <w:pStyle w:val="32"/>
        <w:tabs>
          <w:tab w:val="right" w:leader="dot" w:pos="8296"/>
        </w:tabs>
        <w:spacing w:line="360" w:lineRule="auto"/>
        <w:jc w:val="distribute"/>
        <w:rPr>
          <w:rFonts w:ascii="Times New Roman" w:hAnsi="Times New Roman"/>
          <w:color w:val="auto"/>
          <w:szCs w:val="21"/>
        </w:rPr>
      </w:pPr>
      <w:r>
        <w:rPr>
          <w:rFonts w:hint="eastAsia" w:ascii="Times New Roman" w:hAnsi="Times New Roman"/>
          <w:color w:val="auto"/>
          <w:szCs w:val="21"/>
        </w:rPr>
        <w:t>9</w:t>
      </w:r>
      <w:r>
        <w:rPr>
          <w:rFonts w:ascii="Times New Roman" w:hAnsi="Times New Roman"/>
          <w:color w:val="auto"/>
          <w:szCs w:val="21"/>
        </w:rPr>
        <w:t xml:space="preserve">  Construction                                                             2</w:t>
      </w:r>
      <w:r>
        <w:rPr>
          <w:rFonts w:hint="eastAsia" w:ascii="Times New Roman" w:hAnsi="Times New Roman"/>
          <w:color w:val="auto"/>
          <w:szCs w:val="21"/>
        </w:rPr>
        <w:t>7</w:t>
      </w:r>
    </w:p>
    <w:p w14:paraId="5F521837">
      <w:pPr>
        <w:pStyle w:val="32"/>
        <w:tabs>
          <w:tab w:val="right" w:leader="dot" w:pos="8296"/>
        </w:tabs>
        <w:spacing w:line="360" w:lineRule="auto"/>
        <w:ind w:firstLine="210" w:firstLineChars="100"/>
        <w:jc w:val="distribute"/>
        <w:rPr>
          <w:rFonts w:ascii="Times New Roman" w:hAnsi="Times New Roman"/>
          <w:color w:val="auto"/>
          <w:szCs w:val="21"/>
        </w:rPr>
      </w:pPr>
      <w:r>
        <w:rPr>
          <w:rFonts w:hint="eastAsia" w:ascii="Times New Roman" w:hAnsi="Times New Roman"/>
          <w:color w:val="auto"/>
          <w:szCs w:val="21"/>
        </w:rPr>
        <w:t>9</w:t>
      </w:r>
      <w:r>
        <w:rPr>
          <w:rFonts w:ascii="Times New Roman" w:hAnsi="Times New Roman"/>
          <w:color w:val="auto"/>
          <w:szCs w:val="21"/>
        </w:rPr>
        <w:t>.1 General Provisions                                                      2</w:t>
      </w:r>
      <w:r>
        <w:rPr>
          <w:rFonts w:hint="eastAsia" w:ascii="Times New Roman" w:hAnsi="Times New Roman"/>
          <w:color w:val="auto"/>
          <w:szCs w:val="21"/>
        </w:rPr>
        <w:t>7</w:t>
      </w:r>
    </w:p>
    <w:p w14:paraId="6B77D895">
      <w:pPr>
        <w:pStyle w:val="32"/>
        <w:tabs>
          <w:tab w:val="right" w:leader="dot" w:pos="8296"/>
        </w:tabs>
        <w:spacing w:line="360" w:lineRule="auto"/>
        <w:ind w:firstLine="210" w:firstLineChars="100"/>
        <w:jc w:val="distribute"/>
        <w:rPr>
          <w:rFonts w:ascii="Times New Roman" w:hAnsi="Times New Roman"/>
          <w:color w:val="auto"/>
          <w:szCs w:val="21"/>
        </w:rPr>
      </w:pPr>
      <w:r>
        <w:rPr>
          <w:rFonts w:hint="eastAsia" w:ascii="Times New Roman" w:hAnsi="Times New Roman"/>
          <w:color w:val="auto"/>
          <w:szCs w:val="21"/>
        </w:rPr>
        <w:t>9</w:t>
      </w:r>
      <w:r>
        <w:rPr>
          <w:rFonts w:ascii="Times New Roman" w:hAnsi="Times New Roman"/>
          <w:color w:val="auto"/>
          <w:szCs w:val="21"/>
        </w:rPr>
        <w:t xml:space="preserve">.2 </w:t>
      </w:r>
      <w:bookmarkStart w:id="20" w:name="_Hlk145277215"/>
      <w:r>
        <w:rPr>
          <w:rFonts w:ascii="Times New Roman" w:hAnsi="Times New Roman"/>
          <w:color w:val="auto"/>
          <w:szCs w:val="21"/>
        </w:rPr>
        <w:t>Construction of Reinforcement</w:t>
      </w:r>
      <w:bookmarkEnd w:id="20"/>
      <w:r>
        <w:rPr>
          <w:rFonts w:ascii="Times New Roman" w:hAnsi="Times New Roman"/>
          <w:color w:val="auto"/>
          <w:szCs w:val="21"/>
        </w:rPr>
        <w:t xml:space="preserve">                                            2</w:t>
      </w:r>
      <w:r>
        <w:rPr>
          <w:rFonts w:hint="eastAsia" w:ascii="Times New Roman" w:hAnsi="Times New Roman"/>
          <w:color w:val="auto"/>
          <w:szCs w:val="21"/>
        </w:rPr>
        <w:t>7</w:t>
      </w:r>
    </w:p>
    <w:p w14:paraId="6FBCCDD4">
      <w:pPr>
        <w:pStyle w:val="32"/>
        <w:tabs>
          <w:tab w:val="right" w:leader="dot" w:pos="8296"/>
        </w:tabs>
        <w:spacing w:line="360" w:lineRule="auto"/>
        <w:ind w:firstLine="210" w:firstLineChars="100"/>
        <w:jc w:val="distribute"/>
        <w:rPr>
          <w:rFonts w:ascii="Times New Roman" w:hAnsi="Times New Roman"/>
          <w:color w:val="auto"/>
          <w:szCs w:val="21"/>
        </w:rPr>
      </w:pPr>
      <w:r>
        <w:rPr>
          <w:rFonts w:hint="eastAsia" w:ascii="Times New Roman" w:hAnsi="Times New Roman"/>
          <w:color w:val="auto"/>
          <w:szCs w:val="21"/>
        </w:rPr>
        <w:t>9</w:t>
      </w:r>
      <w:r>
        <w:rPr>
          <w:rFonts w:ascii="Times New Roman" w:hAnsi="Times New Roman"/>
          <w:color w:val="auto"/>
          <w:szCs w:val="21"/>
        </w:rPr>
        <w:t>.3 Formwork                                                            2</w:t>
      </w:r>
      <w:r>
        <w:rPr>
          <w:rFonts w:hint="eastAsia" w:ascii="Times New Roman" w:hAnsi="Times New Roman"/>
          <w:color w:val="auto"/>
          <w:szCs w:val="21"/>
        </w:rPr>
        <w:t>7</w:t>
      </w:r>
    </w:p>
    <w:p w14:paraId="3931280A">
      <w:pPr>
        <w:pStyle w:val="32"/>
        <w:tabs>
          <w:tab w:val="right" w:leader="dot" w:pos="8296"/>
        </w:tabs>
        <w:spacing w:line="360" w:lineRule="auto"/>
        <w:ind w:firstLine="210" w:firstLineChars="100"/>
        <w:jc w:val="distribute"/>
        <w:rPr>
          <w:rFonts w:ascii="Times New Roman" w:hAnsi="Times New Roman"/>
          <w:color w:val="auto"/>
          <w:szCs w:val="21"/>
        </w:rPr>
      </w:pPr>
      <w:r>
        <w:rPr>
          <w:rFonts w:hint="eastAsia" w:ascii="Times New Roman" w:hAnsi="Times New Roman"/>
          <w:color w:val="auto"/>
          <w:szCs w:val="21"/>
        </w:rPr>
        <w:t>9</w:t>
      </w:r>
      <w:r>
        <w:rPr>
          <w:rFonts w:ascii="Times New Roman" w:hAnsi="Times New Roman"/>
          <w:color w:val="auto"/>
          <w:szCs w:val="21"/>
        </w:rPr>
        <w:t xml:space="preserve">.4 </w:t>
      </w:r>
      <w:r>
        <w:rPr>
          <w:rFonts w:hint="eastAsia" w:ascii="Times New Roman" w:hAnsi="Times New Roman"/>
          <w:color w:val="auto"/>
          <w:szCs w:val="21"/>
        </w:rPr>
        <w:t xml:space="preserve">Mixing and prefabrication of ultra-high performance concrete </w:t>
      </w:r>
      <w:r>
        <w:rPr>
          <w:rFonts w:ascii="Times New Roman" w:hAnsi="Times New Roman"/>
          <w:color w:val="auto"/>
          <w:szCs w:val="21"/>
        </w:rPr>
        <w:t xml:space="preserve">                    </w:t>
      </w:r>
      <w:r>
        <w:rPr>
          <w:rFonts w:hint="eastAsia" w:ascii="Times New Roman" w:hAnsi="Times New Roman"/>
          <w:color w:val="auto"/>
          <w:szCs w:val="21"/>
        </w:rPr>
        <w:t>29</w:t>
      </w:r>
    </w:p>
    <w:p w14:paraId="2DD9E25F">
      <w:pPr>
        <w:pStyle w:val="32"/>
        <w:tabs>
          <w:tab w:val="right" w:leader="dot" w:pos="8296"/>
        </w:tabs>
        <w:spacing w:line="360" w:lineRule="auto"/>
        <w:ind w:firstLine="210" w:firstLineChars="100"/>
        <w:jc w:val="distribute"/>
        <w:rPr>
          <w:rFonts w:ascii="Times New Roman" w:hAnsi="Times New Roman"/>
          <w:color w:val="auto"/>
          <w:szCs w:val="21"/>
        </w:rPr>
      </w:pPr>
      <w:r>
        <w:rPr>
          <w:rFonts w:hint="eastAsia" w:ascii="Times New Roman" w:hAnsi="Times New Roman"/>
          <w:color w:val="auto"/>
          <w:szCs w:val="21"/>
        </w:rPr>
        <w:t>9</w:t>
      </w:r>
      <w:r>
        <w:rPr>
          <w:rFonts w:ascii="Times New Roman" w:hAnsi="Times New Roman"/>
          <w:color w:val="auto"/>
          <w:szCs w:val="21"/>
        </w:rPr>
        <w:t>.</w:t>
      </w:r>
      <w:r>
        <w:rPr>
          <w:rFonts w:hint="eastAsia" w:ascii="Times New Roman" w:hAnsi="Times New Roman"/>
          <w:color w:val="auto"/>
          <w:szCs w:val="21"/>
        </w:rPr>
        <w:t>5</w:t>
      </w:r>
      <w:r>
        <w:rPr>
          <w:rFonts w:ascii="Times New Roman" w:hAnsi="Times New Roman"/>
          <w:color w:val="auto"/>
          <w:szCs w:val="21"/>
        </w:rPr>
        <w:t xml:space="preserve"> Transportation and on-site Installation of Ultra-High Performance Concrete Slabs    </w:t>
      </w:r>
      <w:r>
        <w:rPr>
          <w:rFonts w:hint="eastAsia" w:ascii="Times New Roman" w:hAnsi="Times New Roman"/>
          <w:color w:val="auto"/>
          <w:szCs w:val="21"/>
        </w:rPr>
        <w:t>30</w:t>
      </w:r>
    </w:p>
    <w:p w14:paraId="1ACE2F14">
      <w:pPr>
        <w:ind w:firstLine="210" w:firstLineChars="100"/>
        <w:jc w:val="distribute"/>
        <w:rPr>
          <w:rFonts w:hint="eastAsia"/>
          <w:color w:val="auto"/>
        </w:rPr>
      </w:pPr>
      <w:r>
        <w:rPr>
          <w:rFonts w:hint="eastAsia" w:ascii="Times New Roman" w:hAnsi="Times New Roman" w:eastAsia="宋体" w:cs="Times New Roman"/>
          <w:color w:val="auto"/>
          <w:szCs w:val="21"/>
        </w:rPr>
        <w:t>9.6</w:t>
      </w:r>
      <w:r>
        <w:rPr>
          <w:rFonts w:ascii="Times New Roman" w:hAnsi="Times New Roman" w:eastAsia="宋体" w:cs="Times New Roman"/>
          <w:color w:val="auto"/>
          <w:szCs w:val="21"/>
        </w:rPr>
        <w:t xml:space="preserve"> Safe and civilized construction, environmental protection</w:t>
      </w:r>
      <w:r>
        <w:rPr>
          <w:rFonts w:hint="eastAsia" w:ascii="Times New Roman" w:hAnsi="Times New Roman"/>
          <w:color w:val="auto"/>
          <w:szCs w:val="21"/>
        </w:rPr>
        <w:t xml:space="preserve">                          31</w:t>
      </w:r>
    </w:p>
    <w:p w14:paraId="72F0E090">
      <w:pPr>
        <w:pStyle w:val="32"/>
        <w:tabs>
          <w:tab w:val="right" w:leader="dot" w:pos="8296"/>
        </w:tabs>
        <w:spacing w:line="360" w:lineRule="auto"/>
        <w:jc w:val="distribute"/>
        <w:rPr>
          <w:rFonts w:ascii="Times New Roman" w:hAnsi="Times New Roman"/>
          <w:color w:val="auto"/>
          <w:szCs w:val="21"/>
        </w:rPr>
      </w:pPr>
      <w:r>
        <w:rPr>
          <w:rFonts w:ascii="Times New Roman" w:hAnsi="Times New Roman"/>
          <w:color w:val="auto"/>
          <w:szCs w:val="21"/>
        </w:rPr>
        <w:t>1</w:t>
      </w:r>
      <w:r>
        <w:rPr>
          <w:rFonts w:hint="eastAsia" w:ascii="Times New Roman" w:hAnsi="Times New Roman"/>
          <w:color w:val="auto"/>
          <w:szCs w:val="21"/>
        </w:rPr>
        <w:t>0</w:t>
      </w:r>
      <w:r>
        <w:rPr>
          <w:rFonts w:ascii="Times New Roman" w:hAnsi="Times New Roman"/>
          <w:color w:val="auto"/>
          <w:szCs w:val="21"/>
        </w:rPr>
        <w:t xml:space="preserve">  Inspection and Evaluation                                                   </w:t>
      </w:r>
      <w:r>
        <w:rPr>
          <w:rFonts w:hint="eastAsia" w:ascii="Times New Roman" w:hAnsi="Times New Roman"/>
          <w:color w:val="auto"/>
          <w:szCs w:val="21"/>
        </w:rPr>
        <w:t>32</w:t>
      </w:r>
    </w:p>
    <w:p w14:paraId="1DE3ED66">
      <w:pPr>
        <w:pStyle w:val="32"/>
        <w:tabs>
          <w:tab w:val="right" w:leader="dot" w:pos="8296"/>
        </w:tabs>
        <w:spacing w:line="360" w:lineRule="auto"/>
        <w:ind w:firstLine="210" w:firstLineChars="100"/>
        <w:jc w:val="distribute"/>
        <w:rPr>
          <w:rFonts w:ascii="Times New Roman" w:hAnsi="Times New Roman"/>
          <w:color w:val="auto"/>
          <w:szCs w:val="21"/>
        </w:rPr>
      </w:pPr>
      <w:r>
        <w:rPr>
          <w:rFonts w:ascii="Times New Roman" w:hAnsi="Times New Roman"/>
          <w:color w:val="auto"/>
          <w:szCs w:val="21"/>
        </w:rPr>
        <w:t>1</w:t>
      </w:r>
      <w:r>
        <w:rPr>
          <w:rFonts w:hint="eastAsia" w:ascii="Times New Roman" w:hAnsi="Times New Roman"/>
          <w:color w:val="auto"/>
          <w:szCs w:val="21"/>
        </w:rPr>
        <w:t>0</w:t>
      </w:r>
      <w:r>
        <w:rPr>
          <w:rFonts w:ascii="Times New Roman" w:hAnsi="Times New Roman"/>
          <w:color w:val="auto"/>
          <w:szCs w:val="21"/>
        </w:rPr>
        <w:t xml:space="preserve">.1 General Provisions                                                      </w:t>
      </w:r>
      <w:r>
        <w:rPr>
          <w:rFonts w:hint="eastAsia" w:ascii="Times New Roman" w:hAnsi="Times New Roman"/>
          <w:color w:val="auto"/>
          <w:szCs w:val="21"/>
        </w:rPr>
        <w:t>32</w:t>
      </w:r>
    </w:p>
    <w:p w14:paraId="4C1729E9">
      <w:pPr>
        <w:pStyle w:val="32"/>
        <w:tabs>
          <w:tab w:val="right" w:leader="dot" w:pos="8296"/>
        </w:tabs>
        <w:spacing w:line="360" w:lineRule="auto"/>
        <w:ind w:firstLine="210" w:firstLineChars="100"/>
        <w:jc w:val="distribute"/>
        <w:rPr>
          <w:rFonts w:ascii="Times New Roman" w:hAnsi="Times New Roman"/>
          <w:color w:val="auto"/>
          <w:szCs w:val="21"/>
        </w:rPr>
      </w:pPr>
      <w:r>
        <w:rPr>
          <w:rFonts w:ascii="Times New Roman" w:hAnsi="Times New Roman"/>
          <w:color w:val="auto"/>
          <w:szCs w:val="21"/>
        </w:rPr>
        <w:t>1</w:t>
      </w:r>
      <w:r>
        <w:rPr>
          <w:rFonts w:hint="eastAsia" w:ascii="Times New Roman" w:hAnsi="Times New Roman"/>
          <w:color w:val="auto"/>
          <w:szCs w:val="21"/>
        </w:rPr>
        <w:t>0</w:t>
      </w:r>
      <w:r>
        <w:rPr>
          <w:rFonts w:ascii="Times New Roman" w:hAnsi="Times New Roman"/>
          <w:color w:val="auto"/>
          <w:szCs w:val="21"/>
        </w:rPr>
        <w:t xml:space="preserve">.2 Formwork                                                             </w:t>
      </w:r>
      <w:r>
        <w:rPr>
          <w:rFonts w:hint="eastAsia" w:ascii="Times New Roman" w:hAnsi="Times New Roman"/>
          <w:color w:val="auto"/>
          <w:szCs w:val="21"/>
        </w:rPr>
        <w:t>32</w:t>
      </w:r>
    </w:p>
    <w:p w14:paraId="2FAFB0E7">
      <w:pPr>
        <w:pStyle w:val="32"/>
        <w:tabs>
          <w:tab w:val="right" w:leader="dot" w:pos="8296"/>
        </w:tabs>
        <w:spacing w:line="360" w:lineRule="auto"/>
        <w:ind w:firstLine="210" w:firstLineChars="100"/>
        <w:jc w:val="distribute"/>
        <w:rPr>
          <w:rFonts w:ascii="Times New Roman" w:hAnsi="Times New Roman"/>
          <w:color w:val="auto"/>
          <w:szCs w:val="21"/>
        </w:rPr>
      </w:pPr>
      <w:r>
        <w:rPr>
          <w:rFonts w:ascii="Times New Roman" w:hAnsi="Times New Roman"/>
          <w:color w:val="auto"/>
          <w:szCs w:val="21"/>
        </w:rPr>
        <w:t>1</w:t>
      </w:r>
      <w:r>
        <w:rPr>
          <w:rFonts w:hint="eastAsia" w:ascii="Times New Roman" w:hAnsi="Times New Roman"/>
          <w:color w:val="auto"/>
          <w:szCs w:val="21"/>
        </w:rPr>
        <w:t>0</w:t>
      </w:r>
      <w:r>
        <w:rPr>
          <w:rFonts w:ascii="Times New Roman" w:hAnsi="Times New Roman"/>
          <w:color w:val="auto"/>
          <w:szCs w:val="21"/>
        </w:rPr>
        <w:t xml:space="preserve">.3 Construction of Reinforcement                                             </w:t>
      </w:r>
      <w:r>
        <w:rPr>
          <w:rFonts w:hint="eastAsia" w:ascii="Times New Roman" w:hAnsi="Times New Roman"/>
          <w:color w:val="auto"/>
          <w:szCs w:val="21"/>
        </w:rPr>
        <w:t>32</w:t>
      </w:r>
    </w:p>
    <w:p w14:paraId="02225EEB">
      <w:pPr>
        <w:pStyle w:val="32"/>
        <w:tabs>
          <w:tab w:val="right" w:leader="dot" w:pos="8296"/>
        </w:tabs>
        <w:spacing w:line="360" w:lineRule="auto"/>
        <w:ind w:firstLine="210" w:firstLineChars="100"/>
        <w:jc w:val="distribute"/>
        <w:rPr>
          <w:rFonts w:ascii="Times New Roman" w:hAnsi="Times New Roman"/>
          <w:color w:val="auto"/>
          <w:szCs w:val="21"/>
        </w:rPr>
      </w:pPr>
      <w:r>
        <w:rPr>
          <w:rFonts w:ascii="Times New Roman" w:hAnsi="Times New Roman"/>
          <w:color w:val="auto"/>
          <w:szCs w:val="21"/>
        </w:rPr>
        <w:t>1</w:t>
      </w:r>
      <w:r>
        <w:rPr>
          <w:rFonts w:hint="eastAsia" w:ascii="Times New Roman" w:hAnsi="Times New Roman"/>
          <w:color w:val="auto"/>
          <w:szCs w:val="21"/>
        </w:rPr>
        <w:t>0</w:t>
      </w:r>
      <w:r>
        <w:rPr>
          <w:rFonts w:ascii="Times New Roman" w:hAnsi="Times New Roman"/>
          <w:color w:val="auto"/>
          <w:szCs w:val="21"/>
        </w:rPr>
        <w:t xml:space="preserve">.4 Construction of Ultra-High Performance Concrete                              </w:t>
      </w:r>
      <w:r>
        <w:rPr>
          <w:rFonts w:hint="eastAsia" w:ascii="Times New Roman" w:hAnsi="Times New Roman"/>
          <w:color w:val="auto"/>
          <w:szCs w:val="21"/>
        </w:rPr>
        <w:t>33</w:t>
      </w:r>
    </w:p>
    <w:p w14:paraId="7BA01E68">
      <w:pPr>
        <w:pStyle w:val="32"/>
        <w:tabs>
          <w:tab w:val="right" w:leader="dot" w:pos="8296"/>
        </w:tabs>
        <w:spacing w:line="360" w:lineRule="auto"/>
        <w:jc w:val="distribute"/>
        <w:rPr>
          <w:rFonts w:ascii="Times New Roman" w:hAnsi="Times New Roman"/>
          <w:color w:val="auto"/>
          <w:szCs w:val="21"/>
        </w:rPr>
      </w:pPr>
      <w:r>
        <w:rPr>
          <w:rFonts w:ascii="Times New Roman" w:hAnsi="Times New Roman"/>
          <w:color w:val="auto"/>
          <w:szCs w:val="21"/>
        </w:rPr>
        <w:t>Explanation of Wording in this Specification                                        3</w:t>
      </w:r>
      <w:r>
        <w:rPr>
          <w:rFonts w:hint="eastAsia" w:ascii="Times New Roman" w:hAnsi="Times New Roman"/>
          <w:color w:val="auto"/>
          <w:szCs w:val="21"/>
        </w:rPr>
        <w:t>5</w:t>
      </w:r>
    </w:p>
    <w:p w14:paraId="48BB6F19">
      <w:pPr>
        <w:pStyle w:val="32"/>
        <w:tabs>
          <w:tab w:val="right" w:leader="dot" w:pos="8296"/>
        </w:tabs>
        <w:spacing w:line="360" w:lineRule="auto"/>
        <w:jc w:val="distribute"/>
        <w:rPr>
          <w:rFonts w:ascii="Times New Roman" w:hAnsi="Times New Roman"/>
          <w:color w:val="auto"/>
          <w:szCs w:val="21"/>
        </w:rPr>
      </w:pPr>
      <w:r>
        <w:rPr>
          <w:rFonts w:ascii="Times New Roman" w:hAnsi="Times New Roman"/>
          <w:color w:val="auto"/>
          <w:szCs w:val="21"/>
        </w:rPr>
        <w:t>Reference Standards                                                           3</w:t>
      </w:r>
      <w:r>
        <w:rPr>
          <w:rFonts w:hint="eastAsia" w:ascii="Times New Roman" w:hAnsi="Times New Roman"/>
          <w:color w:val="auto"/>
          <w:szCs w:val="21"/>
        </w:rPr>
        <w:t>6</w:t>
      </w:r>
    </w:p>
    <w:p w14:paraId="59A1F177">
      <w:pPr>
        <w:pStyle w:val="32"/>
        <w:tabs>
          <w:tab w:val="right" w:leader="dot" w:pos="8296"/>
        </w:tabs>
        <w:spacing w:line="360" w:lineRule="auto"/>
        <w:jc w:val="distribute"/>
        <w:rPr>
          <w:rFonts w:ascii="Times New Roman" w:hAnsi="Times New Roman"/>
          <w:color w:val="auto"/>
          <w:szCs w:val="21"/>
        </w:rPr>
      </w:pPr>
      <w:r>
        <w:rPr>
          <w:rFonts w:ascii="Times New Roman" w:hAnsi="Times New Roman"/>
          <w:color w:val="auto"/>
          <w:szCs w:val="21"/>
        </w:rPr>
        <w:t xml:space="preserve">Explanation of Provisions                                                      </w:t>
      </w:r>
      <w:r>
        <w:rPr>
          <w:rFonts w:hint="eastAsia" w:ascii="Times New Roman" w:hAnsi="Times New Roman"/>
          <w:color w:val="auto"/>
          <w:szCs w:val="21"/>
        </w:rPr>
        <w:t>38</w:t>
      </w:r>
    </w:p>
    <w:p w14:paraId="34B944D6">
      <w:pPr>
        <w:snapToGrid w:val="0"/>
        <w:rPr>
          <w:rFonts w:ascii="Times New Roman" w:hAnsi="Times New Roman" w:cs="Times New Roman"/>
          <w:color w:val="auto"/>
        </w:rPr>
      </w:pPr>
    </w:p>
    <w:p w14:paraId="4292A114">
      <w:pPr>
        <w:pStyle w:val="332"/>
        <w:ind w:left="420"/>
        <w:rPr>
          <w:rFonts w:ascii="Times New Roman" w:hAnsi="Times New Roman"/>
          <w:color w:val="auto"/>
        </w:rPr>
        <w:sectPr>
          <w:footerReference r:id="rId4" w:type="default"/>
          <w:pgSz w:w="11906" w:h="16838"/>
          <w:pgMar w:top="1440" w:right="1800" w:bottom="1440" w:left="1800" w:header="851" w:footer="992" w:gutter="0"/>
          <w:pgNumType w:fmt="lowerRoman" w:start="1"/>
          <w:cols w:space="425" w:num="1"/>
          <w:docGrid w:type="lines" w:linePitch="312" w:charSpace="0"/>
        </w:sectPr>
      </w:pPr>
    </w:p>
    <w:p w14:paraId="0E3A6638">
      <w:pPr>
        <w:pStyle w:val="2"/>
        <w:spacing w:before="312" w:after="312"/>
        <w:rPr>
          <w:color w:val="auto"/>
        </w:rPr>
      </w:pPr>
      <w:bookmarkStart w:id="21" w:name="_Toc30532"/>
      <w:bookmarkStart w:id="22" w:name="_Toc18595"/>
      <w:bookmarkStart w:id="23" w:name="_Toc5566"/>
      <w:bookmarkStart w:id="24" w:name="_Toc106183734"/>
      <w:r>
        <w:rPr>
          <w:rFonts w:ascii="Times New Roman" w:hAnsi="Times New Roman"/>
          <w:color w:val="auto"/>
        </w:rPr>
        <w:t>1</w:t>
      </w:r>
      <w:r>
        <w:rPr>
          <w:rFonts w:hint="eastAsia"/>
          <w:color w:val="auto"/>
        </w:rPr>
        <w:t xml:space="preserve">  总则</w:t>
      </w:r>
      <w:bookmarkEnd w:id="10"/>
      <w:bookmarkEnd w:id="11"/>
      <w:bookmarkEnd w:id="12"/>
      <w:bookmarkEnd w:id="13"/>
      <w:bookmarkEnd w:id="14"/>
      <w:bookmarkEnd w:id="15"/>
      <w:bookmarkEnd w:id="21"/>
      <w:bookmarkEnd w:id="22"/>
      <w:bookmarkEnd w:id="23"/>
      <w:bookmarkEnd w:id="24"/>
    </w:p>
    <w:bookmarkEnd w:id="16"/>
    <w:p w14:paraId="71701FAC">
      <w:pPr>
        <w:spacing w:line="360" w:lineRule="auto"/>
        <w:rPr>
          <w:rFonts w:hint="eastAsia" w:ascii="宋体" w:hAnsi="宋体" w:eastAsia="宋体" w:cs="宋体"/>
          <w:color w:val="auto"/>
        </w:rPr>
      </w:pPr>
      <w:r>
        <w:rPr>
          <w:rFonts w:hint="eastAsia" w:ascii="Times New Roman" w:hAnsi="Times New Roman" w:eastAsia="宋体" w:cs="Times New Roman"/>
          <w:b/>
          <w:bCs/>
          <w:color w:val="auto"/>
          <w:szCs w:val="24"/>
        </w:rPr>
        <w:t xml:space="preserve">1.0.1 </w:t>
      </w:r>
      <w:r>
        <w:rPr>
          <w:rFonts w:ascii="Times New Roman" w:hAnsi="Times New Roman" w:eastAsia="宋体" w:cs="Times New Roman"/>
          <w:b/>
          <w:bCs/>
          <w:color w:val="auto"/>
          <w:szCs w:val="24"/>
        </w:rPr>
        <w:t xml:space="preserve"> </w:t>
      </w:r>
      <w:r>
        <w:rPr>
          <w:rFonts w:hint="eastAsia" w:ascii="宋体" w:hAnsi="宋体" w:eastAsia="宋体" w:cs="宋体"/>
          <w:color w:val="auto"/>
        </w:rPr>
        <w:t>为规范</w:t>
      </w:r>
      <w:bookmarkStart w:id="25" w:name="_Hlk141625662"/>
      <w:r>
        <w:rPr>
          <w:rFonts w:hint="eastAsia" w:ascii="宋体" w:hAnsi="宋体" w:eastAsia="宋体" w:cs="宋体"/>
          <w:color w:val="auto"/>
        </w:rPr>
        <w:t>超高性能混凝土一普通混凝土组合式盖板结构</w:t>
      </w:r>
      <w:bookmarkEnd w:id="25"/>
      <w:r>
        <w:rPr>
          <w:rFonts w:hint="eastAsia" w:ascii="宋体" w:hAnsi="宋体" w:eastAsia="宋体" w:cs="宋体"/>
          <w:color w:val="auto"/>
        </w:rPr>
        <w:t>的设计与施工，统一质量检验标准，按照技术先进、安全可靠、耐久使用、经济合理的原则，</w:t>
      </w:r>
      <w:r>
        <w:rPr>
          <w:rFonts w:hint="eastAsia" w:ascii="宋体" w:hAnsi="宋体" w:eastAsia="宋体"/>
          <w:color w:val="auto"/>
        </w:rPr>
        <w:t>制定</w:t>
      </w:r>
      <w:r>
        <w:rPr>
          <w:rFonts w:hint="eastAsia" w:ascii="宋体" w:hAnsi="宋体" w:eastAsia="宋体" w:cs="宋体"/>
          <w:color w:val="auto"/>
        </w:rPr>
        <w:t>本规程。</w:t>
      </w:r>
    </w:p>
    <w:p w14:paraId="757C0590">
      <w:pPr>
        <w:spacing w:line="360" w:lineRule="auto"/>
        <w:rPr>
          <w:rFonts w:hint="eastAsia" w:ascii="宋体" w:hAnsi="宋体" w:eastAsia="宋体" w:cs="宋体"/>
          <w:color w:val="auto"/>
        </w:rPr>
      </w:pPr>
      <w:r>
        <w:rPr>
          <w:rFonts w:hint="eastAsia" w:ascii="Times New Roman" w:hAnsi="Times New Roman" w:eastAsia="宋体" w:cs="Times New Roman"/>
          <w:b/>
          <w:bCs/>
          <w:color w:val="auto"/>
          <w:szCs w:val="24"/>
        </w:rPr>
        <w:t>1.0.</w:t>
      </w:r>
      <w:r>
        <w:rPr>
          <w:rFonts w:ascii="Times New Roman" w:hAnsi="Times New Roman" w:eastAsia="宋体" w:cs="Times New Roman"/>
          <w:b/>
          <w:bCs/>
          <w:color w:val="auto"/>
          <w:szCs w:val="24"/>
        </w:rPr>
        <w:t>2</w:t>
      </w:r>
      <w:r>
        <w:rPr>
          <w:rFonts w:hint="eastAsia" w:ascii="Times New Roman" w:hAnsi="Times New Roman" w:eastAsia="宋体" w:cs="Times New Roman"/>
          <w:b/>
          <w:bCs/>
          <w:color w:val="auto"/>
          <w:szCs w:val="24"/>
        </w:rPr>
        <w:t xml:space="preserve"> </w:t>
      </w:r>
      <w:r>
        <w:rPr>
          <w:rFonts w:ascii="Times New Roman" w:hAnsi="Times New Roman" w:eastAsia="宋体" w:cs="Times New Roman"/>
          <w:b/>
          <w:bCs/>
          <w:color w:val="auto"/>
          <w:szCs w:val="24"/>
        </w:rPr>
        <w:t xml:space="preserve"> </w:t>
      </w:r>
      <w:r>
        <w:rPr>
          <w:rFonts w:hint="eastAsia" w:ascii="宋体" w:hAnsi="宋体" w:eastAsia="宋体" w:cs="宋体"/>
          <w:color w:val="auto"/>
        </w:rPr>
        <w:t>本规程适用于广西区</w:t>
      </w:r>
      <w:bookmarkStart w:id="26" w:name="_Hlk141732147"/>
      <w:r>
        <w:rPr>
          <w:rFonts w:hint="eastAsia" w:ascii="宋体" w:hAnsi="宋体" w:eastAsia="宋体" w:cs="宋体"/>
          <w:color w:val="auto"/>
          <w:highlight w:val="none"/>
        </w:rPr>
        <w:t>市政工程</w:t>
      </w:r>
      <w:r>
        <w:rPr>
          <w:rFonts w:hint="eastAsia" w:ascii="宋体" w:hAnsi="宋体" w:eastAsia="宋体" w:cs="宋体"/>
          <w:color w:val="auto"/>
        </w:rPr>
        <w:t>新建下穿通道工程中超高性能混凝土-普通混凝土组合式盖板结构的设计、施工与验收</w:t>
      </w:r>
      <w:bookmarkEnd w:id="26"/>
      <w:r>
        <w:rPr>
          <w:rFonts w:hint="eastAsia" w:ascii="宋体" w:hAnsi="宋体" w:eastAsia="宋体" w:cs="宋体"/>
          <w:color w:val="auto"/>
        </w:rPr>
        <w:t>。</w:t>
      </w:r>
    </w:p>
    <w:p w14:paraId="31EE5DB9">
      <w:pPr>
        <w:spacing w:line="360" w:lineRule="auto"/>
        <w:rPr>
          <w:rFonts w:hint="eastAsia" w:ascii="宋体" w:hAnsi="宋体" w:eastAsia="宋体" w:cs="宋体"/>
          <w:color w:val="auto"/>
        </w:rPr>
      </w:pPr>
      <w:r>
        <w:rPr>
          <w:rFonts w:hint="eastAsia" w:ascii="Times New Roman" w:hAnsi="Times New Roman" w:eastAsia="宋体" w:cs="Times New Roman"/>
          <w:b/>
          <w:bCs/>
          <w:color w:val="auto"/>
          <w:szCs w:val="24"/>
        </w:rPr>
        <w:t>1</w:t>
      </w:r>
      <w:r>
        <w:rPr>
          <w:rFonts w:ascii="Times New Roman" w:hAnsi="Times New Roman" w:eastAsia="宋体" w:cs="Times New Roman"/>
          <w:b/>
          <w:bCs/>
          <w:color w:val="auto"/>
          <w:szCs w:val="24"/>
        </w:rPr>
        <w:t xml:space="preserve">.0.3 </w:t>
      </w:r>
      <w:r>
        <w:rPr>
          <w:rFonts w:ascii="宋体" w:hAnsi="宋体" w:eastAsia="宋体" w:cs="宋体"/>
          <w:color w:val="auto"/>
        </w:rPr>
        <w:t xml:space="preserve"> </w:t>
      </w:r>
      <w:r>
        <w:rPr>
          <w:rFonts w:hint="eastAsia" w:ascii="宋体" w:hAnsi="宋体" w:eastAsia="宋体" w:cs="宋体"/>
          <w:color w:val="auto"/>
        </w:rPr>
        <w:t>超高性能混凝土-普通混凝土组合式盖板结构设计应根据城乡规划确定的道路等级、通道过水要求、城市交通发展需要，遵循节约资源、低碳节能、保护环境的原则进行设计与施工。</w:t>
      </w:r>
    </w:p>
    <w:p w14:paraId="208E5827">
      <w:pPr>
        <w:spacing w:line="360" w:lineRule="auto"/>
        <w:rPr>
          <w:rFonts w:hint="eastAsia" w:ascii="宋体" w:hAnsi="宋体" w:eastAsia="宋体"/>
          <w:color w:val="auto"/>
        </w:rPr>
      </w:pPr>
      <w:r>
        <w:rPr>
          <w:rFonts w:hint="eastAsia" w:ascii="Times New Roman" w:hAnsi="Times New Roman" w:eastAsia="宋体" w:cs="Times New Roman"/>
          <w:b/>
          <w:bCs/>
          <w:color w:val="auto"/>
          <w:szCs w:val="24"/>
        </w:rPr>
        <w:t xml:space="preserve">1.0.4 </w:t>
      </w:r>
      <w:r>
        <w:rPr>
          <w:rFonts w:ascii="Times New Roman" w:hAnsi="Times New Roman" w:eastAsia="宋体" w:cs="Times New Roman"/>
          <w:b/>
          <w:bCs/>
          <w:color w:val="auto"/>
          <w:szCs w:val="24"/>
        </w:rPr>
        <w:t xml:space="preserve"> </w:t>
      </w:r>
      <w:r>
        <w:rPr>
          <w:rFonts w:hint="eastAsia" w:ascii="宋体" w:hAnsi="宋体" w:eastAsia="宋体"/>
          <w:color w:val="auto"/>
        </w:rPr>
        <w:t>超高性能混凝土-普通混凝土组合式盖板结构的设计、施工与验收除应符合本规程外，尚应符合</w:t>
      </w:r>
      <w:r>
        <w:rPr>
          <w:rFonts w:hint="eastAsia" w:ascii="宋体" w:hAnsi="宋体" w:eastAsia="宋体" w:cs="宋体"/>
          <w:color w:val="auto"/>
        </w:rPr>
        <w:t>国家、行业及广西壮族自治区现行有关标准相关规定。</w:t>
      </w:r>
    </w:p>
    <w:p w14:paraId="0FD890C2">
      <w:pPr>
        <w:pStyle w:val="2"/>
        <w:spacing w:before="312" w:after="312"/>
        <w:rPr>
          <w:color w:val="auto"/>
        </w:rPr>
      </w:pPr>
      <w:bookmarkStart w:id="27" w:name="_Toc94337375"/>
      <w:bookmarkStart w:id="28" w:name="_Toc30290"/>
      <w:bookmarkStart w:id="29" w:name="_Toc14051"/>
      <w:bookmarkStart w:id="30" w:name="_Toc106183735"/>
      <w:bookmarkStart w:id="31" w:name="_Toc5104"/>
      <w:r>
        <w:rPr>
          <w:rFonts w:ascii="Times New Roman" w:hAnsi="Times New Roman"/>
          <w:color w:val="auto"/>
        </w:rPr>
        <w:t>2</w:t>
      </w:r>
      <w:r>
        <w:rPr>
          <w:rFonts w:hint="eastAsia"/>
          <w:color w:val="auto"/>
        </w:rPr>
        <w:t xml:space="preserve">  术语</w:t>
      </w:r>
      <w:bookmarkEnd w:id="27"/>
      <w:bookmarkEnd w:id="28"/>
      <w:bookmarkEnd w:id="29"/>
      <w:bookmarkEnd w:id="30"/>
      <w:r>
        <w:rPr>
          <w:rFonts w:hint="eastAsia"/>
          <w:color w:val="auto"/>
        </w:rPr>
        <w:t>和符号</w:t>
      </w:r>
      <w:bookmarkEnd w:id="31"/>
    </w:p>
    <w:p w14:paraId="02362BFC">
      <w:pPr>
        <w:pStyle w:val="326"/>
        <w:rPr>
          <w:b/>
          <w:bCs/>
          <w:color w:val="auto"/>
        </w:rPr>
      </w:pPr>
      <w:r>
        <w:rPr>
          <w:rFonts w:hint="eastAsia"/>
          <w:b/>
          <w:bCs/>
          <w:color w:val="auto"/>
        </w:rPr>
        <w:t>2.1 术语</w:t>
      </w:r>
    </w:p>
    <w:p w14:paraId="73421D4A">
      <w:pPr>
        <w:pStyle w:val="326"/>
        <w:rPr>
          <w:color w:val="auto"/>
        </w:rPr>
      </w:pPr>
      <w:r>
        <w:rPr>
          <w:rFonts w:hint="eastAsia"/>
          <w:b/>
          <w:bCs/>
          <w:color w:val="auto"/>
        </w:rPr>
        <w:t>2.1.1</w:t>
      </w:r>
      <w:r>
        <w:rPr>
          <w:rFonts w:hint="eastAsia"/>
          <w:color w:val="auto"/>
        </w:rPr>
        <w:t xml:space="preserve"> </w:t>
      </w:r>
      <w:r>
        <w:rPr>
          <w:color w:val="auto"/>
        </w:rPr>
        <w:t xml:space="preserve"> </w:t>
      </w:r>
      <w:r>
        <w:rPr>
          <w:rFonts w:hint="eastAsia"/>
          <w:color w:val="auto"/>
        </w:rPr>
        <w:t>超高性能混凝土 ultra-high</w:t>
      </w:r>
      <w:r>
        <w:rPr>
          <w:color w:val="auto"/>
        </w:rPr>
        <w:t xml:space="preserve"> </w:t>
      </w:r>
      <w:r>
        <w:rPr>
          <w:rFonts w:hint="eastAsia"/>
          <w:color w:val="auto"/>
        </w:rPr>
        <w:t>performance</w:t>
      </w:r>
      <w:r>
        <w:rPr>
          <w:color w:val="auto"/>
        </w:rPr>
        <w:t xml:space="preserve"> concrete</w:t>
      </w:r>
    </w:p>
    <w:p w14:paraId="4A6A894F">
      <w:pPr>
        <w:pStyle w:val="326"/>
        <w:ind w:firstLine="420" w:firstLineChars="200"/>
        <w:rPr>
          <w:rFonts w:ascii="Calibri" w:hAnsi="Calibri"/>
          <w:color w:val="auto"/>
        </w:rPr>
      </w:pPr>
      <w:r>
        <w:rPr>
          <w:rFonts w:hint="eastAsia" w:ascii="Calibri" w:hAnsi="Calibri"/>
          <w:color w:val="auto"/>
        </w:rPr>
        <w:t>由水泥、矿物掺合料、细骨料、钢纤维和外加剂等材料或由上述材料制成的干混料加水拌和，经凝结硬化后形成的一种具有超高强度、超高韧性和超高耐久性的水泥基复合材料，简称</w:t>
      </w:r>
      <w:r>
        <w:rPr>
          <w:color w:val="auto"/>
        </w:rPr>
        <w:t>UHPC</w:t>
      </w:r>
      <w:r>
        <w:rPr>
          <w:rFonts w:hint="eastAsia" w:ascii="Calibri" w:hAnsi="Calibri"/>
          <w:color w:val="auto"/>
        </w:rPr>
        <w:t>。</w:t>
      </w:r>
    </w:p>
    <w:p w14:paraId="74227BFB">
      <w:pPr>
        <w:pStyle w:val="326"/>
        <w:rPr>
          <w:rFonts w:ascii="Calibri" w:hAnsi="Calibri"/>
          <w:color w:val="auto"/>
        </w:rPr>
      </w:pPr>
      <w:r>
        <w:rPr>
          <w:rFonts w:hint="eastAsia"/>
          <w:b/>
          <w:bCs/>
          <w:color w:val="auto"/>
        </w:rPr>
        <w:t>2</w:t>
      </w:r>
      <w:r>
        <w:rPr>
          <w:b/>
          <w:bCs/>
          <w:color w:val="auto"/>
        </w:rPr>
        <w:t>.</w:t>
      </w:r>
      <w:r>
        <w:rPr>
          <w:rFonts w:hint="eastAsia"/>
          <w:b/>
          <w:bCs/>
          <w:color w:val="auto"/>
        </w:rPr>
        <w:t>1</w:t>
      </w:r>
      <w:r>
        <w:rPr>
          <w:b/>
          <w:bCs/>
          <w:color w:val="auto"/>
        </w:rPr>
        <w:t>.2</w:t>
      </w:r>
      <w:r>
        <w:rPr>
          <w:rFonts w:ascii="Calibri" w:hAnsi="Calibri"/>
          <w:color w:val="auto"/>
        </w:rPr>
        <w:t xml:space="preserve">  </w:t>
      </w:r>
      <w:bookmarkStart w:id="32" w:name="_Hlk141629303"/>
      <w:r>
        <w:rPr>
          <w:color w:val="auto"/>
        </w:rPr>
        <w:t>超高性能混凝土-普通混凝土组合式盖板</w:t>
      </w:r>
      <w:bookmarkEnd w:id="32"/>
      <w:r>
        <w:rPr>
          <w:color w:val="auto"/>
        </w:rPr>
        <w:t xml:space="preserve"> ultra-high performance concrete-normal </w:t>
      </w:r>
      <w:r>
        <w:rPr>
          <w:rFonts w:hint="eastAsia"/>
          <w:color w:val="auto"/>
        </w:rPr>
        <w:t xml:space="preserve">strength </w:t>
      </w:r>
      <w:r>
        <w:rPr>
          <w:color w:val="auto"/>
        </w:rPr>
        <w:t xml:space="preserve">concrete composite </w:t>
      </w:r>
      <w:r>
        <w:rPr>
          <w:rFonts w:hint="eastAsia"/>
          <w:color w:val="auto"/>
        </w:rPr>
        <w:t>cover</w:t>
      </w:r>
      <w:r>
        <w:rPr>
          <w:color w:val="auto"/>
        </w:rPr>
        <w:t xml:space="preserve"> slab</w:t>
      </w:r>
    </w:p>
    <w:p w14:paraId="69FB35AE">
      <w:pPr>
        <w:pStyle w:val="326"/>
        <w:ind w:firstLine="420" w:firstLineChars="200"/>
        <w:rPr>
          <w:color w:val="auto"/>
        </w:rPr>
      </w:pPr>
      <w:r>
        <w:rPr>
          <w:color w:val="auto"/>
        </w:rPr>
        <w:t>一种由超高性能混凝土倒“T”/“π”形预制梁及上浇普通混凝土组成的组合式盖板结构，简称UHPC-N</w:t>
      </w:r>
      <w:r>
        <w:rPr>
          <w:rFonts w:hint="eastAsia"/>
          <w:color w:val="auto"/>
        </w:rPr>
        <w:t>S</w:t>
      </w:r>
      <w:r>
        <w:rPr>
          <w:color w:val="auto"/>
        </w:rPr>
        <w:t>C组合式盖板。</w:t>
      </w:r>
    </w:p>
    <w:p w14:paraId="65474AD2">
      <w:pPr>
        <w:pStyle w:val="326"/>
        <w:rPr>
          <w:color w:val="auto"/>
        </w:rPr>
      </w:pPr>
      <w:r>
        <w:rPr>
          <w:rFonts w:hint="eastAsia"/>
          <w:b/>
          <w:bCs/>
          <w:color w:val="auto"/>
        </w:rPr>
        <w:t>2.1.</w:t>
      </w:r>
      <w:r>
        <w:rPr>
          <w:b/>
          <w:bCs/>
          <w:color w:val="auto"/>
        </w:rPr>
        <w:t>3</w:t>
      </w:r>
      <w:r>
        <w:rPr>
          <w:rFonts w:hint="eastAsia"/>
          <w:color w:val="auto"/>
        </w:rPr>
        <w:t xml:space="preserve"> </w:t>
      </w:r>
      <w:r>
        <w:rPr>
          <w:color w:val="auto"/>
        </w:rPr>
        <w:t xml:space="preserve"> </w:t>
      </w:r>
      <w:r>
        <w:rPr>
          <w:rFonts w:hint="eastAsia"/>
          <w:color w:val="auto"/>
        </w:rPr>
        <w:t>钢纤维体积率</w:t>
      </w:r>
      <w:r>
        <w:rPr>
          <w:color w:val="auto"/>
        </w:rPr>
        <w:t xml:space="preserve"> steel fiber volume fraction</w:t>
      </w:r>
    </w:p>
    <w:p w14:paraId="7B0E48BB">
      <w:pPr>
        <w:pStyle w:val="326"/>
        <w:ind w:firstLine="420" w:firstLineChars="200"/>
        <w:rPr>
          <w:color w:val="auto"/>
        </w:rPr>
      </w:pPr>
      <w:r>
        <w:rPr>
          <w:rFonts w:hint="eastAsia" w:ascii="Calibri" w:hAnsi="Calibri"/>
          <w:color w:val="auto"/>
        </w:rPr>
        <w:t>钢纤维所占超高性能混凝土的体积百分比</w:t>
      </w:r>
      <w:r>
        <w:rPr>
          <w:rFonts w:hint="eastAsia"/>
          <w:color w:val="auto"/>
        </w:rPr>
        <w:t>。</w:t>
      </w:r>
    </w:p>
    <w:p w14:paraId="6E092418">
      <w:pPr>
        <w:pStyle w:val="326"/>
        <w:rPr>
          <w:color w:val="auto"/>
        </w:rPr>
      </w:pPr>
      <w:r>
        <w:rPr>
          <w:rFonts w:hint="eastAsia"/>
          <w:b/>
          <w:bCs/>
          <w:color w:val="auto"/>
        </w:rPr>
        <w:t>2</w:t>
      </w:r>
      <w:r>
        <w:rPr>
          <w:b/>
          <w:bCs/>
          <w:color w:val="auto"/>
        </w:rPr>
        <w:t>.</w:t>
      </w:r>
      <w:r>
        <w:rPr>
          <w:rFonts w:hint="eastAsia"/>
          <w:b/>
          <w:bCs/>
          <w:color w:val="auto"/>
        </w:rPr>
        <w:t>1</w:t>
      </w:r>
      <w:r>
        <w:rPr>
          <w:b/>
          <w:bCs/>
          <w:color w:val="auto"/>
        </w:rPr>
        <w:t>.4</w:t>
      </w:r>
      <w:r>
        <w:rPr>
          <w:color w:val="auto"/>
        </w:rPr>
        <w:t xml:space="preserve">  弹性极限抗拉强度 elastic limit tensile strength </w:t>
      </w:r>
    </w:p>
    <w:p w14:paraId="6FBA97CA">
      <w:pPr>
        <w:pStyle w:val="326"/>
        <w:ind w:firstLine="420" w:firstLineChars="200"/>
        <w:rPr>
          <w:color w:val="auto"/>
        </w:rPr>
      </w:pPr>
      <w:r>
        <w:rPr>
          <w:rFonts w:ascii="Calibri" w:hAnsi="Calibri"/>
          <w:color w:val="auto"/>
        </w:rPr>
        <w:t>轴拉试件达到弹性极限点时对应的拉应力</w:t>
      </w:r>
      <w:r>
        <w:rPr>
          <w:color w:val="auto"/>
        </w:rPr>
        <w:t>，也称为初裂抗拉强度</w:t>
      </w:r>
      <w:r>
        <w:rPr>
          <w:rFonts w:hint="eastAsia"/>
          <w:color w:val="auto"/>
        </w:rPr>
        <w:t>。</w:t>
      </w:r>
    </w:p>
    <w:p w14:paraId="645E0FF3">
      <w:pPr>
        <w:pStyle w:val="326"/>
        <w:rPr>
          <w:color w:val="auto"/>
        </w:rPr>
      </w:pPr>
      <w:r>
        <w:rPr>
          <w:b/>
          <w:bCs/>
          <w:color w:val="auto"/>
        </w:rPr>
        <w:t>2.</w:t>
      </w:r>
      <w:r>
        <w:rPr>
          <w:rFonts w:hint="eastAsia"/>
          <w:b/>
          <w:bCs/>
          <w:color w:val="auto"/>
        </w:rPr>
        <w:t>1</w:t>
      </w:r>
      <w:r>
        <w:rPr>
          <w:b/>
          <w:bCs/>
          <w:color w:val="auto"/>
        </w:rPr>
        <w:t>.5</w:t>
      </w:r>
      <w:r>
        <w:rPr>
          <w:color w:val="auto"/>
        </w:rPr>
        <w:t xml:space="preserve">  应变硬化 strain hardening</w:t>
      </w:r>
    </w:p>
    <w:p w14:paraId="0796C8F4">
      <w:pPr>
        <w:pStyle w:val="326"/>
        <w:ind w:firstLine="420" w:firstLineChars="200"/>
        <w:rPr>
          <w:color w:val="auto"/>
        </w:rPr>
      </w:pPr>
      <w:r>
        <w:rPr>
          <w:rFonts w:hint="eastAsia" w:ascii="Calibri" w:hAnsi="Calibri"/>
          <w:color w:val="auto"/>
        </w:rPr>
        <w:t>当拉应力超过弹性极限抗拉强度后</w:t>
      </w:r>
      <w:r>
        <w:rPr>
          <w:rFonts w:hint="eastAsia"/>
          <w:color w:val="auto"/>
        </w:rPr>
        <w:t>，拉应力随应变增大而无明显下降的现象。</w:t>
      </w:r>
    </w:p>
    <w:p w14:paraId="3EA7ECCB">
      <w:pPr>
        <w:pStyle w:val="326"/>
        <w:rPr>
          <w:color w:val="auto"/>
        </w:rPr>
      </w:pPr>
      <w:r>
        <w:rPr>
          <w:b/>
          <w:bCs/>
          <w:color w:val="auto"/>
        </w:rPr>
        <w:t>2.</w:t>
      </w:r>
      <w:r>
        <w:rPr>
          <w:rFonts w:hint="eastAsia"/>
          <w:b/>
          <w:bCs/>
          <w:color w:val="auto"/>
        </w:rPr>
        <w:t>1</w:t>
      </w:r>
      <w:r>
        <w:rPr>
          <w:b/>
          <w:bCs/>
          <w:color w:val="auto"/>
        </w:rPr>
        <w:t>.6</w:t>
      </w:r>
      <w:r>
        <w:rPr>
          <w:color w:val="auto"/>
        </w:rPr>
        <w:t xml:space="preserve">  应变软化 strain softening</w:t>
      </w:r>
    </w:p>
    <w:p w14:paraId="4B33EB68">
      <w:pPr>
        <w:pStyle w:val="326"/>
        <w:ind w:firstLine="420" w:firstLineChars="200"/>
        <w:rPr>
          <w:color w:val="auto"/>
        </w:rPr>
      </w:pPr>
      <w:r>
        <w:rPr>
          <w:rFonts w:hint="eastAsia" w:ascii="Calibri" w:hAnsi="Calibri"/>
          <w:color w:val="auto"/>
        </w:rPr>
        <w:t>当拉应力超过弹性极限抗拉强度后</w:t>
      </w:r>
      <w:r>
        <w:rPr>
          <w:rFonts w:hint="eastAsia"/>
          <w:color w:val="auto"/>
        </w:rPr>
        <w:t>，拉应力随应变增大而持续下降的现象。</w:t>
      </w:r>
    </w:p>
    <w:p w14:paraId="21DACF72">
      <w:pPr>
        <w:pStyle w:val="326"/>
        <w:rPr>
          <w:color w:val="auto"/>
        </w:rPr>
      </w:pPr>
      <w:r>
        <w:rPr>
          <w:b/>
          <w:bCs/>
          <w:color w:val="auto"/>
        </w:rPr>
        <w:t>2.</w:t>
      </w:r>
      <w:r>
        <w:rPr>
          <w:rFonts w:hint="eastAsia"/>
          <w:b/>
          <w:bCs/>
          <w:color w:val="auto"/>
        </w:rPr>
        <w:t>1</w:t>
      </w:r>
      <w:r>
        <w:rPr>
          <w:b/>
          <w:bCs/>
          <w:color w:val="auto"/>
        </w:rPr>
        <w:t xml:space="preserve">.7  </w:t>
      </w:r>
      <w:r>
        <w:rPr>
          <w:color w:val="auto"/>
        </w:rPr>
        <w:t>极限抗拉强度 ultimate tensile strength</w:t>
      </w:r>
    </w:p>
    <w:p w14:paraId="62551A02">
      <w:pPr>
        <w:pStyle w:val="326"/>
        <w:ind w:firstLine="420" w:firstLineChars="200"/>
        <w:rPr>
          <w:color w:val="auto"/>
        </w:rPr>
      </w:pPr>
      <w:r>
        <w:rPr>
          <w:rFonts w:hint="eastAsia" w:ascii="Calibri" w:hAnsi="Calibri"/>
          <w:color w:val="auto"/>
        </w:rPr>
        <w:t>单轴拉伸为应变硬化时所对应的最大拉应力</w:t>
      </w:r>
      <w:r>
        <w:rPr>
          <w:rFonts w:hint="eastAsia"/>
          <w:color w:val="auto"/>
        </w:rPr>
        <w:t>，或单轴拉伸为应变软化时，达</w:t>
      </w:r>
      <w:r>
        <w:rPr>
          <w:rFonts w:hint="eastAsia" w:ascii="Calibri" w:hAnsi="Calibri"/>
          <w:color w:val="auto"/>
        </w:rPr>
        <w:t>到规定应变或变形量时所对应的拉应力</w:t>
      </w:r>
      <w:r>
        <w:rPr>
          <w:rFonts w:hint="eastAsia"/>
          <w:color w:val="auto"/>
        </w:rPr>
        <w:t>。</w:t>
      </w:r>
    </w:p>
    <w:p w14:paraId="75D3B782">
      <w:pPr>
        <w:pStyle w:val="326"/>
        <w:rPr>
          <w:color w:val="auto"/>
        </w:rPr>
      </w:pPr>
      <w:r>
        <w:rPr>
          <w:b/>
          <w:bCs/>
          <w:color w:val="auto"/>
        </w:rPr>
        <w:t>2.</w:t>
      </w:r>
      <w:r>
        <w:rPr>
          <w:rFonts w:hint="eastAsia"/>
          <w:b/>
          <w:bCs/>
          <w:color w:val="auto"/>
        </w:rPr>
        <w:t>1</w:t>
      </w:r>
      <w:r>
        <w:rPr>
          <w:b/>
          <w:bCs/>
          <w:color w:val="auto"/>
        </w:rPr>
        <w:t xml:space="preserve">.8 </w:t>
      </w:r>
      <w:r>
        <w:rPr>
          <w:color w:val="auto"/>
        </w:rPr>
        <w:t xml:space="preserve"> </w:t>
      </w:r>
      <w:r>
        <w:rPr>
          <w:rFonts w:hint="eastAsia"/>
          <w:color w:val="auto"/>
        </w:rPr>
        <w:t>钢</w:t>
      </w:r>
      <w:r>
        <w:rPr>
          <w:color w:val="auto"/>
        </w:rPr>
        <w:t>纤维取向系数 fiber orientation coefficient</w:t>
      </w:r>
    </w:p>
    <w:p w14:paraId="5633EEEF">
      <w:pPr>
        <w:pStyle w:val="326"/>
        <w:ind w:firstLine="420" w:firstLineChars="200"/>
        <w:rPr>
          <w:color w:val="auto"/>
        </w:rPr>
      </w:pPr>
      <w:r>
        <w:rPr>
          <w:rFonts w:hint="eastAsia" w:ascii="Calibri" w:hAnsi="Calibri"/>
          <w:color w:val="auto"/>
        </w:rPr>
        <w:t>表示纤维取向效应对超高性能混凝土受拉开裂后力学性能的影响系数</w:t>
      </w:r>
      <w:r>
        <w:rPr>
          <w:rFonts w:hint="eastAsia"/>
          <w:color w:val="auto"/>
        </w:rPr>
        <w:t>。</w:t>
      </w:r>
    </w:p>
    <w:p w14:paraId="216238A4">
      <w:pPr>
        <w:pStyle w:val="326"/>
        <w:rPr>
          <w:color w:val="auto"/>
        </w:rPr>
      </w:pPr>
      <w:r>
        <w:rPr>
          <w:b/>
          <w:bCs/>
          <w:color w:val="auto"/>
        </w:rPr>
        <w:t>2.</w:t>
      </w:r>
      <w:r>
        <w:rPr>
          <w:rFonts w:hint="eastAsia"/>
          <w:b/>
          <w:bCs/>
          <w:color w:val="auto"/>
        </w:rPr>
        <w:t>1</w:t>
      </w:r>
      <w:r>
        <w:rPr>
          <w:b/>
          <w:bCs/>
          <w:color w:val="auto"/>
        </w:rPr>
        <w:t xml:space="preserve">.9 </w:t>
      </w:r>
      <w:r>
        <w:rPr>
          <w:rFonts w:hint="eastAsia"/>
          <w:b/>
          <w:bCs/>
          <w:color w:val="auto"/>
        </w:rPr>
        <w:t xml:space="preserve"> </w:t>
      </w:r>
      <w:r>
        <w:rPr>
          <w:color w:val="auto"/>
        </w:rPr>
        <w:t xml:space="preserve">整体纤维取向系数 fiber orientation coefficient associated with global effects </w:t>
      </w:r>
    </w:p>
    <w:p w14:paraId="5023C20B">
      <w:pPr>
        <w:pStyle w:val="326"/>
        <w:ind w:firstLine="420" w:firstLineChars="200"/>
        <w:rPr>
          <w:color w:val="auto"/>
        </w:rPr>
      </w:pPr>
      <w:r>
        <w:rPr>
          <w:rFonts w:hint="eastAsia" w:ascii="Calibri" w:hAnsi="Calibri"/>
          <w:color w:val="auto"/>
        </w:rPr>
        <w:t>表示较大区域内应力不受局部缺陷影响</w:t>
      </w:r>
      <w:r>
        <w:rPr>
          <w:rFonts w:hint="eastAsia"/>
          <w:color w:val="auto"/>
        </w:rPr>
        <w:t>，与整体效应相关的纤维取向系数。</w:t>
      </w:r>
    </w:p>
    <w:p w14:paraId="06D8115E">
      <w:pPr>
        <w:pStyle w:val="326"/>
        <w:rPr>
          <w:color w:val="auto"/>
        </w:rPr>
      </w:pPr>
      <w:r>
        <w:rPr>
          <w:b/>
          <w:bCs/>
          <w:color w:val="auto"/>
        </w:rPr>
        <w:t>2.</w:t>
      </w:r>
      <w:r>
        <w:rPr>
          <w:rFonts w:hint="eastAsia"/>
          <w:b/>
          <w:bCs/>
          <w:color w:val="auto"/>
        </w:rPr>
        <w:t>1</w:t>
      </w:r>
      <w:r>
        <w:rPr>
          <w:b/>
          <w:bCs/>
          <w:color w:val="auto"/>
        </w:rPr>
        <w:t>.10</w:t>
      </w:r>
      <w:r>
        <w:rPr>
          <w:color w:val="auto"/>
        </w:rPr>
        <w:t xml:space="preserve">  局部</w:t>
      </w:r>
      <w:r>
        <w:rPr>
          <w:rFonts w:hint="eastAsia"/>
          <w:color w:val="auto"/>
        </w:rPr>
        <w:t>钢</w:t>
      </w:r>
      <w:r>
        <w:rPr>
          <w:color w:val="auto"/>
        </w:rPr>
        <w:t>纤维取向系数 fiber orientation coefficient associated with local effects</w:t>
      </w:r>
    </w:p>
    <w:p w14:paraId="2A1EEFCF">
      <w:pPr>
        <w:pStyle w:val="326"/>
        <w:ind w:firstLine="420" w:firstLineChars="200"/>
        <w:rPr>
          <w:color w:val="auto"/>
        </w:rPr>
      </w:pPr>
      <w:r>
        <w:rPr>
          <w:rFonts w:hint="eastAsia" w:ascii="Calibri" w:hAnsi="Calibri"/>
          <w:color w:val="auto"/>
        </w:rPr>
        <w:t>表示局部区域内应力受局部缺陷影响</w:t>
      </w:r>
      <w:r>
        <w:rPr>
          <w:rFonts w:hint="eastAsia"/>
          <w:color w:val="auto"/>
        </w:rPr>
        <w:t>，与局部效应相关的纤维取向系数。</w:t>
      </w:r>
    </w:p>
    <w:p w14:paraId="7FE29590">
      <w:pPr>
        <w:pStyle w:val="326"/>
        <w:rPr>
          <w:color w:val="auto"/>
        </w:rPr>
      </w:pPr>
      <w:r>
        <w:rPr>
          <w:b/>
          <w:bCs/>
          <w:color w:val="auto"/>
        </w:rPr>
        <w:t>2.</w:t>
      </w:r>
      <w:r>
        <w:rPr>
          <w:rFonts w:hint="eastAsia"/>
          <w:b/>
          <w:bCs/>
          <w:color w:val="auto"/>
        </w:rPr>
        <w:t>1</w:t>
      </w:r>
      <w:r>
        <w:rPr>
          <w:b/>
          <w:bCs/>
          <w:color w:val="auto"/>
        </w:rPr>
        <w:t>.1</w:t>
      </w:r>
      <w:r>
        <w:rPr>
          <w:rFonts w:hint="eastAsia"/>
          <w:b/>
          <w:bCs/>
          <w:color w:val="auto"/>
        </w:rPr>
        <w:t>1</w:t>
      </w:r>
      <w:r>
        <w:rPr>
          <w:b/>
          <w:bCs/>
          <w:color w:val="auto"/>
        </w:rPr>
        <w:t xml:space="preserve">  </w:t>
      </w:r>
      <w:r>
        <w:rPr>
          <w:rFonts w:hint="eastAsia"/>
          <w:color w:val="auto"/>
        </w:rPr>
        <w:t>界面抗剪钢筋 in</w:t>
      </w:r>
      <w:r>
        <w:rPr>
          <w:color w:val="auto"/>
        </w:rPr>
        <w:t>terfacial shear-resistance rebar</w:t>
      </w:r>
    </w:p>
    <w:p w14:paraId="3290AC73">
      <w:pPr>
        <w:pStyle w:val="326"/>
        <w:ind w:firstLine="420" w:firstLineChars="200"/>
        <w:rPr>
          <w:color w:val="auto"/>
        </w:rPr>
      </w:pPr>
      <w:r>
        <w:rPr>
          <w:rFonts w:hint="eastAsia" w:ascii="Calibri" w:hAnsi="Calibri"/>
          <w:color w:val="auto"/>
        </w:rPr>
        <w:t>在预制超高性能混凝土板中设置垂直于板体的界面抗剪钢筋，以抵抗超高性能混凝土</w:t>
      </w:r>
      <w:r>
        <w:rPr>
          <w:rFonts w:ascii="Calibri" w:hAnsi="Calibri"/>
          <w:color w:val="auto"/>
        </w:rPr>
        <w:t>-普通混凝土组合式盖板</w:t>
      </w:r>
      <w:r>
        <w:rPr>
          <w:rFonts w:hint="eastAsia" w:ascii="Calibri" w:hAnsi="Calibri"/>
          <w:color w:val="auto"/>
        </w:rPr>
        <w:t>结构在受弯荷载作用下的层间剪切滑移和竖向掀起，达到确保</w:t>
      </w:r>
      <w:r>
        <w:rPr>
          <w:rFonts w:ascii="Calibri" w:hAnsi="Calibri"/>
          <w:color w:val="auto"/>
        </w:rPr>
        <w:t>组合式盖板结构</w:t>
      </w:r>
      <w:r>
        <w:rPr>
          <w:rFonts w:hint="eastAsia" w:ascii="Calibri" w:hAnsi="Calibri"/>
          <w:color w:val="auto"/>
        </w:rPr>
        <w:t>中超高性能混凝土与普通混凝土共同受力的目的。</w:t>
      </w:r>
    </w:p>
    <w:p w14:paraId="73348A6C">
      <w:pPr>
        <w:pStyle w:val="326"/>
        <w:rPr>
          <w:color w:val="auto"/>
        </w:rPr>
      </w:pPr>
      <w:bookmarkStart w:id="33" w:name="_Hlk141629081"/>
      <w:r>
        <w:rPr>
          <w:b/>
          <w:bCs/>
          <w:color w:val="auto"/>
        </w:rPr>
        <w:t>2.</w:t>
      </w:r>
      <w:r>
        <w:rPr>
          <w:rFonts w:hint="eastAsia"/>
          <w:b/>
          <w:bCs/>
          <w:color w:val="auto"/>
        </w:rPr>
        <w:t>1</w:t>
      </w:r>
      <w:r>
        <w:rPr>
          <w:b/>
          <w:bCs/>
          <w:color w:val="auto"/>
        </w:rPr>
        <w:t>.1</w:t>
      </w:r>
      <w:r>
        <w:rPr>
          <w:rFonts w:hint="eastAsia"/>
          <w:b/>
          <w:bCs/>
          <w:color w:val="auto"/>
        </w:rPr>
        <w:t>2</w:t>
      </w:r>
      <w:r>
        <w:rPr>
          <w:color w:val="auto"/>
        </w:rPr>
        <w:t xml:space="preserve"> </w:t>
      </w:r>
      <w:bookmarkEnd w:id="33"/>
      <w:r>
        <w:rPr>
          <w:color w:val="auto"/>
        </w:rPr>
        <w:t xml:space="preserve"> 标准蒸汽养护 standard steam curing</w:t>
      </w:r>
    </w:p>
    <w:p w14:paraId="41AF387C">
      <w:pPr>
        <w:pStyle w:val="326"/>
        <w:ind w:firstLine="420" w:firstLineChars="200"/>
        <w:rPr>
          <w:color w:val="auto"/>
        </w:rPr>
      </w:pPr>
      <w:r>
        <w:rPr>
          <w:rFonts w:hint="eastAsia" w:ascii="Calibri" w:hAnsi="Calibri"/>
          <w:color w:val="auto"/>
        </w:rPr>
        <w:t>浇筑的超高性能混凝土试件在温度为</w:t>
      </w:r>
      <w:r>
        <w:rPr>
          <w:color w:val="auto"/>
        </w:rPr>
        <w:t xml:space="preserve"> 20℃±5℃、相对湿度大于 50%的室内</w:t>
      </w:r>
      <w:r>
        <w:rPr>
          <w:rFonts w:hint="eastAsia"/>
          <w:color w:val="auto"/>
        </w:rPr>
        <w:t>静置</w:t>
      </w:r>
      <w:r>
        <w:rPr>
          <w:color w:val="auto"/>
        </w:rPr>
        <w:t xml:space="preserve"> 1d</w:t>
      </w:r>
      <w:r>
        <w:rPr>
          <w:rFonts w:hint="eastAsia"/>
          <w:color w:val="auto"/>
          <w:lang w:eastAsia="zh-CN"/>
        </w:rPr>
        <w:t>～</w:t>
      </w:r>
      <w:r>
        <w:rPr>
          <w:color w:val="auto"/>
        </w:rPr>
        <w:t>2d 后脱模，将脱模后的试件放入蒸汽养护箱，以不大于 15℃/h 的速率</w:t>
      </w:r>
      <w:r>
        <w:rPr>
          <w:rFonts w:hint="eastAsia"/>
          <w:color w:val="auto"/>
        </w:rPr>
        <w:t>升温至</w:t>
      </w:r>
      <w:r>
        <w:rPr>
          <w:color w:val="auto"/>
        </w:rPr>
        <w:t xml:space="preserve"> 90℃，持续养护 48h，然后以不大于 15℃/h 的速率降温至室温，待试件</w:t>
      </w:r>
      <w:r>
        <w:rPr>
          <w:rFonts w:hint="eastAsia"/>
          <w:color w:val="auto"/>
        </w:rPr>
        <w:t>冷却至室温后从蒸汽养护箱中取出的养护过程。</w:t>
      </w:r>
    </w:p>
    <w:p w14:paraId="7A16D292">
      <w:pPr>
        <w:pStyle w:val="326"/>
        <w:ind w:firstLine="420" w:firstLineChars="200"/>
        <w:rPr>
          <w:color w:val="auto"/>
        </w:rPr>
      </w:pPr>
    </w:p>
    <w:p w14:paraId="58992FF6">
      <w:pPr>
        <w:pStyle w:val="326"/>
        <w:rPr>
          <w:b/>
          <w:bCs/>
          <w:color w:val="auto"/>
        </w:rPr>
      </w:pPr>
      <w:r>
        <w:rPr>
          <w:rFonts w:hint="eastAsia"/>
          <w:b/>
          <w:bCs/>
          <w:color w:val="auto"/>
        </w:rPr>
        <w:t>2.2  符号</w:t>
      </w:r>
    </w:p>
    <w:p w14:paraId="1CB09744">
      <w:pPr>
        <w:pStyle w:val="326"/>
        <w:rPr>
          <w:b/>
          <w:bCs/>
          <w:color w:val="auto"/>
        </w:rPr>
      </w:pPr>
      <w:r>
        <w:rPr>
          <w:rFonts w:hint="eastAsia"/>
          <w:b/>
          <w:bCs/>
          <w:color w:val="auto"/>
        </w:rPr>
        <w:t>2.2.1  材料性能有关符号</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4"/>
        <w:gridCol w:w="6818"/>
      </w:tblGrid>
      <w:tr w14:paraId="6A076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3E908EEB">
            <w:pPr>
              <w:pStyle w:val="326"/>
              <w:jc w:val="right"/>
              <w:textAlignment w:val="auto"/>
              <w:rPr>
                <w:b/>
                <w:bCs/>
                <w:color w:val="auto"/>
              </w:rPr>
            </w:pPr>
            <w:r>
              <w:rPr>
                <w:rFonts w:hint="eastAsia"/>
                <w:color w:val="auto"/>
                <w:position w:val="-14"/>
              </w:rPr>
              <w:object>
                <v:shape id="_x0000_i1025" o:spt="75" type="#_x0000_t75" style="height:19pt;width:18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r>
              <w:rPr>
                <w:rFonts w:hint="eastAsia"/>
                <w:color w:val="auto"/>
              </w:rPr>
              <w:t>、</w:t>
            </w:r>
            <w:r>
              <w:rPr>
                <w:rFonts w:hint="eastAsia"/>
                <w:color w:val="auto"/>
                <w:position w:val="-14"/>
              </w:rPr>
              <w:object>
                <v:shape id="_x0000_i1026" o:spt="75" type="#_x0000_t75" style="height:19pt;width:19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p>
        </w:tc>
        <w:tc>
          <w:tcPr>
            <w:tcW w:w="4000" w:type="pct"/>
            <w:vAlign w:val="center"/>
          </w:tcPr>
          <w:p w14:paraId="4AC7B213">
            <w:pPr>
              <w:pStyle w:val="326"/>
              <w:textAlignment w:val="auto"/>
              <w:rPr>
                <w:b/>
                <w:bCs/>
                <w:color w:val="auto"/>
              </w:rPr>
            </w:pPr>
            <w:r>
              <w:rPr>
                <w:rFonts w:hint="eastAsia"/>
                <w:color w:val="auto"/>
              </w:rPr>
              <w:t>——超高性能混凝土弹性极限抗拉强度、极限抗拉强度；</w:t>
            </w:r>
          </w:p>
        </w:tc>
      </w:tr>
      <w:tr w14:paraId="54748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3835AE6B">
            <w:pPr>
              <w:pStyle w:val="326"/>
              <w:jc w:val="right"/>
              <w:textAlignment w:val="auto"/>
              <w:rPr>
                <w:b/>
                <w:bCs/>
                <w:color w:val="auto"/>
              </w:rPr>
            </w:pPr>
            <w:r>
              <w:rPr>
                <w:rFonts w:hint="eastAsia"/>
                <w:color w:val="auto"/>
                <w:position w:val="-14"/>
              </w:rPr>
              <w:object>
                <v:shape id="_x0000_i1027" o:spt="75" type="#_x0000_t75" style="height:19pt;width:31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7" r:id="rId11">
                  <o:LockedField>false</o:LockedField>
                </o:OLEObject>
              </w:object>
            </w:r>
            <w:r>
              <w:rPr>
                <w:rFonts w:hint="eastAsia"/>
                <w:color w:val="auto"/>
              </w:rPr>
              <w:t>、</w:t>
            </w:r>
            <w:r>
              <w:rPr>
                <w:rFonts w:hint="eastAsia"/>
                <w:color w:val="auto"/>
                <w:position w:val="-12"/>
              </w:rPr>
              <w:object>
                <v:shape id="_x0000_i1028" o:spt="75" type="#_x0000_t75" style="height:18pt;width:27pt;" o:ole="t" filled="f" o:preferrelative="t" stroked="f" coordsize="21600,21600">
                  <v:path/>
                  <v:fill on="f" focussize="0,0"/>
                  <v:stroke on="f" joinstyle="miter"/>
                  <v:imagedata r:id="rId14" o:title=""/>
                  <o:lock v:ext="edit" aspectratio="t"/>
                  <w10:wrap type="none"/>
                  <w10:anchorlock/>
                </v:shape>
                <o:OLEObject Type="Embed" ProgID="Equation.DSMT4" ShapeID="_x0000_i1028" DrawAspect="Content" ObjectID="_1468075728" r:id="rId13">
                  <o:LockedField>false</o:LockedField>
                </o:OLEObject>
              </w:object>
            </w:r>
          </w:p>
        </w:tc>
        <w:tc>
          <w:tcPr>
            <w:tcW w:w="4000" w:type="pct"/>
            <w:vAlign w:val="center"/>
          </w:tcPr>
          <w:p w14:paraId="7E711D0D">
            <w:pPr>
              <w:pStyle w:val="326"/>
              <w:textAlignment w:val="auto"/>
              <w:rPr>
                <w:color w:val="auto"/>
              </w:rPr>
            </w:pPr>
            <w:r>
              <w:rPr>
                <w:rFonts w:hint="eastAsia"/>
                <w:color w:val="auto"/>
              </w:rPr>
              <w:t>——超高性能混凝土整体纤维取向系数、局部纤维取向系数；</w:t>
            </w:r>
          </w:p>
        </w:tc>
      </w:tr>
      <w:tr w14:paraId="5DCB8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159D4F6F">
            <w:pPr>
              <w:pStyle w:val="326"/>
              <w:jc w:val="right"/>
              <w:textAlignment w:val="auto"/>
              <w:rPr>
                <w:b/>
                <w:bCs/>
                <w:color w:val="auto"/>
              </w:rPr>
            </w:pPr>
            <w:r>
              <w:rPr>
                <w:rFonts w:hint="eastAsia"/>
                <w:color w:val="auto"/>
                <w:position w:val="-14"/>
              </w:rPr>
              <w:object>
                <v:shape id="_x0000_i1029" o:spt="75" type="#_x0000_t75" style="height:19pt;width:26pt;" o:ole="t" filled="f" o:preferrelative="t" stroked="f" coordsize="21600,21600">
                  <v:path/>
                  <v:fill on="f" focussize="0,0"/>
                  <v:stroke on="f" joinstyle="miter"/>
                  <v:imagedata r:id="rId16" o:title=""/>
                  <o:lock v:ext="edit" aspectratio="t"/>
                  <w10:wrap type="none"/>
                  <w10:anchorlock/>
                </v:shape>
                <o:OLEObject Type="Embed" ProgID="Equation.DSMT4" ShapeID="_x0000_i1029" DrawAspect="Content" ObjectID="_1468075729" r:id="rId15">
                  <o:LockedField>false</o:LockedField>
                </o:OLEObject>
              </w:object>
            </w:r>
          </w:p>
        </w:tc>
        <w:tc>
          <w:tcPr>
            <w:tcW w:w="4000" w:type="pct"/>
            <w:vAlign w:val="center"/>
          </w:tcPr>
          <w:p w14:paraId="4EFD12EA">
            <w:pPr>
              <w:pStyle w:val="326"/>
              <w:textAlignment w:val="auto"/>
              <w:rPr>
                <w:b/>
                <w:bCs/>
                <w:color w:val="auto"/>
              </w:rPr>
            </w:pPr>
            <w:r>
              <w:rPr>
                <w:rFonts w:hint="eastAsia"/>
                <w:color w:val="auto"/>
              </w:rPr>
              <w:t>——边长为100mm的超高性能混凝土立方体抗压强度标准值；</w:t>
            </w:r>
          </w:p>
        </w:tc>
      </w:tr>
      <w:tr w14:paraId="22648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6314A612">
            <w:pPr>
              <w:pStyle w:val="326"/>
              <w:jc w:val="right"/>
              <w:textAlignment w:val="auto"/>
              <w:rPr>
                <w:b/>
                <w:bCs/>
                <w:color w:val="auto"/>
              </w:rPr>
            </w:pPr>
            <w:r>
              <w:rPr>
                <w:rFonts w:hint="eastAsia"/>
                <w:color w:val="auto"/>
                <w:position w:val="-14"/>
              </w:rPr>
              <w:object>
                <v:shape id="_x0000_i1030" o:spt="75" type="#_x0000_t75" style="height:19pt;width:20pt;" o:ole="t" filled="f" o:preferrelative="t" stroked="f" coordsize="21600,21600">
                  <v:path/>
                  <v:fill on="f" focussize="0,0"/>
                  <v:stroke on="f" joinstyle="miter"/>
                  <v:imagedata r:id="rId18" o:title=""/>
                  <o:lock v:ext="edit" aspectratio="t"/>
                  <w10:wrap type="none"/>
                  <w10:anchorlock/>
                </v:shape>
                <o:OLEObject Type="Embed" ProgID="Equation.DSMT4" ShapeID="_x0000_i1030" DrawAspect="Content" ObjectID="_1468075730" r:id="rId17">
                  <o:LockedField>false</o:LockedField>
                </o:OLEObject>
              </w:object>
            </w:r>
            <w:r>
              <w:rPr>
                <w:rFonts w:hint="eastAsia"/>
                <w:color w:val="auto"/>
              </w:rPr>
              <w:t>、</w:t>
            </w:r>
            <w:r>
              <w:rPr>
                <w:rFonts w:hint="eastAsia"/>
                <w:color w:val="auto"/>
                <w:position w:val="-14"/>
              </w:rPr>
              <w:object>
                <v:shape id="_x0000_i1031" o:spt="75" type="#_x0000_t75" style="height:19pt;width:21pt;" o:ole="t" filled="f" o:preferrelative="t" stroked="f" coordsize="21600,21600">
                  <v:path/>
                  <v:fill on="f" focussize="0,0"/>
                  <v:stroke on="f" joinstyle="miter"/>
                  <v:imagedata r:id="rId20" o:title=""/>
                  <o:lock v:ext="edit" aspectratio="t"/>
                  <w10:wrap type="none"/>
                  <w10:anchorlock/>
                </v:shape>
                <o:OLEObject Type="Embed" ProgID="Equation.DSMT4" ShapeID="_x0000_i1031" DrawAspect="Content" ObjectID="_1468075731" r:id="rId19">
                  <o:LockedField>false</o:LockedField>
                </o:OLEObject>
              </w:object>
            </w:r>
          </w:p>
        </w:tc>
        <w:tc>
          <w:tcPr>
            <w:tcW w:w="4000" w:type="pct"/>
            <w:vAlign w:val="center"/>
          </w:tcPr>
          <w:p w14:paraId="2A33DAFB">
            <w:pPr>
              <w:pStyle w:val="326"/>
              <w:textAlignment w:val="auto"/>
              <w:rPr>
                <w:color w:val="auto"/>
              </w:rPr>
            </w:pPr>
            <w:r>
              <w:rPr>
                <w:rFonts w:hint="eastAsia"/>
                <w:color w:val="auto"/>
              </w:rPr>
              <w:t>——超高性能混凝土轴心抗压强度标准值、设计值；</w:t>
            </w:r>
          </w:p>
        </w:tc>
      </w:tr>
      <w:tr w14:paraId="3B2D5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0656EF2A">
            <w:pPr>
              <w:pStyle w:val="326"/>
              <w:jc w:val="right"/>
              <w:textAlignment w:val="auto"/>
              <w:rPr>
                <w:b/>
                <w:bCs/>
                <w:color w:val="auto"/>
              </w:rPr>
            </w:pPr>
            <w:r>
              <w:rPr>
                <w:rFonts w:hint="eastAsia"/>
                <w:color w:val="auto"/>
                <w:position w:val="-14"/>
              </w:rPr>
              <w:object>
                <v:shape id="_x0000_i1032" o:spt="75" type="#_x0000_t75" style="height:19pt;width:19pt;" o:ole="t" filled="f" o:preferrelative="t" stroked="f" coordsize="21600,21600">
                  <v:path/>
                  <v:fill on="f" focussize="0,0"/>
                  <v:stroke on="f" joinstyle="miter"/>
                  <v:imagedata r:id="rId22" o:title=""/>
                  <o:lock v:ext="edit" aspectratio="t"/>
                  <w10:wrap type="none"/>
                  <w10:anchorlock/>
                </v:shape>
                <o:OLEObject Type="Embed" ProgID="Equation.DSMT4" ShapeID="_x0000_i1032" DrawAspect="Content" ObjectID="_1468075732" r:id="rId21">
                  <o:LockedField>false</o:LockedField>
                </o:OLEObject>
              </w:object>
            </w:r>
            <w:r>
              <w:rPr>
                <w:rFonts w:hint="eastAsia"/>
                <w:color w:val="auto"/>
              </w:rPr>
              <w:t>、</w:t>
            </w:r>
            <w:r>
              <w:rPr>
                <w:rFonts w:hint="eastAsia"/>
                <w:color w:val="auto"/>
                <w:position w:val="-14"/>
              </w:rPr>
              <w:object>
                <v:shape id="_x0000_i1033" o:spt="75" type="#_x0000_t75" style="height:19pt;width:19pt;" o:ole="t" filled="f" o:preferrelative="t" stroked="f" coordsize="21600,21600">
                  <v:path/>
                  <v:fill on="f" focussize="0,0"/>
                  <v:stroke on="f" joinstyle="miter"/>
                  <v:imagedata r:id="rId24" o:title=""/>
                  <o:lock v:ext="edit" aspectratio="t"/>
                  <w10:wrap type="none"/>
                  <w10:anchorlock/>
                </v:shape>
                <o:OLEObject Type="Embed" ProgID="Equation.DSMT4" ShapeID="_x0000_i1033" DrawAspect="Content" ObjectID="_1468075733" r:id="rId23">
                  <o:LockedField>false</o:LockedField>
                </o:OLEObject>
              </w:object>
            </w:r>
          </w:p>
        </w:tc>
        <w:tc>
          <w:tcPr>
            <w:tcW w:w="4000" w:type="pct"/>
            <w:vAlign w:val="center"/>
          </w:tcPr>
          <w:p w14:paraId="5021C91E">
            <w:pPr>
              <w:pStyle w:val="326"/>
              <w:textAlignment w:val="auto"/>
              <w:rPr>
                <w:color w:val="auto"/>
              </w:rPr>
            </w:pPr>
            <w:r>
              <w:rPr>
                <w:rFonts w:hint="eastAsia"/>
                <w:color w:val="auto"/>
              </w:rPr>
              <w:t>——超高性能混凝土轴心抗拉强度标准值、设计值；</w:t>
            </w:r>
          </w:p>
        </w:tc>
      </w:tr>
      <w:tr w14:paraId="62926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55DC740E">
            <w:pPr>
              <w:pStyle w:val="326"/>
              <w:jc w:val="right"/>
              <w:textAlignment w:val="auto"/>
              <w:rPr>
                <w:b/>
                <w:bCs/>
                <w:color w:val="auto"/>
              </w:rPr>
            </w:pPr>
            <w:r>
              <w:rPr>
                <w:rFonts w:hint="eastAsia"/>
                <w:color w:val="auto"/>
                <w:position w:val="-14"/>
              </w:rPr>
              <w:object>
                <v:shape id="_x0000_i1034" o:spt="75" type="#_x0000_t75" style="height:19pt;width:18pt;" o:ole="t" filled="f" o:preferrelative="t" stroked="f" coordsize="21600,21600">
                  <v:path/>
                  <v:fill on="f" focussize="0,0"/>
                  <v:stroke on="f" joinstyle="miter"/>
                  <v:imagedata r:id="rId26" o:title=""/>
                  <o:lock v:ext="edit" aspectratio="t"/>
                  <w10:wrap type="none"/>
                  <w10:anchorlock/>
                </v:shape>
                <o:OLEObject Type="Embed" ProgID="Equation.DSMT4" ShapeID="_x0000_i1034" DrawAspect="Content" ObjectID="_1468075734" r:id="rId25">
                  <o:LockedField>false</o:LockedField>
                </o:OLEObject>
              </w:object>
            </w:r>
          </w:p>
        </w:tc>
        <w:tc>
          <w:tcPr>
            <w:tcW w:w="4000" w:type="pct"/>
            <w:vAlign w:val="center"/>
          </w:tcPr>
          <w:p w14:paraId="055D2CF5">
            <w:pPr>
              <w:pStyle w:val="326"/>
              <w:textAlignment w:val="auto"/>
              <w:rPr>
                <w:b/>
                <w:bCs/>
                <w:color w:val="auto"/>
              </w:rPr>
            </w:pPr>
            <w:r>
              <w:rPr>
                <w:rFonts w:hint="eastAsia"/>
                <w:color w:val="auto"/>
              </w:rPr>
              <w:t>——</w:t>
            </w:r>
            <w:r>
              <w:rPr>
                <w:rFonts w:hint="eastAsia"/>
                <w:color w:val="auto"/>
                <w:szCs w:val="21"/>
              </w:rPr>
              <w:t>超高性能混凝土弹性模量；</w:t>
            </w:r>
          </w:p>
        </w:tc>
      </w:tr>
      <w:tr w14:paraId="1E64B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268921D0">
            <w:pPr>
              <w:pStyle w:val="326"/>
              <w:jc w:val="right"/>
              <w:textAlignment w:val="auto"/>
              <w:rPr>
                <w:b/>
                <w:bCs/>
                <w:color w:val="auto"/>
              </w:rPr>
            </w:pPr>
            <w:r>
              <w:rPr>
                <w:rFonts w:hint="eastAsia"/>
                <w:color w:val="auto"/>
                <w:position w:val="-12"/>
              </w:rPr>
              <w:object>
                <v:shape id="_x0000_i1035" o:spt="75" type="#_x0000_t75" style="height:18pt;width:15pt;" o:ole="t" filled="f" o:preferrelative="t" stroked="f" coordsize="21600,21600">
                  <v:path/>
                  <v:fill on="f" focussize="0,0"/>
                  <v:stroke on="f" joinstyle="miter"/>
                  <v:imagedata r:id="rId28" o:title=""/>
                  <o:lock v:ext="edit" aspectratio="t"/>
                  <w10:wrap type="none"/>
                  <w10:anchorlock/>
                </v:shape>
                <o:OLEObject Type="Embed" ProgID="Equation.DSMT4" ShapeID="_x0000_i1035" DrawAspect="Content" ObjectID="_1468075735" r:id="rId27">
                  <o:LockedField>false</o:LockedField>
                </o:OLEObject>
              </w:object>
            </w:r>
          </w:p>
        </w:tc>
        <w:tc>
          <w:tcPr>
            <w:tcW w:w="4000" w:type="pct"/>
            <w:vAlign w:val="center"/>
          </w:tcPr>
          <w:p w14:paraId="75E2F1D7">
            <w:pPr>
              <w:pStyle w:val="326"/>
              <w:textAlignment w:val="auto"/>
              <w:rPr>
                <w:color w:val="auto"/>
                <w:szCs w:val="21"/>
              </w:rPr>
            </w:pPr>
            <w:r>
              <w:rPr>
                <w:rFonts w:hint="eastAsia"/>
                <w:color w:val="auto"/>
              </w:rPr>
              <w:t>——</w:t>
            </w:r>
            <w:r>
              <w:rPr>
                <w:rFonts w:hint="eastAsia"/>
                <w:color w:val="auto"/>
                <w:szCs w:val="21"/>
              </w:rPr>
              <w:t>超高性能混凝土泊松比；</w:t>
            </w:r>
          </w:p>
        </w:tc>
      </w:tr>
      <w:tr w14:paraId="126D3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18E710FC">
            <w:pPr>
              <w:pStyle w:val="326"/>
              <w:jc w:val="right"/>
              <w:textAlignment w:val="auto"/>
              <w:rPr>
                <w:b/>
                <w:bCs/>
                <w:color w:val="auto"/>
              </w:rPr>
            </w:pPr>
            <w:r>
              <w:rPr>
                <w:rFonts w:hint="eastAsia"/>
                <w:color w:val="auto"/>
                <w:position w:val="-12"/>
              </w:rPr>
              <w:object>
                <v:shape id="_x0000_i1036" o:spt="75" type="#_x0000_t75" style="height:18pt;width:15pt;" o:ole="t" filled="f" o:preferrelative="t" stroked="f" coordsize="21600,21600">
                  <v:path/>
                  <v:fill on="f" focussize="0,0"/>
                  <v:stroke on="f" joinstyle="miter"/>
                  <v:imagedata r:id="rId30" o:title=""/>
                  <o:lock v:ext="edit" aspectratio="t"/>
                  <w10:wrap type="none"/>
                  <w10:anchorlock/>
                </v:shape>
                <o:OLEObject Type="Embed" ProgID="Equation.DSMT4" ShapeID="_x0000_i1036" DrawAspect="Content" ObjectID="_1468075736" r:id="rId29">
                  <o:LockedField>false</o:LockedField>
                </o:OLEObject>
              </w:object>
            </w:r>
          </w:p>
        </w:tc>
        <w:tc>
          <w:tcPr>
            <w:tcW w:w="4000" w:type="pct"/>
            <w:vAlign w:val="center"/>
          </w:tcPr>
          <w:p w14:paraId="738362AB">
            <w:pPr>
              <w:pStyle w:val="326"/>
              <w:textAlignment w:val="auto"/>
              <w:rPr>
                <w:color w:val="auto"/>
                <w:szCs w:val="21"/>
              </w:rPr>
            </w:pPr>
            <w:r>
              <w:rPr>
                <w:rFonts w:hint="eastAsia"/>
                <w:color w:val="auto"/>
              </w:rPr>
              <w:t>——</w:t>
            </w:r>
            <w:r>
              <w:rPr>
                <w:rFonts w:hint="eastAsia"/>
                <w:color w:val="auto"/>
                <w:szCs w:val="21"/>
              </w:rPr>
              <w:t>超高性能混凝土温度线膨胀系数；</w:t>
            </w:r>
          </w:p>
        </w:tc>
      </w:tr>
      <w:tr w14:paraId="2FF18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024F6052">
            <w:pPr>
              <w:pStyle w:val="326"/>
              <w:jc w:val="right"/>
              <w:textAlignment w:val="auto"/>
              <w:rPr>
                <w:b/>
                <w:bCs/>
                <w:color w:val="auto"/>
              </w:rPr>
            </w:pPr>
            <w:r>
              <w:rPr>
                <w:rFonts w:hint="eastAsia"/>
                <w:color w:val="auto"/>
                <w:position w:val="-14"/>
              </w:rPr>
              <w:object>
                <v:shape id="_x0000_i1037" o:spt="75" type="#_x0000_t75" style="height:19pt;width:13.95pt;" o:ole="t" filled="f" o:preferrelative="t" stroked="f" coordsize="21600,21600">
                  <v:path/>
                  <v:fill on="f" focussize="0,0"/>
                  <v:stroke on="f" joinstyle="miter"/>
                  <v:imagedata r:id="rId32" o:title=""/>
                  <o:lock v:ext="edit" aspectratio="t"/>
                  <w10:wrap type="none"/>
                  <w10:anchorlock/>
                </v:shape>
                <o:OLEObject Type="Embed" ProgID="Equation.DSMT4" ShapeID="_x0000_i1037" DrawAspect="Content" ObjectID="_1468075737" r:id="rId31">
                  <o:LockedField>false</o:LockedField>
                </o:OLEObject>
              </w:object>
            </w:r>
            <w:r>
              <w:rPr>
                <w:rFonts w:hint="eastAsia"/>
                <w:color w:val="auto"/>
              </w:rPr>
              <w:t>、</w:t>
            </w:r>
            <w:r>
              <w:rPr>
                <w:rFonts w:hint="eastAsia"/>
                <w:color w:val="auto"/>
                <w:position w:val="-12"/>
              </w:rPr>
              <w:object>
                <v:shape id="_x0000_i1038" o:spt="75" type="#_x0000_t75" style="height:18pt;width:17pt;" o:ole="t" filled="f" o:preferrelative="t" stroked="f" coordsize="21600,21600">
                  <v:path/>
                  <v:fill on="f" focussize="0,0"/>
                  <v:stroke on="f" joinstyle="miter"/>
                  <v:imagedata r:id="rId34" o:title=""/>
                  <o:lock v:ext="edit" aspectratio="t"/>
                  <w10:wrap type="none"/>
                  <w10:anchorlock/>
                </v:shape>
                <o:OLEObject Type="Embed" ProgID="Equation.DSMT4" ShapeID="_x0000_i1038" DrawAspect="Content" ObjectID="_1468075738" r:id="rId33">
                  <o:LockedField>false</o:LockedField>
                </o:OLEObject>
              </w:object>
            </w:r>
          </w:p>
        </w:tc>
        <w:tc>
          <w:tcPr>
            <w:tcW w:w="4000" w:type="pct"/>
            <w:vAlign w:val="center"/>
          </w:tcPr>
          <w:p w14:paraId="3A2EC969">
            <w:pPr>
              <w:pStyle w:val="326"/>
              <w:textAlignment w:val="auto"/>
              <w:rPr>
                <w:color w:val="auto"/>
                <w:szCs w:val="21"/>
              </w:rPr>
            </w:pPr>
            <w:r>
              <w:rPr>
                <w:rFonts w:hint="eastAsia"/>
                <w:color w:val="auto"/>
              </w:rPr>
              <w:t>——</w:t>
            </w:r>
            <w:r>
              <w:rPr>
                <w:rFonts w:hint="eastAsia"/>
                <w:color w:val="auto"/>
                <w:szCs w:val="21"/>
              </w:rPr>
              <w:t>普通钢筋的屈服强度、抗拉强度设计值；</w:t>
            </w:r>
          </w:p>
        </w:tc>
      </w:tr>
      <w:tr w14:paraId="080F5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60D3F53D">
            <w:pPr>
              <w:pStyle w:val="326"/>
              <w:jc w:val="right"/>
              <w:textAlignment w:val="auto"/>
              <w:rPr>
                <w:b/>
                <w:bCs/>
                <w:color w:val="auto"/>
              </w:rPr>
            </w:pPr>
            <w:r>
              <w:rPr>
                <w:rFonts w:hint="eastAsia"/>
                <w:color w:val="auto"/>
                <w:position w:val="-12"/>
              </w:rPr>
              <w:object>
                <v:shape id="_x0000_i1039" o:spt="75" type="#_x0000_t75" style="height:18pt;width:20pt;" o:ole="t" filled="f" o:preferrelative="t" stroked="f" coordsize="21600,21600">
                  <v:path/>
                  <v:fill on="f" focussize="0,0"/>
                  <v:stroke on="f" joinstyle="miter"/>
                  <v:imagedata r:id="rId36" o:title=""/>
                  <o:lock v:ext="edit" aspectratio="t"/>
                  <w10:wrap type="none"/>
                  <w10:anchorlock/>
                </v:shape>
                <o:OLEObject Type="Embed" ProgID="Equation.DSMT4" ShapeID="_x0000_i1039" DrawAspect="Content" ObjectID="_1468075739" r:id="rId35">
                  <o:LockedField>false</o:LockedField>
                </o:OLEObject>
              </w:object>
            </w:r>
            <w:r>
              <w:rPr>
                <w:rFonts w:hint="eastAsia"/>
                <w:color w:val="auto"/>
              </w:rPr>
              <w:t>、</w:t>
            </w:r>
            <w:r>
              <w:rPr>
                <w:rFonts w:hint="eastAsia"/>
                <w:color w:val="auto"/>
                <w:position w:val="-12"/>
              </w:rPr>
              <w:object>
                <v:shape id="_x0000_i1040" o:spt="75" type="#_x0000_t75" style="height:18pt;width:21pt;" o:ole="t" filled="f" o:preferrelative="t" stroked="f" coordsize="21600,21600">
                  <v:path/>
                  <v:fill on="f" focussize="0,0"/>
                  <v:stroke on="f" joinstyle="miter"/>
                  <v:imagedata r:id="rId38" o:title=""/>
                  <o:lock v:ext="edit" aspectratio="t"/>
                  <w10:wrap type="none"/>
                  <w10:anchorlock/>
                </v:shape>
                <o:OLEObject Type="Embed" ProgID="Equation.DSMT4" ShapeID="_x0000_i1040" DrawAspect="Content" ObjectID="_1468075740" r:id="rId37">
                  <o:LockedField>false</o:LockedField>
                </o:OLEObject>
              </w:object>
            </w:r>
          </w:p>
        </w:tc>
        <w:tc>
          <w:tcPr>
            <w:tcW w:w="4000" w:type="pct"/>
            <w:vAlign w:val="center"/>
          </w:tcPr>
          <w:p w14:paraId="3E74207E">
            <w:pPr>
              <w:pStyle w:val="326"/>
              <w:textAlignment w:val="auto"/>
              <w:rPr>
                <w:color w:val="auto"/>
                <w:szCs w:val="21"/>
              </w:rPr>
            </w:pPr>
            <w:r>
              <w:rPr>
                <w:rFonts w:hint="eastAsia"/>
                <w:color w:val="auto"/>
              </w:rPr>
              <w:t>——</w:t>
            </w:r>
            <w:r>
              <w:rPr>
                <w:rFonts w:hint="eastAsia"/>
                <w:color w:val="auto"/>
                <w:szCs w:val="21"/>
              </w:rPr>
              <w:t>受拉区NSC层、UHPC层的纵向受力钢筋的抗拉强度设计值；</w:t>
            </w:r>
          </w:p>
        </w:tc>
      </w:tr>
      <w:tr w14:paraId="164B8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497B1CA8">
            <w:pPr>
              <w:pStyle w:val="326"/>
              <w:jc w:val="right"/>
              <w:textAlignment w:val="auto"/>
              <w:rPr>
                <w:color w:val="auto"/>
              </w:rPr>
            </w:pPr>
            <w:r>
              <w:rPr>
                <w:rFonts w:hint="eastAsia"/>
                <w:color w:val="auto"/>
                <w:position w:val="-12"/>
              </w:rPr>
              <w:object>
                <v:shape id="_x0000_i1041" o:spt="75" type="#_x0000_t75" style="height:18pt;width:17pt;" o:ole="t" filled="f" o:preferrelative="t" stroked="f" coordsize="21600,21600">
                  <v:path/>
                  <v:fill on="f" focussize="0,0"/>
                  <v:stroke on="f" joinstyle="miter"/>
                  <v:imagedata r:id="rId40" o:title=""/>
                  <o:lock v:ext="edit" aspectratio="t"/>
                  <w10:wrap type="none"/>
                  <w10:anchorlock/>
                </v:shape>
                <o:OLEObject Type="Embed" ProgID="Equation.DSMT4" ShapeID="_x0000_i1041" DrawAspect="Content" ObjectID="_1468075741" r:id="rId39">
                  <o:LockedField>false</o:LockedField>
                </o:OLEObject>
              </w:object>
            </w:r>
            <w:r>
              <w:rPr>
                <w:rFonts w:hint="eastAsia"/>
                <w:color w:val="auto"/>
              </w:rPr>
              <w:t>、</w:t>
            </w:r>
            <w:r>
              <w:rPr>
                <w:rFonts w:hint="eastAsia"/>
                <w:color w:val="auto"/>
                <w:position w:val="-12"/>
              </w:rPr>
              <w:object>
                <v:shape id="_x0000_i1042" o:spt="75" type="#_x0000_t75" style="height:18pt;width:16pt;" o:ole="t" filled="f" o:preferrelative="t" stroked="f" coordsize="21600,21600">
                  <v:path/>
                  <v:fill on="f" focussize="0,0"/>
                  <v:stroke on="f" joinstyle="miter"/>
                  <v:imagedata r:id="rId42" o:title=""/>
                  <o:lock v:ext="edit" aspectratio="t"/>
                  <w10:wrap type="none"/>
                  <w10:anchorlock/>
                </v:shape>
                <o:OLEObject Type="Embed" ProgID="Equation.DSMT4" ShapeID="_x0000_i1042" DrawAspect="Content" ObjectID="_1468075742" r:id="rId41">
                  <o:LockedField>false</o:LockedField>
                </o:OLEObject>
              </w:object>
            </w:r>
          </w:p>
        </w:tc>
        <w:tc>
          <w:tcPr>
            <w:tcW w:w="4000" w:type="pct"/>
            <w:vAlign w:val="center"/>
          </w:tcPr>
          <w:p w14:paraId="13073366">
            <w:pPr>
              <w:pStyle w:val="326"/>
              <w:textAlignment w:val="auto"/>
              <w:rPr>
                <w:color w:val="auto"/>
                <w:szCs w:val="21"/>
              </w:rPr>
            </w:pPr>
            <w:r>
              <w:rPr>
                <w:rFonts w:hint="eastAsia"/>
                <w:color w:val="auto"/>
              </w:rPr>
              <w:t>——</w:t>
            </w:r>
            <w:r>
              <w:rPr>
                <w:rFonts w:hint="eastAsia"/>
                <w:color w:val="auto"/>
                <w:szCs w:val="21"/>
              </w:rPr>
              <w:t>抗剪箍筋抗拉强度标准值、设计值；</w:t>
            </w:r>
          </w:p>
        </w:tc>
      </w:tr>
      <w:tr w14:paraId="60487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70727356">
            <w:pPr>
              <w:pStyle w:val="326"/>
              <w:jc w:val="right"/>
              <w:textAlignment w:val="auto"/>
              <w:rPr>
                <w:color w:val="auto"/>
              </w:rPr>
            </w:pPr>
            <w:r>
              <w:rPr>
                <w:rFonts w:hint="eastAsia"/>
                <w:color w:val="auto"/>
                <w:position w:val="-12"/>
              </w:rPr>
              <w:object>
                <v:shape id="_x0000_i1043" o:spt="75" type="#_x0000_t75" style="height:18pt;width:17pt;" o:ole="t" filled="f" o:preferrelative="t" stroked="f" coordsize="21600,21600">
                  <v:path/>
                  <v:fill on="f" focussize="0,0"/>
                  <v:stroke on="f" joinstyle="miter"/>
                  <v:imagedata r:id="rId44" o:title=""/>
                  <o:lock v:ext="edit" aspectratio="t"/>
                  <w10:wrap type="none"/>
                  <w10:anchorlock/>
                </v:shape>
                <o:OLEObject Type="Embed" ProgID="Equation.DSMT4" ShapeID="_x0000_i1043" DrawAspect="Content" ObjectID="_1468075743" r:id="rId43">
                  <o:LockedField>false</o:LockedField>
                </o:OLEObject>
              </w:object>
            </w:r>
          </w:p>
        </w:tc>
        <w:tc>
          <w:tcPr>
            <w:tcW w:w="4000" w:type="pct"/>
            <w:vAlign w:val="center"/>
          </w:tcPr>
          <w:p w14:paraId="71BFA5CC">
            <w:pPr>
              <w:pStyle w:val="326"/>
              <w:textAlignment w:val="auto"/>
              <w:rPr>
                <w:color w:val="auto"/>
                <w:szCs w:val="21"/>
              </w:rPr>
            </w:pPr>
            <w:r>
              <w:rPr>
                <w:rFonts w:hint="eastAsia"/>
                <w:color w:val="auto"/>
              </w:rPr>
              <w:t>——</w:t>
            </w:r>
            <w:r>
              <w:rPr>
                <w:rFonts w:hint="eastAsia"/>
                <w:color w:val="auto"/>
                <w:szCs w:val="21"/>
              </w:rPr>
              <w:t>普通混凝土轴心抗压强度设计值；</w:t>
            </w:r>
          </w:p>
        </w:tc>
      </w:tr>
      <w:tr w14:paraId="5B8C4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733CCAAF">
            <w:pPr>
              <w:pStyle w:val="326"/>
              <w:jc w:val="right"/>
              <w:textAlignment w:val="auto"/>
              <w:rPr>
                <w:color w:val="auto"/>
              </w:rPr>
            </w:pPr>
            <w:r>
              <w:rPr>
                <w:rFonts w:hint="eastAsia"/>
                <w:color w:val="auto"/>
                <w:position w:val="-14"/>
              </w:rPr>
              <w:object>
                <v:shape id="_x0000_i1044" o:spt="75" type="#_x0000_t75" style="height:19pt;width:16pt;" o:ole="t" filled="f" o:preferrelative="t" stroked="f" coordsize="21600,21600">
                  <v:path/>
                  <v:fill on="f" focussize="0,0"/>
                  <v:stroke on="f" joinstyle="miter"/>
                  <v:imagedata r:id="rId46" o:title=""/>
                  <o:lock v:ext="edit" aspectratio="t"/>
                  <w10:wrap type="none"/>
                  <w10:anchorlock/>
                </v:shape>
                <o:OLEObject Type="Embed" ProgID="Equation.DSMT4" ShapeID="_x0000_i1044" DrawAspect="Content" ObjectID="_1468075744" r:id="rId45">
                  <o:LockedField>false</o:LockedField>
                </o:OLEObject>
              </w:object>
            </w:r>
          </w:p>
        </w:tc>
        <w:tc>
          <w:tcPr>
            <w:tcW w:w="4000" w:type="pct"/>
            <w:vAlign w:val="center"/>
          </w:tcPr>
          <w:p w14:paraId="7E3893D5">
            <w:pPr>
              <w:pStyle w:val="326"/>
              <w:textAlignment w:val="auto"/>
              <w:rPr>
                <w:color w:val="auto"/>
                <w:szCs w:val="21"/>
              </w:rPr>
            </w:pPr>
            <w:r>
              <w:rPr>
                <w:rFonts w:hint="eastAsia"/>
                <w:color w:val="auto"/>
              </w:rPr>
              <w:t>——</w:t>
            </w:r>
            <w:r>
              <w:rPr>
                <w:rFonts w:hint="eastAsia"/>
                <w:color w:val="auto"/>
                <w:szCs w:val="21"/>
              </w:rPr>
              <w:t>纤维增强截面的残余抗拉强度；</w:t>
            </w:r>
          </w:p>
        </w:tc>
      </w:tr>
      <w:tr w14:paraId="040F7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1DFC74BC">
            <w:pPr>
              <w:pStyle w:val="326"/>
              <w:jc w:val="right"/>
              <w:textAlignment w:val="auto"/>
              <w:rPr>
                <w:color w:val="auto"/>
              </w:rPr>
            </w:pPr>
            <w:r>
              <w:rPr>
                <w:rFonts w:hint="eastAsia"/>
                <w:color w:val="auto"/>
                <w:position w:val="-12"/>
              </w:rPr>
              <w:object>
                <v:shape id="_x0000_i1045" o:spt="75" type="#_x0000_t75" style="height:18pt;width:16pt;" o:ole="t" filled="f" o:preferrelative="t" stroked="f" coordsize="21600,21600">
                  <v:path/>
                  <v:fill on="f" focussize="0,0"/>
                  <v:stroke on="f" joinstyle="miter"/>
                  <v:imagedata r:id="rId48" o:title=""/>
                  <o:lock v:ext="edit" aspectratio="t"/>
                  <w10:wrap type="none"/>
                  <w10:anchorlock/>
                </v:shape>
                <o:OLEObject Type="Embed" ProgID="Equation.DSMT4" ShapeID="_x0000_i1045" DrawAspect="Content" ObjectID="_1468075745" r:id="rId47">
                  <o:LockedField>false</o:LockedField>
                </o:OLEObject>
              </w:object>
            </w:r>
          </w:p>
        </w:tc>
        <w:tc>
          <w:tcPr>
            <w:tcW w:w="4000" w:type="pct"/>
            <w:vAlign w:val="center"/>
          </w:tcPr>
          <w:p w14:paraId="79170B0A">
            <w:pPr>
              <w:pStyle w:val="326"/>
              <w:textAlignment w:val="auto"/>
              <w:rPr>
                <w:color w:val="auto"/>
                <w:szCs w:val="21"/>
              </w:rPr>
            </w:pPr>
            <w:r>
              <w:rPr>
                <w:rFonts w:hint="eastAsia"/>
                <w:color w:val="auto"/>
              </w:rPr>
              <w:t>——</w:t>
            </w:r>
            <w:r>
              <w:rPr>
                <w:rFonts w:hint="eastAsia"/>
                <w:color w:val="auto"/>
                <w:szCs w:val="21"/>
              </w:rPr>
              <w:t>组合式盖板结构受压边缘普通混凝土极限压应变；</w:t>
            </w:r>
          </w:p>
        </w:tc>
      </w:tr>
      <w:tr w14:paraId="72C20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7E65AA2A">
            <w:pPr>
              <w:pStyle w:val="326"/>
              <w:jc w:val="right"/>
              <w:textAlignment w:val="auto"/>
              <w:rPr>
                <w:color w:val="auto"/>
              </w:rPr>
            </w:pPr>
            <w:r>
              <w:rPr>
                <w:rFonts w:hint="eastAsia"/>
                <w:color w:val="auto"/>
                <w:position w:val="-12"/>
              </w:rPr>
              <w:object>
                <v:shape id="_x0000_i1046" o:spt="75" type="#_x0000_t75" style="height:18pt;width:15pt;" o:ole="t" filled="f" o:preferrelative="t" stroked="f" coordsize="21600,21600">
                  <v:path/>
                  <v:fill on="f" focussize="0,0"/>
                  <v:stroke on="f" joinstyle="miter"/>
                  <v:imagedata r:id="rId50" o:title=""/>
                  <o:lock v:ext="edit" aspectratio="t"/>
                  <w10:wrap type="none"/>
                  <w10:anchorlock/>
                </v:shape>
                <o:OLEObject Type="Embed" ProgID="Equation.DSMT4" ShapeID="_x0000_i1046" DrawAspect="Content" ObjectID="_1468075746" r:id="rId49">
                  <o:LockedField>false</o:LockedField>
                </o:OLEObject>
              </w:object>
            </w:r>
          </w:p>
        </w:tc>
        <w:tc>
          <w:tcPr>
            <w:tcW w:w="4000" w:type="pct"/>
            <w:vAlign w:val="center"/>
          </w:tcPr>
          <w:p w14:paraId="1D3E1BEC">
            <w:pPr>
              <w:pStyle w:val="326"/>
              <w:textAlignment w:val="auto"/>
              <w:rPr>
                <w:color w:val="auto"/>
                <w:szCs w:val="21"/>
              </w:rPr>
            </w:pPr>
            <w:r>
              <w:rPr>
                <w:rFonts w:hint="eastAsia"/>
                <w:color w:val="auto"/>
              </w:rPr>
              <w:t>——</w:t>
            </w:r>
            <w:r>
              <w:rPr>
                <w:rFonts w:hint="eastAsia"/>
                <w:color w:val="auto"/>
                <w:szCs w:val="21"/>
              </w:rPr>
              <w:t>普通钢筋弹性模量；</w:t>
            </w:r>
          </w:p>
        </w:tc>
      </w:tr>
      <w:tr w14:paraId="67E34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34485083">
            <w:pPr>
              <w:pStyle w:val="326"/>
              <w:jc w:val="right"/>
              <w:textAlignment w:val="auto"/>
              <w:rPr>
                <w:color w:val="auto"/>
              </w:rPr>
            </w:pPr>
            <w:r>
              <w:rPr>
                <w:rFonts w:hint="eastAsia"/>
                <w:color w:val="auto"/>
                <w:position w:val="-12"/>
              </w:rPr>
              <w:object>
                <v:shape id="_x0000_i1047" o:spt="75" type="#_x0000_t75" style="height:19pt;width:17pt;" o:ole="t" filled="f" o:preferrelative="t" stroked="f" coordsize="21600,21600">
                  <v:path/>
                  <v:fill on="f" focussize="0,0"/>
                  <v:stroke on="f" joinstyle="miter"/>
                  <v:imagedata r:id="rId52" o:title=""/>
                  <o:lock v:ext="edit" aspectratio="t"/>
                  <w10:wrap type="none"/>
                  <w10:anchorlock/>
                </v:shape>
                <o:OLEObject Type="Embed" ProgID="Equation.DSMT4" ShapeID="_x0000_i1047" DrawAspect="Content" ObjectID="_1468075747" r:id="rId51">
                  <o:LockedField>false</o:LockedField>
                </o:OLEObject>
              </w:object>
            </w:r>
            <w:r>
              <w:rPr>
                <w:rFonts w:hint="eastAsia"/>
                <w:color w:val="auto"/>
              </w:rPr>
              <w:t>、</w:t>
            </w:r>
            <w:r>
              <w:rPr>
                <w:rFonts w:hint="eastAsia"/>
                <w:color w:val="auto"/>
                <w:position w:val="-12"/>
              </w:rPr>
              <w:object>
                <v:shape id="_x0000_i1048" o:spt="75" type="#_x0000_t75" style="height:19pt;width:16pt;" o:ole="t" filled="f" o:preferrelative="t" stroked="f" coordsize="21600,21600">
                  <v:path/>
                  <v:fill on="f" focussize="0,0"/>
                  <v:stroke on="f" joinstyle="miter"/>
                  <v:imagedata r:id="rId54" o:title=""/>
                  <o:lock v:ext="edit" aspectratio="t"/>
                  <w10:wrap type="none"/>
                  <w10:anchorlock/>
                </v:shape>
                <o:OLEObject Type="Embed" ProgID="Equation.DSMT4" ShapeID="_x0000_i1048" DrawAspect="Content" ObjectID="_1468075748" r:id="rId53">
                  <o:LockedField>false</o:LockedField>
                </o:OLEObject>
              </w:object>
            </w:r>
          </w:p>
        </w:tc>
        <w:tc>
          <w:tcPr>
            <w:tcW w:w="4000" w:type="pct"/>
            <w:vAlign w:val="center"/>
          </w:tcPr>
          <w:p w14:paraId="55458A9B">
            <w:pPr>
              <w:pStyle w:val="326"/>
              <w:textAlignment w:val="auto"/>
              <w:rPr>
                <w:color w:val="auto"/>
              </w:rPr>
            </w:pPr>
            <w:r>
              <w:rPr>
                <w:rFonts w:hint="eastAsia"/>
                <w:color w:val="auto"/>
              </w:rPr>
              <w:t>——</w:t>
            </w:r>
            <w:r>
              <w:rPr>
                <w:rFonts w:hint="eastAsia"/>
                <w:color w:val="auto"/>
                <w:szCs w:val="21"/>
              </w:rPr>
              <w:t>施工阶段普通混凝土轴心抗压、抗拉强度标准值；</w:t>
            </w:r>
          </w:p>
        </w:tc>
      </w:tr>
      <w:tr w14:paraId="258C3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29E769E9">
            <w:pPr>
              <w:pStyle w:val="326"/>
              <w:jc w:val="right"/>
              <w:textAlignment w:val="auto"/>
              <w:rPr>
                <w:color w:val="auto"/>
              </w:rPr>
            </w:pPr>
            <w:r>
              <w:rPr>
                <w:rFonts w:hint="eastAsia"/>
                <w:color w:val="auto"/>
                <w:position w:val="-14"/>
              </w:rPr>
              <w:object>
                <v:shape id="_x0000_i1049" o:spt="75" type="#_x0000_t75" style="height:20pt;width:19pt;" o:ole="t" filled="f" o:preferrelative="t" stroked="f" coordsize="21600,21600">
                  <v:path/>
                  <v:fill on="f" focussize="0,0"/>
                  <v:stroke on="f" joinstyle="miter"/>
                  <v:imagedata r:id="rId56" o:title=""/>
                  <o:lock v:ext="edit" aspectratio="t"/>
                  <w10:wrap type="none"/>
                  <w10:anchorlock/>
                </v:shape>
                <o:OLEObject Type="Embed" ProgID="Equation.DSMT4" ShapeID="_x0000_i1049" DrawAspect="Content" ObjectID="_1468075749" r:id="rId55">
                  <o:LockedField>false</o:LockedField>
                </o:OLEObject>
              </w:object>
            </w:r>
          </w:p>
        </w:tc>
        <w:tc>
          <w:tcPr>
            <w:tcW w:w="4000" w:type="pct"/>
            <w:vAlign w:val="center"/>
          </w:tcPr>
          <w:p w14:paraId="2DD6D3E8">
            <w:pPr>
              <w:pStyle w:val="326"/>
              <w:textAlignment w:val="auto"/>
              <w:rPr>
                <w:color w:val="auto"/>
              </w:rPr>
            </w:pPr>
            <w:r>
              <w:rPr>
                <w:rFonts w:hint="eastAsia"/>
                <w:color w:val="auto"/>
              </w:rPr>
              <w:t>——</w:t>
            </w:r>
            <w:r>
              <w:rPr>
                <w:rFonts w:hint="eastAsia"/>
                <w:color w:val="auto"/>
                <w:szCs w:val="21"/>
              </w:rPr>
              <w:t>施工阶段超高性能混凝土轴心抗拉强度标准值；</w:t>
            </w:r>
          </w:p>
        </w:tc>
      </w:tr>
      <w:tr w14:paraId="06D14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422EDBBD">
            <w:pPr>
              <w:pStyle w:val="326"/>
              <w:jc w:val="right"/>
              <w:textAlignment w:val="auto"/>
              <w:rPr>
                <w:color w:val="auto"/>
              </w:rPr>
            </w:pPr>
            <w:r>
              <w:rPr>
                <w:rFonts w:hint="eastAsia"/>
                <w:color w:val="auto"/>
                <w:position w:val="-12"/>
              </w:rPr>
              <w:object>
                <v:shape id="_x0000_i1050" o:spt="75" type="#_x0000_t75" style="height:18pt;width:13pt;" o:ole="t" filled="f" o:preferrelative="t" stroked="f" coordsize="21600,21600">
                  <v:path/>
                  <v:fill on="f" focussize="0,0"/>
                  <v:stroke on="f" joinstyle="miter"/>
                  <v:imagedata r:id="rId58" o:title=""/>
                  <o:lock v:ext="edit" aspectratio="t"/>
                  <w10:wrap type="none"/>
                  <w10:anchorlock/>
                </v:shape>
                <o:OLEObject Type="Embed" ProgID="Equation.DSMT4" ShapeID="_x0000_i1050" DrawAspect="Content" ObjectID="_1468075750" r:id="rId57">
                  <o:LockedField>false</o:LockedField>
                </o:OLEObject>
              </w:object>
            </w:r>
          </w:p>
        </w:tc>
        <w:tc>
          <w:tcPr>
            <w:tcW w:w="4000" w:type="pct"/>
            <w:vAlign w:val="center"/>
          </w:tcPr>
          <w:p w14:paraId="1AB0AC5E">
            <w:pPr>
              <w:pStyle w:val="326"/>
              <w:textAlignment w:val="auto"/>
              <w:rPr>
                <w:color w:val="auto"/>
              </w:rPr>
            </w:pPr>
            <w:r>
              <w:rPr>
                <w:rFonts w:hint="eastAsia"/>
                <w:color w:val="auto"/>
              </w:rPr>
              <w:t>——超高性能混凝土的重力密度；</w:t>
            </w:r>
          </w:p>
        </w:tc>
      </w:tr>
      <w:tr w14:paraId="728F4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4E6A39E3">
            <w:pPr>
              <w:pStyle w:val="326"/>
              <w:jc w:val="right"/>
              <w:textAlignment w:val="auto"/>
              <w:rPr>
                <w:color w:val="auto"/>
              </w:rPr>
            </w:pPr>
            <w:r>
              <w:rPr>
                <w:rFonts w:hint="eastAsia"/>
                <w:color w:val="auto"/>
              </w:rPr>
              <w:t>UC120</w:t>
            </w:r>
          </w:p>
        </w:tc>
        <w:tc>
          <w:tcPr>
            <w:tcW w:w="4000" w:type="pct"/>
            <w:vAlign w:val="center"/>
          </w:tcPr>
          <w:p w14:paraId="5C3B85F7">
            <w:pPr>
              <w:pStyle w:val="326"/>
              <w:textAlignment w:val="auto"/>
              <w:rPr>
                <w:color w:val="auto"/>
              </w:rPr>
            </w:pPr>
            <w:r>
              <w:rPr>
                <w:rFonts w:hint="eastAsia"/>
                <w:color w:val="auto"/>
              </w:rPr>
              <w:t>——边长为100mm的立方体抗压强度标准值为120MPa的超高性能混</w:t>
            </w:r>
          </w:p>
        </w:tc>
      </w:tr>
      <w:tr w14:paraId="577AE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6C366022">
            <w:pPr>
              <w:pStyle w:val="326"/>
              <w:jc w:val="right"/>
              <w:textAlignment w:val="auto"/>
              <w:rPr>
                <w:color w:val="auto"/>
              </w:rPr>
            </w:pPr>
          </w:p>
        </w:tc>
        <w:tc>
          <w:tcPr>
            <w:tcW w:w="4000" w:type="pct"/>
            <w:vAlign w:val="center"/>
          </w:tcPr>
          <w:p w14:paraId="7D12DB7A">
            <w:pPr>
              <w:pStyle w:val="326"/>
              <w:ind w:firstLine="420" w:firstLineChars="200"/>
              <w:textAlignment w:val="auto"/>
              <w:rPr>
                <w:color w:val="auto"/>
              </w:rPr>
            </w:pPr>
            <w:r>
              <w:rPr>
                <w:rFonts w:hint="eastAsia"/>
                <w:color w:val="auto"/>
              </w:rPr>
              <w:t>凝土；</w:t>
            </w:r>
          </w:p>
        </w:tc>
      </w:tr>
      <w:tr w14:paraId="51881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74A31803">
            <w:pPr>
              <w:pStyle w:val="326"/>
              <w:jc w:val="right"/>
              <w:textAlignment w:val="auto"/>
              <w:rPr>
                <w:color w:val="auto"/>
              </w:rPr>
            </w:pPr>
            <w:r>
              <w:rPr>
                <w:rFonts w:hint="eastAsia"/>
                <w:color w:val="auto"/>
              </w:rPr>
              <w:t>UT6</w:t>
            </w:r>
          </w:p>
        </w:tc>
        <w:tc>
          <w:tcPr>
            <w:tcW w:w="4000" w:type="pct"/>
            <w:vAlign w:val="center"/>
          </w:tcPr>
          <w:p w14:paraId="2FDD22AD">
            <w:pPr>
              <w:pStyle w:val="326"/>
              <w:textAlignment w:val="auto"/>
              <w:rPr>
                <w:color w:val="auto"/>
              </w:rPr>
            </w:pPr>
            <w:r>
              <w:rPr>
                <w:rFonts w:hint="eastAsia"/>
                <w:color w:val="auto"/>
              </w:rPr>
              <w:t>——哑铃型试件轴心抗拉强度标准值为6MPa的超高性能混凝土；</w:t>
            </w:r>
          </w:p>
        </w:tc>
      </w:tr>
      <w:tr w14:paraId="76604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583FAB21">
            <w:pPr>
              <w:pStyle w:val="326"/>
              <w:jc w:val="right"/>
              <w:textAlignment w:val="auto"/>
              <w:rPr>
                <w:color w:val="auto"/>
              </w:rPr>
            </w:pPr>
            <w:r>
              <w:rPr>
                <w:rFonts w:hint="eastAsia"/>
                <w:color w:val="auto"/>
              </w:rPr>
              <w:t>UF22</w:t>
            </w:r>
          </w:p>
        </w:tc>
        <w:tc>
          <w:tcPr>
            <w:tcW w:w="4000" w:type="pct"/>
            <w:vAlign w:val="center"/>
          </w:tcPr>
          <w:p w14:paraId="1D94F3F9">
            <w:pPr>
              <w:pStyle w:val="326"/>
              <w:textAlignment w:val="auto"/>
              <w:rPr>
                <w:color w:val="auto"/>
              </w:rPr>
            </w:pPr>
            <w:r>
              <w:rPr>
                <w:rFonts w:hint="eastAsia"/>
                <w:color w:val="auto"/>
              </w:rPr>
              <w:t>——棱柱体弯拉强度标准值为22MPa的超高性能混凝土；</w:t>
            </w:r>
          </w:p>
        </w:tc>
      </w:tr>
      <w:tr w14:paraId="28D45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52BFE088">
            <w:pPr>
              <w:pStyle w:val="326"/>
              <w:jc w:val="right"/>
              <w:textAlignment w:val="auto"/>
              <w:rPr>
                <w:color w:val="auto"/>
              </w:rPr>
            </w:pPr>
            <w:r>
              <w:rPr>
                <w:rFonts w:hint="eastAsia"/>
                <w:color w:val="auto"/>
                <w:position w:val="-16"/>
              </w:rPr>
              <w:object>
                <v:shape id="_x0000_i1051" o:spt="75" type="#_x0000_t75" style="height:22pt;width:27pt;" o:ole="t" filled="f" o:preferrelative="t" stroked="f" coordsize="21600,21600">
                  <v:path/>
                  <v:fill on="f" focussize="0,0"/>
                  <v:stroke on="f"/>
                  <v:imagedata r:id="rId60" o:title=""/>
                  <o:lock v:ext="edit" aspectratio="t"/>
                  <w10:wrap type="none"/>
                  <w10:anchorlock/>
                </v:shape>
                <o:OLEObject Type="Embed" ProgID="Equation.DSMT4" ShapeID="_x0000_i1051" DrawAspect="Content" ObjectID="_1468075751" r:id="rId59">
                  <o:LockedField>false</o:LockedField>
                </o:OLEObject>
              </w:object>
            </w:r>
          </w:p>
        </w:tc>
        <w:tc>
          <w:tcPr>
            <w:tcW w:w="4000" w:type="pct"/>
            <w:vAlign w:val="center"/>
          </w:tcPr>
          <w:p w14:paraId="2615AE81">
            <w:pPr>
              <w:pStyle w:val="326"/>
              <w:textAlignment w:val="auto"/>
              <w:rPr>
                <w:color w:val="auto"/>
              </w:rPr>
            </w:pPr>
            <w:r>
              <w:rPr>
                <w:rFonts w:hint="eastAsia"/>
                <w:color w:val="auto"/>
              </w:rPr>
              <w:t>——</w:t>
            </w:r>
            <w:r>
              <w:rPr>
                <w:rFonts w:hint="eastAsia"/>
                <w:color w:val="auto"/>
                <w:szCs w:val="21"/>
              </w:rPr>
              <w:t>短暂状况时钢筋的应力限值。</w:t>
            </w:r>
          </w:p>
        </w:tc>
      </w:tr>
    </w:tbl>
    <w:p w14:paraId="2F546CD1">
      <w:pPr>
        <w:pStyle w:val="326"/>
        <w:textAlignment w:val="auto"/>
        <w:rPr>
          <w:color w:val="auto"/>
          <w:szCs w:val="21"/>
        </w:rPr>
      </w:pPr>
      <w:r>
        <w:rPr>
          <w:rFonts w:hint="eastAsia"/>
          <w:color w:val="auto"/>
          <w:szCs w:val="21"/>
        </w:rPr>
        <w:t>2.2.2  作用和作用效应有关符号</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3"/>
        <w:gridCol w:w="6819"/>
      </w:tblGrid>
      <w:tr w14:paraId="48C35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vAlign w:val="center"/>
          </w:tcPr>
          <w:p w14:paraId="48A69D64">
            <w:pPr>
              <w:pStyle w:val="326"/>
              <w:jc w:val="right"/>
              <w:textAlignment w:val="auto"/>
              <w:rPr>
                <w:rFonts w:hint="eastAsia" w:eastAsia="宋体"/>
                <w:color w:val="auto"/>
                <w:szCs w:val="21"/>
                <w:lang w:eastAsia="zh-CN"/>
              </w:rPr>
            </w:pPr>
            <w:r>
              <w:rPr>
                <w:rFonts w:hint="eastAsia"/>
                <w:color w:val="auto"/>
                <w:position w:val="-12"/>
              </w:rPr>
              <w:object>
                <v:shape id="_x0000_i1052" o:spt="75" type="#_x0000_t75" style="height:18pt;width:20pt;" o:ole="t" filled="f" o:preferrelative="t" stroked="f" coordsize="21600,21600">
                  <v:path/>
                  <v:fill on="f" focussize="0,0"/>
                  <v:stroke on="f" joinstyle="miter"/>
                  <v:imagedata r:id="rId62" o:title=""/>
                  <o:lock v:ext="edit" aspectratio="t"/>
                  <w10:wrap type="none"/>
                  <w10:anchorlock/>
                </v:shape>
                <o:OLEObject Type="Embed" ProgID="Equation.DSMT4" ShapeID="_x0000_i1052" DrawAspect="Content" ObjectID="_1468075752" r:id="rId61">
                  <o:LockedField>false</o:LockedField>
                </o:OLEObject>
              </w:object>
            </w:r>
            <w:r>
              <w:rPr>
                <w:rFonts w:hint="eastAsia"/>
                <w:color w:val="auto"/>
                <w:position w:val="-12"/>
                <w:lang w:eastAsia="zh-CN"/>
              </w:rPr>
              <w:t>、</w:t>
            </w:r>
            <w:r>
              <w:rPr>
                <w:rFonts w:hint="eastAsia"/>
                <w:color w:val="auto"/>
                <w:position w:val="-12"/>
              </w:rPr>
              <w:object>
                <v:shape id="_x0000_i1053" o:spt="75" type="#_x0000_t75" style="height:18pt;width:19pt;" o:ole="t" filled="f" o:preferrelative="t" stroked="f" coordsize="21600,21600">
                  <v:path/>
                  <v:fill on="f" focussize="0,0"/>
                  <v:stroke on="f" joinstyle="miter"/>
                  <v:imagedata r:id="rId64" o:title=""/>
                  <o:lock v:ext="edit" aspectratio="t"/>
                  <w10:wrap type="none"/>
                  <w10:anchorlock/>
                </v:shape>
                <o:OLEObject Type="Embed" ProgID="Equation.DSMT4" ShapeID="_x0000_i1053" DrawAspect="Content" ObjectID="_1468075753" r:id="rId63">
                  <o:LockedField>false</o:LockedField>
                </o:OLEObject>
              </w:object>
            </w:r>
          </w:p>
        </w:tc>
        <w:tc>
          <w:tcPr>
            <w:tcW w:w="4000" w:type="pct"/>
            <w:vAlign w:val="center"/>
          </w:tcPr>
          <w:p w14:paraId="3AF0F3BC">
            <w:pPr>
              <w:pStyle w:val="326"/>
              <w:textAlignment w:val="auto"/>
              <w:rPr>
                <w:color w:val="auto"/>
                <w:szCs w:val="21"/>
              </w:rPr>
            </w:pPr>
            <w:r>
              <w:rPr>
                <w:rFonts w:hint="eastAsia"/>
                <w:color w:val="auto"/>
              </w:rPr>
              <w:t>——</w:t>
            </w:r>
            <w:r>
              <w:rPr>
                <w:rFonts w:hint="eastAsia"/>
                <w:color w:val="auto"/>
                <w:szCs w:val="21"/>
              </w:rPr>
              <w:t>正截面弯矩设计值</w:t>
            </w:r>
            <w:r>
              <w:rPr>
                <w:rFonts w:hint="eastAsia"/>
                <w:color w:val="auto"/>
                <w:szCs w:val="21"/>
                <w:lang w:eastAsia="zh-CN"/>
              </w:rPr>
              <w:t>、</w:t>
            </w:r>
            <w:r>
              <w:rPr>
                <w:rFonts w:hint="eastAsia"/>
                <w:color w:val="auto"/>
                <w:szCs w:val="21"/>
              </w:rPr>
              <w:t>抗弯承载力；</w:t>
            </w:r>
          </w:p>
        </w:tc>
      </w:tr>
      <w:tr w14:paraId="7BD54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vAlign w:val="center"/>
          </w:tcPr>
          <w:p w14:paraId="0ACE75F3">
            <w:pPr>
              <w:pStyle w:val="326"/>
              <w:keepNext w:val="0"/>
              <w:keepLines w:val="0"/>
              <w:pageBreakBefore w:val="0"/>
              <w:widowControl w:val="0"/>
              <w:kinsoku/>
              <w:wordWrap/>
              <w:overflowPunct/>
              <w:topLinePunct w:val="0"/>
              <w:autoSpaceDE/>
              <w:autoSpaceDN/>
              <w:bidi w:val="0"/>
              <w:adjustRightInd/>
              <w:snapToGrid/>
              <w:jc w:val="right"/>
              <w:textAlignment w:val="center"/>
              <w:rPr>
                <w:rFonts w:hint="eastAsia" w:eastAsia="宋体"/>
                <w:color w:val="auto"/>
                <w:szCs w:val="21"/>
                <w:lang w:eastAsia="zh-CN"/>
              </w:rPr>
            </w:pPr>
            <w:r>
              <w:rPr>
                <w:rFonts w:hint="eastAsia"/>
                <w:color w:val="auto"/>
                <w:position w:val="-12"/>
              </w:rPr>
              <w:object>
                <v:shape id="_x0000_i1054" o:spt="75" type="#_x0000_t75" style="height:18pt;width:13.95pt;" o:ole="t" filled="f" o:preferrelative="t" stroked="f" coordsize="21600,21600">
                  <v:path/>
                  <v:fill on="f" focussize="0,0"/>
                  <v:stroke on="f" joinstyle="miter"/>
                  <v:imagedata r:id="rId66" o:title=""/>
                  <o:lock v:ext="edit" aspectratio="t"/>
                  <w10:wrap type="none"/>
                  <w10:anchorlock/>
                </v:shape>
                <o:OLEObject Type="Embed" ProgID="Equation.DSMT4" ShapeID="_x0000_i1054" DrawAspect="Content" ObjectID="_1468075754" r:id="rId65">
                  <o:LockedField>false</o:LockedField>
                </o:OLEObject>
              </w:object>
            </w:r>
            <w:r>
              <w:rPr>
                <w:rFonts w:hint="eastAsia"/>
                <w:color w:val="auto"/>
                <w:position w:val="-12"/>
                <w:lang w:eastAsia="zh-CN"/>
              </w:rPr>
              <w:t>、</w:t>
            </w:r>
            <w:r>
              <w:rPr>
                <w:rFonts w:hint="eastAsia"/>
                <w:color w:val="auto"/>
                <w:position w:val="-12"/>
              </w:rPr>
              <w:object>
                <v:shape id="_x0000_i1055" o:spt="75" type="#_x0000_t75" style="height:18pt;width:13pt;" o:ole="t" filled="f" o:preferrelative="t" stroked="f" coordsize="21600,21600">
                  <v:path/>
                  <v:fill on="f" focussize="0,0"/>
                  <v:stroke on="f" joinstyle="miter"/>
                  <v:imagedata r:id="rId68" o:title=""/>
                  <o:lock v:ext="edit" aspectratio="t"/>
                  <w10:wrap type="none"/>
                  <w10:anchorlock/>
                </v:shape>
                <o:OLEObject Type="Embed" ProgID="Equation.DSMT4" ShapeID="_x0000_i1055" DrawAspect="Content" ObjectID="_1468075755" r:id="rId67">
                  <o:LockedField>false</o:LockedField>
                </o:OLEObject>
              </w:object>
            </w:r>
          </w:p>
        </w:tc>
        <w:tc>
          <w:tcPr>
            <w:tcW w:w="4000" w:type="pct"/>
            <w:vAlign w:val="center"/>
          </w:tcPr>
          <w:p w14:paraId="2D8FAC64">
            <w:pPr>
              <w:pStyle w:val="326"/>
              <w:keepNext w:val="0"/>
              <w:keepLines w:val="0"/>
              <w:pageBreakBefore w:val="0"/>
              <w:widowControl w:val="0"/>
              <w:kinsoku/>
              <w:wordWrap/>
              <w:overflowPunct/>
              <w:topLinePunct w:val="0"/>
              <w:autoSpaceDE/>
              <w:autoSpaceDN/>
              <w:bidi w:val="0"/>
              <w:adjustRightInd/>
              <w:snapToGrid/>
              <w:textAlignment w:val="center"/>
              <w:rPr>
                <w:color w:val="auto"/>
                <w:szCs w:val="21"/>
              </w:rPr>
            </w:pPr>
            <w:r>
              <w:rPr>
                <w:rFonts w:hint="eastAsia"/>
                <w:color w:val="auto"/>
              </w:rPr>
              <w:t>——</w:t>
            </w:r>
            <w:r>
              <w:rPr>
                <w:rFonts w:hint="eastAsia"/>
                <w:color w:val="auto"/>
                <w:szCs w:val="21"/>
              </w:rPr>
              <w:t>基本组合剪力设计值</w:t>
            </w:r>
            <w:r>
              <w:rPr>
                <w:rFonts w:hint="eastAsia"/>
                <w:color w:val="auto"/>
                <w:szCs w:val="21"/>
                <w:lang w:eastAsia="zh-CN"/>
              </w:rPr>
              <w:t>、</w:t>
            </w:r>
            <w:r>
              <w:rPr>
                <w:rFonts w:hint="eastAsia"/>
                <w:color w:val="auto"/>
                <w:szCs w:val="21"/>
              </w:rPr>
              <w:t>斜截面抗剪承载力；</w:t>
            </w:r>
          </w:p>
        </w:tc>
      </w:tr>
      <w:tr w14:paraId="15FB8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vAlign w:val="center"/>
          </w:tcPr>
          <w:p w14:paraId="530FA48B">
            <w:pPr>
              <w:pStyle w:val="326"/>
              <w:keepNext w:val="0"/>
              <w:keepLines w:val="0"/>
              <w:pageBreakBefore w:val="0"/>
              <w:widowControl w:val="0"/>
              <w:kinsoku/>
              <w:wordWrap/>
              <w:overflowPunct/>
              <w:topLinePunct w:val="0"/>
              <w:autoSpaceDE/>
              <w:autoSpaceDN/>
              <w:bidi w:val="0"/>
              <w:adjustRightInd/>
              <w:snapToGrid/>
              <w:jc w:val="right"/>
              <w:textAlignment w:val="center"/>
              <w:rPr>
                <w:rFonts w:hint="eastAsia" w:eastAsia="宋体"/>
                <w:color w:val="auto"/>
                <w:szCs w:val="21"/>
                <w:lang w:eastAsia="zh-CN"/>
              </w:rPr>
            </w:pPr>
            <w:r>
              <w:rPr>
                <w:rFonts w:hint="eastAsia"/>
                <w:color w:val="auto"/>
                <w:position w:val="-14"/>
              </w:rPr>
              <w:object>
                <v:shape id="_x0000_i1056" o:spt="75" type="#_x0000_t75" style="height:19pt;width:16pt;" o:ole="t" filled="f" o:preferrelative="t" stroked="f" coordsize="21600,21600">
                  <v:path/>
                  <v:fill on="f" focussize="0,0"/>
                  <v:stroke on="f"/>
                  <v:imagedata r:id="rId70" o:title=""/>
                  <o:lock v:ext="edit" aspectratio="t"/>
                  <w10:wrap type="none"/>
                  <w10:anchorlock/>
                </v:shape>
                <o:OLEObject Type="Embed" ProgID="Equation.DSMT4" ShapeID="_x0000_i1056" DrawAspect="Content" ObjectID="_1468075756" r:id="rId69">
                  <o:LockedField>false</o:LockedField>
                </o:OLEObject>
              </w:object>
            </w:r>
            <w:r>
              <w:rPr>
                <w:rFonts w:hint="eastAsia"/>
                <w:color w:val="auto"/>
                <w:position w:val="-14"/>
                <w:lang w:eastAsia="zh-CN"/>
              </w:rPr>
              <w:t>、</w:t>
            </w:r>
            <w:r>
              <w:rPr>
                <w:rFonts w:hint="eastAsia"/>
                <w:color w:val="auto"/>
                <w:position w:val="-14"/>
              </w:rPr>
              <w:object>
                <v:shape id="_x0000_i1057" o:spt="75" type="#_x0000_t75" style="height:19pt;width:15pt;" o:ole="t" filled="f" o:preferrelative="t" stroked="f" coordsize="21600,21600">
                  <v:path/>
                  <v:fill on="f" focussize="0,0"/>
                  <v:stroke on="f" joinstyle="miter"/>
                  <v:imagedata r:id="rId72" o:title=""/>
                  <o:lock v:ext="edit" aspectratio="t"/>
                  <w10:wrap type="none"/>
                  <w10:anchorlock/>
                </v:shape>
                <o:OLEObject Type="Embed" ProgID="Equation.DSMT4" ShapeID="_x0000_i1057" DrawAspect="Content" ObjectID="_1468075757" r:id="rId71">
                  <o:LockedField>false</o:LockedField>
                </o:OLEObject>
              </w:object>
            </w:r>
          </w:p>
        </w:tc>
        <w:tc>
          <w:tcPr>
            <w:tcW w:w="4000" w:type="pct"/>
            <w:vAlign w:val="center"/>
          </w:tcPr>
          <w:p w14:paraId="1A284569">
            <w:pPr>
              <w:pStyle w:val="326"/>
              <w:keepNext w:val="0"/>
              <w:keepLines w:val="0"/>
              <w:pageBreakBefore w:val="0"/>
              <w:widowControl w:val="0"/>
              <w:kinsoku/>
              <w:wordWrap/>
              <w:overflowPunct/>
              <w:topLinePunct w:val="0"/>
              <w:autoSpaceDE/>
              <w:autoSpaceDN/>
              <w:bidi w:val="0"/>
              <w:adjustRightInd/>
              <w:snapToGrid/>
              <w:textAlignment w:val="center"/>
              <w:rPr>
                <w:color w:val="auto"/>
                <w:szCs w:val="21"/>
              </w:rPr>
            </w:pPr>
            <w:r>
              <w:rPr>
                <w:rFonts w:hint="eastAsia"/>
                <w:color w:val="auto"/>
              </w:rPr>
              <w:t>——</w:t>
            </w:r>
            <w:r>
              <w:rPr>
                <w:rFonts w:hint="eastAsia"/>
                <w:color w:val="auto"/>
                <w:szCs w:val="21"/>
              </w:rPr>
              <w:t>构件斜截面上超高性能混凝土基体</w:t>
            </w:r>
            <w:r>
              <w:rPr>
                <w:rFonts w:hint="eastAsia"/>
                <w:color w:val="auto"/>
                <w:szCs w:val="21"/>
                <w:lang w:eastAsia="zh-CN"/>
              </w:rPr>
              <w:t>、</w:t>
            </w:r>
            <w:r>
              <w:rPr>
                <w:rFonts w:hint="eastAsia"/>
                <w:color w:val="auto"/>
                <w:szCs w:val="21"/>
              </w:rPr>
              <w:t>纤维受剪承载力设计值；</w:t>
            </w:r>
          </w:p>
        </w:tc>
      </w:tr>
      <w:tr w14:paraId="65852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vAlign w:val="center"/>
          </w:tcPr>
          <w:p w14:paraId="2A301DA9">
            <w:pPr>
              <w:pStyle w:val="326"/>
              <w:keepNext w:val="0"/>
              <w:keepLines w:val="0"/>
              <w:pageBreakBefore w:val="0"/>
              <w:widowControl w:val="0"/>
              <w:kinsoku/>
              <w:wordWrap/>
              <w:overflowPunct/>
              <w:topLinePunct w:val="0"/>
              <w:autoSpaceDE/>
              <w:autoSpaceDN/>
              <w:bidi w:val="0"/>
              <w:adjustRightInd/>
              <w:snapToGrid/>
              <w:jc w:val="right"/>
              <w:textAlignment w:val="center"/>
              <w:rPr>
                <w:rFonts w:hint="eastAsia" w:eastAsia="宋体"/>
                <w:color w:val="auto"/>
                <w:szCs w:val="21"/>
                <w:lang w:eastAsia="zh-CN"/>
              </w:rPr>
            </w:pPr>
            <w:r>
              <w:rPr>
                <w:rFonts w:hint="eastAsia"/>
                <w:color w:val="auto"/>
                <w:position w:val="-12"/>
              </w:rPr>
              <w:object>
                <v:shape id="_x0000_i1058" o:spt="75" type="#_x0000_t75" style="height:18pt;width:13pt;" o:ole="t" filled="f" o:preferrelative="t" stroked="f" coordsize="21600,21600">
                  <v:path/>
                  <v:fill on="f" focussize="0,0"/>
                  <v:stroke on="f" joinstyle="miter"/>
                  <v:imagedata r:id="rId74" o:title=""/>
                  <o:lock v:ext="edit" aspectratio="t"/>
                  <w10:wrap type="none"/>
                  <w10:anchorlock/>
                </v:shape>
                <o:OLEObject Type="Embed" ProgID="Equation.DSMT4" ShapeID="_x0000_i1058" DrawAspect="Content" ObjectID="_1468075758" r:id="rId73">
                  <o:LockedField>false</o:LockedField>
                </o:OLEObject>
              </w:object>
            </w:r>
            <w:r>
              <w:rPr>
                <w:rFonts w:hint="eastAsia"/>
                <w:color w:val="auto"/>
                <w:position w:val="-12"/>
                <w:lang w:eastAsia="zh-CN"/>
              </w:rPr>
              <w:t>、</w:t>
            </w:r>
            <w:r>
              <w:rPr>
                <w:rFonts w:hint="eastAsia"/>
                <w:color w:val="auto"/>
                <w:position w:val="-12"/>
              </w:rPr>
              <w:object>
                <v:shape id="_x0000_i1059" o:spt="75" type="#_x0000_t75" style="height:18pt;width:13pt;" o:ole="t" filled="f" o:preferrelative="t" stroked="f" coordsize="21600,21600">
                  <v:path/>
                  <v:fill on="f" focussize="0,0"/>
                  <v:stroke on="f" joinstyle="miter"/>
                  <v:imagedata r:id="rId76" o:title=""/>
                  <o:lock v:ext="edit" aspectratio="t"/>
                  <w10:wrap type="none"/>
                  <w10:anchorlock/>
                </v:shape>
                <o:OLEObject Type="Embed" ProgID="Equation.DSMT4" ShapeID="_x0000_i1059" DrawAspect="Content" ObjectID="_1468075759" r:id="rId75">
                  <o:LockedField>false</o:LockedField>
                </o:OLEObject>
              </w:object>
            </w:r>
          </w:p>
        </w:tc>
        <w:tc>
          <w:tcPr>
            <w:tcW w:w="4000" w:type="pct"/>
            <w:vAlign w:val="center"/>
          </w:tcPr>
          <w:p w14:paraId="12EE92DF">
            <w:pPr>
              <w:pStyle w:val="326"/>
              <w:keepNext w:val="0"/>
              <w:keepLines w:val="0"/>
              <w:pageBreakBefore w:val="0"/>
              <w:widowControl w:val="0"/>
              <w:kinsoku/>
              <w:wordWrap/>
              <w:overflowPunct/>
              <w:topLinePunct w:val="0"/>
              <w:autoSpaceDE/>
              <w:autoSpaceDN/>
              <w:bidi w:val="0"/>
              <w:adjustRightInd/>
              <w:snapToGrid/>
              <w:textAlignment w:val="center"/>
              <w:rPr>
                <w:color w:val="auto"/>
                <w:szCs w:val="21"/>
              </w:rPr>
            </w:pPr>
            <w:r>
              <w:rPr>
                <w:rFonts w:hint="eastAsia"/>
                <w:color w:val="auto"/>
              </w:rPr>
              <w:t>——</w:t>
            </w:r>
            <w:r>
              <w:rPr>
                <w:rFonts w:hint="eastAsia"/>
                <w:color w:val="auto"/>
                <w:szCs w:val="21"/>
              </w:rPr>
              <w:t>构件斜截面上抗剪钢筋</w:t>
            </w:r>
            <w:r>
              <w:rPr>
                <w:rFonts w:hint="eastAsia"/>
                <w:color w:val="auto"/>
                <w:szCs w:val="21"/>
                <w:lang w:eastAsia="zh-CN"/>
              </w:rPr>
              <w:t>、</w:t>
            </w:r>
            <w:r>
              <w:rPr>
                <w:rFonts w:hint="eastAsia"/>
                <w:color w:val="auto"/>
                <w:szCs w:val="21"/>
              </w:rPr>
              <w:t>普通混凝土基体受剪承载力设计值；</w:t>
            </w:r>
          </w:p>
        </w:tc>
      </w:tr>
      <w:tr w14:paraId="66E09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vAlign w:val="center"/>
          </w:tcPr>
          <w:p w14:paraId="4E6B5EB6">
            <w:pPr>
              <w:pStyle w:val="326"/>
              <w:jc w:val="right"/>
              <w:textAlignment w:val="auto"/>
              <w:rPr>
                <w:color w:val="auto"/>
                <w:szCs w:val="21"/>
              </w:rPr>
            </w:pPr>
            <w:r>
              <w:rPr>
                <w:rFonts w:hint="eastAsia"/>
                <w:color w:val="auto"/>
                <w:position w:val="-12"/>
              </w:rPr>
              <w:object>
                <v:shape id="_x0000_i1060" o:spt="75" type="#_x0000_t75" style="height:18pt;width:13pt;" o:ole="t" filled="f" o:preferrelative="t" stroked="f" coordsize="21600,21600">
                  <v:path/>
                  <v:fill on="f" focussize="0,0"/>
                  <v:stroke on="f" joinstyle="miter"/>
                  <v:imagedata r:id="rId78" o:title=""/>
                  <o:lock v:ext="edit" aspectratio="t"/>
                  <w10:wrap type="none"/>
                  <w10:anchorlock/>
                </v:shape>
                <o:OLEObject Type="Embed" ProgID="Equation.DSMT4" ShapeID="_x0000_i1060" DrawAspect="Content" ObjectID="_1468075760" r:id="rId77">
                  <o:LockedField>false</o:LockedField>
                </o:OLEObject>
              </w:object>
            </w:r>
          </w:p>
        </w:tc>
        <w:tc>
          <w:tcPr>
            <w:tcW w:w="4000" w:type="pct"/>
            <w:vAlign w:val="center"/>
          </w:tcPr>
          <w:p w14:paraId="081D4B5B">
            <w:pPr>
              <w:pStyle w:val="326"/>
              <w:ind w:left="420" w:hanging="420" w:hangingChars="200"/>
              <w:textAlignment w:val="auto"/>
              <w:rPr>
                <w:color w:val="auto"/>
                <w:szCs w:val="21"/>
              </w:rPr>
            </w:pPr>
            <w:r>
              <w:rPr>
                <w:rFonts w:hint="eastAsia"/>
                <w:color w:val="auto"/>
              </w:rPr>
              <w:t>——</w:t>
            </w:r>
            <w:r>
              <w:rPr>
                <w:rFonts w:hint="eastAsia"/>
                <w:color w:val="auto"/>
                <w:szCs w:val="21"/>
              </w:rPr>
              <w:t>倒“T”形组合式盖板结构内超高性能混凝土与普通混凝土交界面</w:t>
            </w:r>
          </w:p>
        </w:tc>
      </w:tr>
      <w:tr w14:paraId="15BC9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vAlign w:val="center"/>
          </w:tcPr>
          <w:p w14:paraId="500F235D">
            <w:pPr>
              <w:pStyle w:val="326"/>
              <w:jc w:val="right"/>
              <w:textAlignment w:val="auto"/>
              <w:rPr>
                <w:color w:val="auto"/>
                <w:szCs w:val="21"/>
              </w:rPr>
            </w:pPr>
          </w:p>
        </w:tc>
        <w:tc>
          <w:tcPr>
            <w:tcW w:w="4000" w:type="pct"/>
            <w:vAlign w:val="center"/>
          </w:tcPr>
          <w:p w14:paraId="6FCC8FFB">
            <w:pPr>
              <w:pStyle w:val="326"/>
              <w:ind w:firstLine="420" w:firstLineChars="200"/>
              <w:textAlignment w:val="auto"/>
              <w:rPr>
                <w:color w:val="auto"/>
                <w:szCs w:val="21"/>
              </w:rPr>
            </w:pPr>
            <w:r>
              <w:rPr>
                <w:rFonts w:hint="eastAsia"/>
                <w:color w:val="auto"/>
                <w:szCs w:val="21"/>
              </w:rPr>
              <w:t>的纵向剪力；</w:t>
            </w:r>
          </w:p>
        </w:tc>
      </w:tr>
      <w:tr w14:paraId="67F6F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vAlign w:val="center"/>
          </w:tcPr>
          <w:p w14:paraId="7563F4F7">
            <w:pPr>
              <w:pStyle w:val="326"/>
              <w:jc w:val="right"/>
              <w:textAlignment w:val="auto"/>
              <w:rPr>
                <w:color w:val="auto"/>
                <w:szCs w:val="21"/>
              </w:rPr>
            </w:pPr>
            <w:r>
              <w:rPr>
                <w:rFonts w:hint="eastAsia"/>
                <w:color w:val="auto"/>
                <w:position w:val="-12"/>
              </w:rPr>
              <w:object>
                <v:shape id="_x0000_i1061" o:spt="75" type="#_x0000_t75" style="height:18pt;width:18pt;" o:ole="t" filled="f" o:preferrelative="t" stroked="f" coordsize="21600,21600">
                  <v:path/>
                  <v:fill on="f" focussize="0,0"/>
                  <v:stroke on="f" joinstyle="miter"/>
                  <v:imagedata r:id="rId80" o:title=""/>
                  <o:lock v:ext="edit" aspectratio="t"/>
                  <w10:wrap type="none"/>
                  <w10:anchorlock/>
                </v:shape>
                <o:OLEObject Type="Embed" ProgID="Equation.DSMT4" ShapeID="_x0000_i1061" DrawAspect="Content" ObjectID="_1468075761" r:id="rId79">
                  <o:LockedField>false</o:LockedField>
                </o:OLEObject>
              </w:object>
            </w:r>
            <w:r>
              <w:rPr>
                <w:rFonts w:hint="eastAsia"/>
                <w:color w:val="auto"/>
              </w:rPr>
              <w:t>、</w:t>
            </w:r>
            <w:r>
              <w:rPr>
                <w:rFonts w:hint="eastAsia"/>
                <w:color w:val="auto"/>
                <w:position w:val="-12"/>
              </w:rPr>
              <w:object>
                <v:shape id="_x0000_i1062" o:spt="75" type="#_x0000_t75" style="height:18pt;width:19pt;" o:ole="t" filled="f" o:preferrelative="t" stroked="f" coordsize="21600,21600">
                  <v:path/>
                  <v:fill on="f" focussize="0,0"/>
                  <v:stroke on="f" joinstyle="miter"/>
                  <v:imagedata r:id="rId82" o:title=""/>
                  <o:lock v:ext="edit" aspectratio="t"/>
                  <w10:wrap type="none"/>
                  <w10:anchorlock/>
                </v:shape>
                <o:OLEObject Type="Embed" ProgID="Equation.DSMT4" ShapeID="_x0000_i1062" DrawAspect="Content" ObjectID="_1468075762" r:id="rId81">
                  <o:LockedField>false</o:LockedField>
                </o:OLEObject>
              </w:object>
            </w:r>
          </w:p>
        </w:tc>
        <w:tc>
          <w:tcPr>
            <w:tcW w:w="4000" w:type="pct"/>
            <w:vAlign w:val="center"/>
          </w:tcPr>
          <w:p w14:paraId="16B990DC">
            <w:pPr>
              <w:pStyle w:val="326"/>
              <w:textAlignment w:val="auto"/>
              <w:rPr>
                <w:color w:val="auto"/>
                <w:szCs w:val="21"/>
              </w:rPr>
            </w:pPr>
            <w:r>
              <w:rPr>
                <w:rFonts w:hint="eastAsia"/>
                <w:color w:val="auto"/>
                <w:szCs w:val="21"/>
              </w:rPr>
              <w:t>——计算界面剪力时取的自由体右、左端压力；</w:t>
            </w:r>
          </w:p>
        </w:tc>
      </w:tr>
      <w:tr w14:paraId="5ECFD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vAlign w:val="center"/>
          </w:tcPr>
          <w:p w14:paraId="64BD02C4">
            <w:pPr>
              <w:pStyle w:val="326"/>
              <w:jc w:val="right"/>
              <w:textAlignment w:val="auto"/>
              <w:rPr>
                <w:color w:val="auto"/>
              </w:rPr>
            </w:pPr>
            <w:r>
              <w:rPr>
                <w:rFonts w:hint="eastAsia"/>
                <w:color w:val="auto"/>
                <w:position w:val="-12"/>
              </w:rPr>
              <w:object>
                <v:shape id="_x0000_i1063" o:spt="75" type="#_x0000_t75" style="height:18pt;width:22pt;" o:ole="t" filled="f" o:preferrelative="t" stroked="f" coordsize="21600,21600">
                  <v:path/>
                  <v:fill on="f" focussize="0,0"/>
                  <v:stroke on="f" joinstyle="miter"/>
                  <v:imagedata r:id="rId84" o:title=""/>
                  <o:lock v:ext="edit" aspectratio="t"/>
                  <w10:wrap type="none"/>
                  <w10:anchorlock/>
                </v:shape>
                <o:OLEObject Type="Embed" ProgID="Equation.DSMT4" ShapeID="_x0000_i1063" DrawAspect="Content" ObjectID="_1468075763" r:id="rId83">
                  <o:LockedField>false</o:LockedField>
                </o:OLEObject>
              </w:object>
            </w:r>
            <w:r>
              <w:rPr>
                <w:rFonts w:hint="eastAsia"/>
                <w:color w:val="auto"/>
              </w:rPr>
              <w:t>、</w:t>
            </w:r>
            <w:r>
              <w:rPr>
                <w:rFonts w:hint="eastAsia"/>
                <w:color w:val="auto"/>
                <w:position w:val="-12"/>
              </w:rPr>
              <w:object>
                <v:shape id="_x0000_i1064" o:spt="75" type="#_x0000_t75" style="height:18pt;width:23pt;" o:ole="t" filled="f" o:preferrelative="t" stroked="f" coordsize="21600,21600">
                  <v:path/>
                  <v:fill on="f" focussize="0,0"/>
                  <v:stroke on="f"/>
                  <v:imagedata r:id="rId86" o:title=""/>
                  <o:lock v:ext="edit" aspectratio="t"/>
                  <w10:wrap type="none"/>
                  <w10:anchorlock/>
                </v:shape>
                <o:OLEObject Type="Embed" ProgID="Equation.DSMT4" ShapeID="_x0000_i1064" DrawAspect="Content" ObjectID="_1468075764" r:id="rId85">
                  <o:LockedField>false</o:LockedField>
                </o:OLEObject>
              </w:object>
            </w:r>
          </w:p>
        </w:tc>
        <w:tc>
          <w:tcPr>
            <w:tcW w:w="4000" w:type="pct"/>
            <w:vAlign w:val="center"/>
          </w:tcPr>
          <w:p w14:paraId="421FF391">
            <w:pPr>
              <w:pStyle w:val="326"/>
              <w:textAlignment w:val="auto"/>
              <w:rPr>
                <w:color w:val="auto"/>
                <w:szCs w:val="21"/>
              </w:rPr>
            </w:pPr>
            <w:r>
              <w:rPr>
                <w:rFonts w:hint="eastAsia"/>
                <w:color w:val="auto"/>
                <w:szCs w:val="21"/>
              </w:rPr>
              <w:t>——计算界面剪力时取的自由体右、左段力矩；</w:t>
            </w:r>
          </w:p>
        </w:tc>
      </w:tr>
      <w:tr w14:paraId="04D1E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vAlign w:val="center"/>
          </w:tcPr>
          <w:p w14:paraId="79BB81AA">
            <w:pPr>
              <w:pStyle w:val="326"/>
              <w:keepNext w:val="0"/>
              <w:keepLines w:val="0"/>
              <w:pageBreakBefore w:val="0"/>
              <w:widowControl w:val="0"/>
              <w:kinsoku/>
              <w:wordWrap/>
              <w:overflowPunct/>
              <w:topLinePunct w:val="0"/>
              <w:autoSpaceDE/>
              <w:autoSpaceDN/>
              <w:bidi w:val="0"/>
              <w:adjustRightInd/>
              <w:snapToGrid/>
              <w:jc w:val="right"/>
              <w:textAlignment w:val="center"/>
              <w:rPr>
                <w:rFonts w:hint="eastAsia" w:eastAsia="宋体"/>
                <w:color w:val="auto"/>
                <w:position w:val="-12"/>
                <w:lang w:eastAsia="zh-CN"/>
              </w:rPr>
            </w:pPr>
            <w:r>
              <w:rPr>
                <w:rFonts w:hint="eastAsia"/>
                <w:color w:val="auto"/>
                <w:position w:val="-12"/>
              </w:rPr>
              <w:object>
                <v:shape id="_x0000_i1065" o:spt="75" type="#_x0000_t75" style="height:18pt;width:15pt;" o:ole="t" filled="f" o:preferrelative="t" stroked="f" coordsize="21600,21600">
                  <v:path/>
                  <v:fill on="f" focussize="0,0"/>
                  <v:stroke on="f"/>
                  <v:imagedata r:id="rId88" o:title=""/>
                  <o:lock v:ext="edit" aspectratio="f"/>
                  <w10:wrap type="none"/>
                  <w10:anchorlock/>
                </v:shape>
                <o:OLEObject Type="Embed" ProgID="Equation.DSMT4" ShapeID="_x0000_i1065" DrawAspect="Content" ObjectID="_1468075765" r:id="rId87">
                  <o:LockedField>false</o:LockedField>
                </o:OLEObject>
              </w:object>
            </w:r>
            <w:r>
              <w:rPr>
                <w:rFonts w:hint="eastAsia"/>
                <w:color w:val="auto"/>
                <w:position w:val="-12"/>
                <w:lang w:eastAsia="zh-CN"/>
              </w:rPr>
              <w:t>、</w:t>
            </w:r>
            <w:r>
              <w:rPr>
                <w:rFonts w:hint="eastAsia" w:eastAsia="宋体"/>
                <w:color w:val="auto"/>
                <w:position w:val="-12"/>
                <w:lang w:eastAsia="zh-CN"/>
              </w:rPr>
              <w:object>
                <v:shape id="_x0000_i1066" o:spt="75" type="#_x0000_t75" style="height:18pt;width:17pt;" o:ole="t" filled="f" o:preferrelative="t" stroked="f" coordsize="21600,21600">
                  <v:path/>
                  <v:fill on="f" focussize="0,0"/>
                  <v:stroke on="f"/>
                  <v:imagedata r:id="rId90" o:title=""/>
                  <o:lock v:ext="edit" aspectratio="f"/>
                  <w10:wrap type="none"/>
                  <w10:anchorlock/>
                </v:shape>
                <o:OLEObject Type="Embed" ProgID="Equation.DSMT4" ShapeID="_x0000_i1066" DrawAspect="Content" ObjectID="_1468075766" r:id="rId89">
                  <o:LockedField>false</o:LockedField>
                </o:OLEObject>
              </w:object>
            </w:r>
          </w:p>
        </w:tc>
        <w:tc>
          <w:tcPr>
            <w:tcW w:w="4000" w:type="pct"/>
            <w:vAlign w:val="center"/>
          </w:tcPr>
          <w:p w14:paraId="1A35A889">
            <w:pPr>
              <w:pStyle w:val="326"/>
              <w:keepNext w:val="0"/>
              <w:keepLines w:val="0"/>
              <w:pageBreakBefore w:val="0"/>
              <w:widowControl w:val="0"/>
              <w:kinsoku/>
              <w:wordWrap/>
              <w:overflowPunct/>
              <w:topLinePunct w:val="0"/>
              <w:autoSpaceDE/>
              <w:autoSpaceDN/>
              <w:bidi w:val="0"/>
              <w:adjustRightInd/>
              <w:snapToGrid/>
              <w:textAlignment w:val="center"/>
              <w:rPr>
                <w:rFonts w:hint="eastAsia" w:eastAsia="宋体"/>
                <w:color w:val="auto"/>
                <w:szCs w:val="21"/>
                <w:lang w:eastAsia="zh-CN"/>
              </w:rPr>
            </w:pPr>
            <w:r>
              <w:rPr>
                <w:rFonts w:hint="eastAsia"/>
                <w:color w:val="auto"/>
                <w:szCs w:val="21"/>
                <w:lang w:eastAsia="zh-CN"/>
              </w:rPr>
              <w:t>——</w:t>
            </w:r>
            <w:r>
              <w:rPr>
                <w:rFonts w:hint="eastAsia"/>
                <w:color w:val="auto"/>
                <w:szCs w:val="21"/>
              </w:rPr>
              <w:t>计算界面剪力时取的自由体右、左段</w:t>
            </w:r>
            <w:r>
              <w:rPr>
                <w:rFonts w:hint="eastAsia"/>
                <w:color w:val="auto"/>
                <w:szCs w:val="21"/>
                <w:lang w:val="en-US" w:eastAsia="zh-CN"/>
              </w:rPr>
              <w:t>拉力</w:t>
            </w:r>
            <w:r>
              <w:rPr>
                <w:rFonts w:hint="eastAsia"/>
                <w:color w:val="auto"/>
                <w:szCs w:val="21"/>
              </w:rPr>
              <w:t>；</w:t>
            </w:r>
          </w:p>
        </w:tc>
      </w:tr>
      <w:tr w14:paraId="4F1C9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vAlign w:val="center"/>
          </w:tcPr>
          <w:p w14:paraId="7E1E7628">
            <w:pPr>
              <w:pStyle w:val="326"/>
              <w:jc w:val="right"/>
              <w:textAlignment w:val="auto"/>
              <w:rPr>
                <w:color w:val="auto"/>
                <w:szCs w:val="21"/>
              </w:rPr>
            </w:pPr>
            <w:r>
              <w:rPr>
                <w:rFonts w:hint="eastAsia"/>
                <w:color w:val="auto"/>
                <w:position w:val="-12"/>
              </w:rPr>
              <w:object>
                <v:shape id="_x0000_i1067" o:spt="75" type="#_x0000_t75" style="height:19pt;width:17pt;" o:ole="t" filled="f" o:preferrelative="t" stroked="f" coordsize="21600,21600">
                  <v:path/>
                  <v:fill on="f" focussize="0,0"/>
                  <v:stroke on="f" joinstyle="miter"/>
                  <v:imagedata r:id="rId92" o:title=""/>
                  <o:lock v:ext="edit" aspectratio="t"/>
                  <w10:wrap type="none"/>
                  <w10:anchorlock/>
                </v:shape>
                <o:OLEObject Type="Embed" ProgID="Equation.DSMT4" ShapeID="_x0000_i1067" DrawAspect="Content" ObjectID="_1468075767" r:id="rId91">
                  <o:LockedField>false</o:LockedField>
                </o:OLEObject>
              </w:object>
            </w:r>
          </w:p>
        </w:tc>
        <w:tc>
          <w:tcPr>
            <w:tcW w:w="4000" w:type="pct"/>
            <w:vAlign w:val="center"/>
          </w:tcPr>
          <w:p w14:paraId="71A7D829">
            <w:pPr>
              <w:pStyle w:val="326"/>
              <w:textAlignment w:val="auto"/>
              <w:rPr>
                <w:color w:val="auto"/>
                <w:szCs w:val="21"/>
              </w:rPr>
            </w:pPr>
            <w:r>
              <w:rPr>
                <w:rFonts w:hint="eastAsia"/>
                <w:color w:val="auto"/>
              </w:rPr>
              <w:t>——</w:t>
            </w:r>
            <w:r>
              <w:rPr>
                <w:rFonts w:hint="eastAsia"/>
                <w:color w:val="auto"/>
                <w:szCs w:val="21"/>
              </w:rPr>
              <w:t>单根抗剪钢筋的抗剪承载力设计值；</w:t>
            </w:r>
          </w:p>
        </w:tc>
      </w:tr>
      <w:tr w14:paraId="6A3AE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vAlign w:val="center"/>
          </w:tcPr>
          <w:p w14:paraId="161A2CF9">
            <w:pPr>
              <w:pStyle w:val="326"/>
              <w:jc w:val="right"/>
              <w:textAlignment w:val="auto"/>
              <w:rPr>
                <w:color w:val="auto"/>
                <w:szCs w:val="21"/>
              </w:rPr>
            </w:pPr>
            <w:r>
              <w:rPr>
                <w:rFonts w:hint="eastAsia"/>
                <w:color w:val="auto"/>
                <w:position w:val="-12"/>
              </w:rPr>
              <w:object>
                <v:shape id="_x0000_i1068" o:spt="75" type="#_x0000_t75" style="height:18pt;width:18pt;" o:ole="t" filled="f" o:preferrelative="t" stroked="f" coordsize="21600,21600">
                  <v:path/>
                  <v:fill on="f" focussize="0,0"/>
                  <v:stroke on="f" joinstyle="miter"/>
                  <v:imagedata r:id="rId94" o:title=""/>
                  <o:lock v:ext="edit" aspectratio="t"/>
                  <w10:wrap type="none"/>
                  <w10:anchorlock/>
                </v:shape>
                <o:OLEObject Type="Embed" ProgID="Equation.DSMT4" ShapeID="_x0000_i1068" DrawAspect="Content" ObjectID="_1468075768" r:id="rId93">
                  <o:LockedField>false</o:LockedField>
                </o:OLEObject>
              </w:object>
            </w:r>
            <w:r>
              <w:rPr>
                <w:rFonts w:hint="eastAsia"/>
                <w:color w:val="auto"/>
              </w:rPr>
              <w:t>、</w:t>
            </w:r>
            <w:r>
              <w:rPr>
                <w:rFonts w:hint="eastAsia"/>
                <w:color w:val="auto"/>
                <w:position w:val="-12"/>
              </w:rPr>
              <w:object>
                <v:shape id="_x0000_i1069" o:spt="75" type="#_x0000_t75" style="height:18pt;width:18pt;" o:ole="t" filled="f" o:preferrelative="t" stroked="f" coordsize="21600,21600">
                  <v:path/>
                  <v:fill on="f" focussize="0,0"/>
                  <v:stroke on="f" joinstyle="miter"/>
                  <v:imagedata r:id="rId96" o:title=""/>
                  <o:lock v:ext="edit" aspectratio="t"/>
                  <w10:wrap type="none"/>
                  <w10:anchorlock/>
                </v:shape>
                <o:OLEObject Type="Embed" ProgID="Equation.DSMT4" ShapeID="_x0000_i1069" DrawAspect="Content" ObjectID="_1468075769" r:id="rId95">
                  <o:LockedField>false</o:LockedField>
                </o:OLEObject>
              </w:object>
            </w:r>
          </w:p>
        </w:tc>
        <w:tc>
          <w:tcPr>
            <w:tcW w:w="4000" w:type="pct"/>
            <w:vAlign w:val="center"/>
          </w:tcPr>
          <w:p w14:paraId="053C028F">
            <w:pPr>
              <w:pStyle w:val="326"/>
              <w:textAlignment w:val="auto"/>
              <w:rPr>
                <w:color w:val="auto"/>
                <w:szCs w:val="21"/>
              </w:rPr>
            </w:pPr>
            <w:r>
              <w:rPr>
                <w:rFonts w:hint="eastAsia"/>
                <w:color w:val="auto"/>
              </w:rPr>
              <w:t>——</w:t>
            </w:r>
            <w:r>
              <w:rPr>
                <w:rFonts w:hint="eastAsia"/>
                <w:color w:val="auto"/>
                <w:szCs w:val="21"/>
              </w:rPr>
              <w:t>作用频遇组合下开裂截面UHPC层和NSC层钢筋的应力；</w:t>
            </w:r>
          </w:p>
        </w:tc>
      </w:tr>
      <w:tr w14:paraId="5AEC4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vAlign w:val="center"/>
          </w:tcPr>
          <w:p w14:paraId="2C1C1900">
            <w:pPr>
              <w:pStyle w:val="326"/>
              <w:jc w:val="right"/>
              <w:textAlignment w:val="auto"/>
              <w:rPr>
                <w:color w:val="auto"/>
              </w:rPr>
            </w:pPr>
            <w:r>
              <w:rPr>
                <w:rFonts w:hint="eastAsia"/>
                <w:color w:val="auto"/>
                <w:position w:val="-12"/>
              </w:rPr>
              <w:object>
                <v:shape id="_x0000_i1070" o:spt="75" type="#_x0000_t75" style="height:19pt;width:18pt;" o:ole="t" filled="f" o:preferrelative="t" stroked="f" coordsize="21600,21600">
                  <v:path/>
                  <v:fill on="f" focussize="0,0"/>
                  <v:stroke on="f" joinstyle="miter"/>
                  <v:imagedata r:id="rId98" o:title=""/>
                  <o:lock v:ext="edit" aspectratio="t"/>
                  <w10:wrap type="none"/>
                  <w10:anchorlock/>
                </v:shape>
                <o:OLEObject Type="Embed" ProgID="Equation.DSMT4" ShapeID="_x0000_i1070" DrawAspect="Content" ObjectID="_1468075770" r:id="rId97">
                  <o:LockedField>false</o:LockedField>
                </o:OLEObject>
              </w:object>
            </w:r>
          </w:p>
        </w:tc>
        <w:tc>
          <w:tcPr>
            <w:tcW w:w="4000" w:type="pct"/>
            <w:vAlign w:val="center"/>
          </w:tcPr>
          <w:p w14:paraId="4CF7D67D">
            <w:pPr>
              <w:pStyle w:val="326"/>
              <w:textAlignment w:val="auto"/>
              <w:rPr>
                <w:color w:val="auto"/>
              </w:rPr>
            </w:pPr>
            <w:r>
              <w:rPr>
                <w:rFonts w:hint="eastAsia"/>
                <w:color w:val="auto"/>
              </w:rPr>
              <w:t>——</w:t>
            </w:r>
            <w:r>
              <w:rPr>
                <w:rFonts w:hint="eastAsia"/>
                <w:color w:val="auto"/>
                <w:szCs w:val="21"/>
              </w:rPr>
              <w:t>短暂状况计算时截面受压区边缘NSC的压应力；</w:t>
            </w:r>
          </w:p>
        </w:tc>
      </w:tr>
      <w:tr w14:paraId="30A37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vAlign w:val="center"/>
          </w:tcPr>
          <w:p w14:paraId="2D690ED1">
            <w:pPr>
              <w:pStyle w:val="326"/>
              <w:jc w:val="right"/>
              <w:textAlignment w:val="auto"/>
              <w:rPr>
                <w:color w:val="auto"/>
              </w:rPr>
            </w:pPr>
            <w:r>
              <w:rPr>
                <w:rFonts w:hint="eastAsia"/>
                <w:color w:val="auto"/>
                <w:position w:val="-14"/>
              </w:rPr>
              <w:object>
                <v:shape id="_x0000_i1071" o:spt="75" type="#_x0000_t75" style="height:20pt;width:17pt;" o:ole="t" filled="f" o:preferrelative="t" stroked="f" coordsize="21600,21600">
                  <v:path/>
                  <v:fill on="f" focussize="0,0"/>
                  <v:stroke on="f" joinstyle="miter"/>
                  <v:imagedata r:id="rId100" o:title=""/>
                  <o:lock v:ext="edit" aspectratio="t"/>
                  <w10:wrap type="none"/>
                  <w10:anchorlock/>
                </v:shape>
                <o:OLEObject Type="Embed" ProgID="Equation.DSMT4" ShapeID="_x0000_i1071" DrawAspect="Content" ObjectID="_1468075771" r:id="rId99">
                  <o:LockedField>false</o:LockedField>
                </o:OLEObject>
              </w:object>
            </w:r>
          </w:p>
        </w:tc>
        <w:tc>
          <w:tcPr>
            <w:tcW w:w="4000" w:type="pct"/>
            <w:vAlign w:val="center"/>
          </w:tcPr>
          <w:p w14:paraId="326A3C99">
            <w:pPr>
              <w:pStyle w:val="326"/>
              <w:textAlignment w:val="auto"/>
              <w:rPr>
                <w:color w:val="auto"/>
                <w:szCs w:val="21"/>
                <w:highlight w:val="yellow"/>
              </w:rPr>
            </w:pPr>
            <w:r>
              <w:rPr>
                <w:rFonts w:hint="eastAsia"/>
                <w:color w:val="auto"/>
                <w:szCs w:val="21"/>
              </w:rPr>
              <w:t>——中性轴处超高性能混凝土的主拉应力；</w:t>
            </w:r>
          </w:p>
        </w:tc>
      </w:tr>
      <w:tr w14:paraId="2194C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vAlign w:val="center"/>
          </w:tcPr>
          <w:p w14:paraId="05D6C883">
            <w:pPr>
              <w:pStyle w:val="326"/>
              <w:jc w:val="right"/>
              <w:textAlignment w:val="auto"/>
              <w:rPr>
                <w:color w:val="auto"/>
              </w:rPr>
            </w:pPr>
            <w:r>
              <w:rPr>
                <w:rFonts w:hint="eastAsia"/>
                <w:color w:val="auto"/>
                <w:position w:val="-12"/>
              </w:rPr>
              <w:object>
                <v:shape id="_x0000_i1072" o:spt="75" type="#_x0000_t75" style="height:19pt;width:19pt;" o:ole="t" filled="f" o:preferrelative="t" stroked="f" coordsize="21600,21600">
                  <v:path/>
                  <v:fill on="f" focussize="0,0"/>
                  <v:stroke on="f" joinstyle="miter"/>
                  <v:imagedata r:id="rId102" o:title=""/>
                  <o:lock v:ext="edit" aspectratio="t"/>
                  <w10:wrap type="none"/>
                  <w10:anchorlock/>
                </v:shape>
                <o:OLEObject Type="Embed" ProgID="Equation.DSMT4" ShapeID="_x0000_i1072" DrawAspect="Content" ObjectID="_1468075772" r:id="rId101">
                  <o:LockedField>false</o:LockedField>
                </o:OLEObject>
              </w:object>
            </w:r>
          </w:p>
        </w:tc>
        <w:tc>
          <w:tcPr>
            <w:tcW w:w="4000" w:type="pct"/>
            <w:vAlign w:val="center"/>
          </w:tcPr>
          <w:p w14:paraId="1BD6FC2B">
            <w:pPr>
              <w:pStyle w:val="326"/>
              <w:textAlignment w:val="auto"/>
              <w:rPr>
                <w:color w:val="auto"/>
                <w:szCs w:val="21"/>
              </w:rPr>
            </w:pPr>
            <w:r>
              <w:rPr>
                <w:rFonts w:hint="eastAsia"/>
                <w:color w:val="auto"/>
                <w:szCs w:val="21"/>
              </w:rPr>
              <w:t>——由临时的施工荷载标准值产生的弯矩值；</w:t>
            </w:r>
          </w:p>
        </w:tc>
      </w:tr>
      <w:tr w14:paraId="3FCE3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vAlign w:val="center"/>
          </w:tcPr>
          <w:p w14:paraId="134EB8EF">
            <w:pPr>
              <w:pStyle w:val="326"/>
              <w:jc w:val="right"/>
              <w:textAlignment w:val="auto"/>
              <w:rPr>
                <w:color w:val="auto"/>
              </w:rPr>
            </w:pPr>
            <w:r>
              <w:rPr>
                <w:rFonts w:hint="eastAsia"/>
                <w:color w:val="auto"/>
                <w:position w:val="-12"/>
              </w:rPr>
              <w:object>
                <v:shape id="_x0000_i1073" o:spt="75" type="#_x0000_t75" style="height:19pt;width:17pt;" o:ole="t" filled="f" o:preferrelative="t" stroked="f" coordsize="21600,21600">
                  <v:path/>
                  <v:fill on="f" focussize="0,0"/>
                  <v:stroke on="f" joinstyle="miter"/>
                  <v:imagedata r:id="rId104" o:title=""/>
                  <o:lock v:ext="edit" aspectratio="t"/>
                  <w10:wrap type="none"/>
                  <w10:anchorlock/>
                </v:shape>
                <o:OLEObject Type="Embed" ProgID="Equation.DSMT4" ShapeID="_x0000_i1073" DrawAspect="Content" ObjectID="_1468075773" r:id="rId103">
                  <o:LockedField>false</o:LockedField>
                </o:OLEObject>
              </w:object>
            </w:r>
          </w:p>
        </w:tc>
        <w:tc>
          <w:tcPr>
            <w:tcW w:w="4000" w:type="pct"/>
            <w:vAlign w:val="center"/>
          </w:tcPr>
          <w:p w14:paraId="4E196896">
            <w:pPr>
              <w:pStyle w:val="326"/>
              <w:textAlignment w:val="auto"/>
              <w:rPr>
                <w:color w:val="auto"/>
                <w:szCs w:val="21"/>
              </w:rPr>
            </w:pPr>
            <w:r>
              <w:rPr>
                <w:rFonts w:hint="eastAsia"/>
                <w:color w:val="auto"/>
                <w:szCs w:val="21"/>
              </w:rPr>
              <w:t>——按短暂状况计算时受拉区第i层钢筋的应力；</w:t>
            </w:r>
          </w:p>
        </w:tc>
      </w:tr>
      <w:tr w14:paraId="74D12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vAlign w:val="center"/>
          </w:tcPr>
          <w:p w14:paraId="562F9028">
            <w:pPr>
              <w:pStyle w:val="326"/>
              <w:jc w:val="right"/>
              <w:textAlignment w:val="auto"/>
              <w:rPr>
                <w:color w:val="auto"/>
              </w:rPr>
            </w:pPr>
            <w:r>
              <w:rPr>
                <w:rFonts w:hint="eastAsia"/>
                <w:color w:val="auto"/>
                <w:position w:val="-12"/>
              </w:rPr>
              <w:object>
                <v:shape id="_x0000_i1074" o:spt="75" type="#_x0000_t75" style="height:19pt;width:13.95pt;" o:ole="t" filled="f" o:preferrelative="t" stroked="f" coordsize="21600,21600">
                  <v:path/>
                  <v:fill on="f" focussize="0,0"/>
                  <v:stroke on="f" joinstyle="miter"/>
                  <v:imagedata r:id="rId106" o:title=""/>
                  <o:lock v:ext="edit" aspectratio="t"/>
                  <w10:wrap type="none"/>
                  <w10:anchorlock/>
                </v:shape>
                <o:OLEObject Type="Embed" ProgID="Equation.DSMT4" ShapeID="_x0000_i1074" DrawAspect="Content" ObjectID="_1468075774" r:id="rId105">
                  <o:LockedField>false</o:LockedField>
                </o:OLEObject>
              </w:object>
            </w:r>
          </w:p>
        </w:tc>
        <w:tc>
          <w:tcPr>
            <w:tcW w:w="4000" w:type="pct"/>
            <w:vAlign w:val="center"/>
          </w:tcPr>
          <w:p w14:paraId="79BA22AC">
            <w:pPr>
              <w:pStyle w:val="326"/>
              <w:textAlignment w:val="auto"/>
              <w:rPr>
                <w:color w:val="auto"/>
                <w:szCs w:val="21"/>
              </w:rPr>
            </w:pPr>
            <w:r>
              <w:rPr>
                <w:rFonts w:hint="eastAsia"/>
                <w:color w:val="auto"/>
                <w:szCs w:val="21"/>
              </w:rPr>
              <w:t>——由临时的施工荷载标准值产生的剪力值；</w:t>
            </w:r>
          </w:p>
        </w:tc>
      </w:tr>
      <w:tr w14:paraId="2E502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vAlign w:val="center"/>
          </w:tcPr>
          <w:p w14:paraId="41FB6389">
            <w:pPr>
              <w:pStyle w:val="326"/>
              <w:jc w:val="right"/>
              <w:textAlignment w:val="auto"/>
              <w:rPr>
                <w:color w:val="auto"/>
              </w:rPr>
            </w:pPr>
            <w:r>
              <w:rPr>
                <w:rFonts w:hint="eastAsia"/>
                <w:color w:val="auto"/>
                <w:position w:val="-4"/>
              </w:rPr>
              <w:object>
                <v:shape id="_x0000_i1075" o:spt="75" type="#_x0000_t75" style="height:13pt;width:13pt;" o:ole="t" filled="f" o:preferrelative="t" stroked="f" coordsize="21600,21600">
                  <v:path/>
                  <v:fill on="f" focussize="0,0"/>
                  <v:stroke on="f" joinstyle="miter"/>
                  <v:imagedata r:id="rId108" o:title=""/>
                  <o:lock v:ext="edit" aspectratio="t"/>
                  <w10:wrap type="none"/>
                  <w10:anchorlock/>
                </v:shape>
                <o:OLEObject Type="Embed" ProgID="Equation.DSMT4" ShapeID="_x0000_i1075" DrawAspect="Content" ObjectID="_1468075775" r:id="rId107">
                  <o:LockedField>false</o:LockedField>
                </o:OLEObject>
              </w:object>
            </w:r>
          </w:p>
        </w:tc>
        <w:tc>
          <w:tcPr>
            <w:tcW w:w="4000" w:type="pct"/>
            <w:vAlign w:val="center"/>
          </w:tcPr>
          <w:p w14:paraId="642659CE">
            <w:pPr>
              <w:pStyle w:val="326"/>
              <w:textAlignment w:val="auto"/>
              <w:rPr>
                <w:rFonts w:hint="eastAsia" w:eastAsia="宋体"/>
                <w:color w:val="auto"/>
                <w:szCs w:val="21"/>
                <w:lang w:eastAsia="zh-CN"/>
              </w:rPr>
            </w:pPr>
            <w:r>
              <w:rPr>
                <w:rFonts w:hint="eastAsia"/>
                <w:color w:val="auto"/>
                <w:szCs w:val="21"/>
              </w:rPr>
              <w:t>——</w:t>
            </w:r>
            <w:r>
              <w:rPr>
                <w:rFonts w:hint="eastAsia"/>
                <w:color w:val="auto"/>
              </w:rPr>
              <w:t>新浇筑超高性能混凝土对模板的最大侧压力</w:t>
            </w:r>
            <w:r>
              <w:rPr>
                <w:rFonts w:hint="eastAsia"/>
                <w:color w:val="auto"/>
                <w:lang w:eastAsia="zh-CN"/>
              </w:rPr>
              <w:t>；</w:t>
            </w:r>
          </w:p>
        </w:tc>
      </w:tr>
      <w:tr w14:paraId="5EE2E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vAlign w:val="center"/>
          </w:tcPr>
          <w:p w14:paraId="481A6357">
            <w:pPr>
              <w:pStyle w:val="326"/>
              <w:jc w:val="right"/>
              <w:textAlignment w:val="auto"/>
              <w:rPr>
                <w:rFonts w:hint="eastAsia"/>
                <w:color w:val="auto"/>
                <w:position w:val="-4"/>
              </w:rPr>
            </w:pPr>
            <w:r>
              <w:rPr>
                <w:rFonts w:hint="eastAsia"/>
                <w:color w:val="auto"/>
                <w:position w:val="-12"/>
              </w:rPr>
              <w:object>
                <v:shape id="_x0000_i1076" o:spt="75" type="#_x0000_t75" style="height:18pt;width:24.95pt;" o:ole="t" filled="f" o:preferrelative="t" stroked="f" coordsize="21600,21600">
                  <v:path/>
                  <v:fill on="f" focussize="0,0"/>
                  <v:stroke on="f"/>
                  <v:imagedata r:id="rId110" o:title=""/>
                  <o:lock v:ext="edit" aspectratio="f"/>
                  <w10:wrap type="none"/>
                  <w10:anchorlock/>
                </v:shape>
                <o:OLEObject Type="Embed" ProgID="Equation.DSMT4" ShapeID="_x0000_i1076" DrawAspect="Content" ObjectID="_1468075776" r:id="rId109">
                  <o:LockedField>false</o:LockedField>
                </o:OLEObject>
              </w:object>
            </w:r>
          </w:p>
        </w:tc>
        <w:tc>
          <w:tcPr>
            <w:tcW w:w="4000" w:type="pct"/>
            <w:vAlign w:val="center"/>
          </w:tcPr>
          <w:p w14:paraId="54C403CF">
            <w:pPr>
              <w:pStyle w:val="326"/>
              <w:textAlignment w:val="auto"/>
              <w:rPr>
                <w:rFonts w:hint="eastAsia" w:eastAsia="宋体"/>
                <w:color w:val="auto"/>
                <w:szCs w:val="21"/>
                <w:lang w:val="en-US" w:eastAsia="zh-CN"/>
              </w:rPr>
            </w:pPr>
            <w:r>
              <w:rPr>
                <w:rFonts w:hint="eastAsia"/>
                <w:color w:val="auto"/>
                <w:szCs w:val="21"/>
                <w:lang w:val="en-US" w:eastAsia="zh-CN"/>
              </w:rPr>
              <w:t>——</w:t>
            </w:r>
            <w:r>
              <w:rPr>
                <w:rFonts w:hint="eastAsia" w:ascii="Times New Roman" w:hAnsi="Times New Roman" w:eastAsia="宋体"/>
                <w:color w:val="auto"/>
                <w:szCs w:val="21"/>
              </w:rPr>
              <w:t>受压区超高性能混凝土压力合力</w:t>
            </w:r>
            <w:r>
              <w:rPr>
                <w:rFonts w:hint="eastAsia"/>
                <w:color w:val="auto"/>
                <w:szCs w:val="21"/>
                <w:lang w:eastAsia="zh-CN"/>
              </w:rPr>
              <w:t>；</w:t>
            </w:r>
          </w:p>
        </w:tc>
      </w:tr>
      <w:tr w14:paraId="03A79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vAlign w:val="center"/>
          </w:tcPr>
          <w:p w14:paraId="11B13900">
            <w:pPr>
              <w:pStyle w:val="326"/>
              <w:keepNext w:val="0"/>
              <w:keepLines w:val="0"/>
              <w:pageBreakBefore w:val="0"/>
              <w:widowControl w:val="0"/>
              <w:kinsoku/>
              <w:wordWrap/>
              <w:overflowPunct/>
              <w:topLinePunct w:val="0"/>
              <w:autoSpaceDE/>
              <w:autoSpaceDN/>
              <w:bidi w:val="0"/>
              <w:adjustRightInd/>
              <w:snapToGrid/>
              <w:jc w:val="right"/>
              <w:textAlignment w:val="center"/>
              <w:rPr>
                <w:rFonts w:hint="eastAsia" w:eastAsia="宋体"/>
                <w:color w:val="auto"/>
                <w:position w:val="-12"/>
                <w:lang w:val="en-US" w:eastAsia="zh-CN"/>
              </w:rPr>
            </w:pPr>
            <w:r>
              <w:rPr>
                <w:rFonts w:hint="eastAsia"/>
                <w:color w:val="auto"/>
                <w:position w:val="-12"/>
              </w:rPr>
              <w:object>
                <v:shape id="_x0000_i1077" o:spt="75" type="#_x0000_t75" style="height:18pt;width:30pt;" o:ole="t" filled="f" o:preferrelative="t" stroked="f" coordsize="21600,21600">
                  <v:path/>
                  <v:fill on="f" focussize="0,0"/>
                  <v:stroke on="f"/>
                  <v:imagedata r:id="rId112" o:title=""/>
                  <o:lock v:ext="edit" aspectratio="f"/>
                  <w10:wrap type="none"/>
                  <w10:anchorlock/>
                </v:shape>
                <o:OLEObject Type="Embed" ProgID="Equation.DSMT4" ShapeID="_x0000_i1077" DrawAspect="Content" ObjectID="_1468075777" r:id="rId111">
                  <o:LockedField>false</o:LockedField>
                </o:OLEObject>
              </w:object>
            </w:r>
            <w:r>
              <w:rPr>
                <w:rFonts w:hint="eastAsia"/>
                <w:color w:val="auto"/>
                <w:position w:val="-12"/>
                <w:lang w:eastAsia="zh-CN"/>
              </w:rPr>
              <w:t>、</w:t>
            </w:r>
            <w:r>
              <w:rPr>
                <w:rFonts w:hint="eastAsia" w:eastAsia="宋体"/>
                <w:color w:val="auto"/>
                <w:position w:val="-12"/>
                <w:lang w:val="en-US" w:eastAsia="zh-CN"/>
              </w:rPr>
              <w:object>
                <v:shape id="_x0000_i1078" o:spt="75" type="#_x0000_t75" style="height:18pt;width:31.95pt;" o:ole="t" filled="f" o:preferrelative="t" stroked="f" coordsize="21600,21600">
                  <v:path/>
                  <v:fill on="f" focussize="0,0"/>
                  <v:stroke on="f"/>
                  <v:imagedata r:id="rId114" o:title=""/>
                  <o:lock v:ext="edit" aspectratio="f"/>
                  <w10:wrap type="none"/>
                  <w10:anchorlock/>
                </v:shape>
                <o:OLEObject Type="Embed" ProgID="Equation.DSMT4" ShapeID="_x0000_i1078" DrawAspect="Content" ObjectID="_1468075778" r:id="rId113">
                  <o:LockedField>false</o:LockedField>
                </o:OLEObject>
              </w:object>
            </w:r>
          </w:p>
        </w:tc>
        <w:tc>
          <w:tcPr>
            <w:tcW w:w="4000" w:type="pct"/>
            <w:vAlign w:val="center"/>
          </w:tcPr>
          <w:p w14:paraId="21721BA0">
            <w:pPr>
              <w:pStyle w:val="326"/>
              <w:keepNext w:val="0"/>
              <w:keepLines w:val="0"/>
              <w:pageBreakBefore w:val="0"/>
              <w:widowControl w:val="0"/>
              <w:kinsoku/>
              <w:wordWrap/>
              <w:overflowPunct/>
              <w:topLinePunct w:val="0"/>
              <w:autoSpaceDE/>
              <w:autoSpaceDN/>
              <w:bidi w:val="0"/>
              <w:adjustRightInd/>
              <w:snapToGrid/>
              <w:textAlignment w:val="center"/>
              <w:rPr>
                <w:rFonts w:hint="eastAsia" w:eastAsia="宋体"/>
                <w:color w:val="auto"/>
                <w:szCs w:val="21"/>
                <w:lang w:val="en-US" w:eastAsia="zh-CN"/>
              </w:rPr>
            </w:pPr>
            <w:r>
              <w:rPr>
                <w:rFonts w:hint="eastAsia"/>
                <w:color w:val="auto"/>
                <w:szCs w:val="21"/>
                <w:lang w:val="en-US" w:eastAsia="zh-CN"/>
              </w:rPr>
              <w:t>——</w:t>
            </w:r>
            <w:r>
              <w:rPr>
                <w:rFonts w:hint="eastAsia" w:ascii="Times New Roman" w:hAnsi="Times New Roman" w:eastAsia="宋体"/>
                <w:color w:val="auto"/>
                <w:szCs w:val="21"/>
              </w:rPr>
              <w:t>受拉区超高性能混凝土受拉弹</w:t>
            </w:r>
            <w:r>
              <w:rPr>
                <w:rFonts w:hint="eastAsia"/>
                <w:color w:val="auto"/>
                <w:szCs w:val="21"/>
                <w:lang w:eastAsia="zh-CN"/>
              </w:rPr>
              <w:t>、</w:t>
            </w:r>
            <w:r>
              <w:rPr>
                <w:rFonts w:hint="eastAsia"/>
                <w:color w:val="auto"/>
                <w:szCs w:val="21"/>
                <w:lang w:val="en-US" w:eastAsia="zh-CN"/>
              </w:rPr>
              <w:t>塑</w:t>
            </w:r>
            <w:r>
              <w:rPr>
                <w:rFonts w:hint="eastAsia" w:ascii="Times New Roman" w:hAnsi="Times New Roman" w:eastAsia="宋体"/>
                <w:color w:val="auto"/>
                <w:szCs w:val="21"/>
              </w:rPr>
              <w:t>性区拉力合力</w:t>
            </w:r>
            <w:r>
              <w:rPr>
                <w:rFonts w:hint="eastAsia"/>
                <w:color w:val="auto"/>
                <w:szCs w:val="21"/>
                <w:lang w:eastAsia="zh-CN"/>
              </w:rPr>
              <w:t>；</w:t>
            </w:r>
          </w:p>
        </w:tc>
      </w:tr>
      <w:tr w14:paraId="653DA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vAlign w:val="center"/>
          </w:tcPr>
          <w:p w14:paraId="2E4190EC">
            <w:pPr>
              <w:pStyle w:val="326"/>
              <w:keepNext w:val="0"/>
              <w:keepLines w:val="0"/>
              <w:pageBreakBefore w:val="0"/>
              <w:widowControl w:val="0"/>
              <w:kinsoku/>
              <w:wordWrap/>
              <w:overflowPunct/>
              <w:topLinePunct w:val="0"/>
              <w:autoSpaceDE/>
              <w:autoSpaceDN/>
              <w:bidi w:val="0"/>
              <w:adjustRightInd/>
              <w:snapToGrid/>
              <w:jc w:val="right"/>
              <w:textAlignment w:val="center"/>
              <w:rPr>
                <w:rFonts w:hint="eastAsia" w:eastAsia="宋体"/>
                <w:color w:val="auto"/>
                <w:position w:val="-12"/>
                <w:lang w:eastAsia="zh-CN"/>
              </w:rPr>
            </w:pPr>
            <w:r>
              <w:rPr>
                <w:rFonts w:hint="eastAsia"/>
                <w:color w:val="auto"/>
                <w:position w:val="-12"/>
              </w:rPr>
              <w:object>
                <v:shape id="_x0000_i1079" o:spt="75" type="#_x0000_t75" style="height:18pt;width:15pt;" o:ole="t" filled="f" o:preferrelative="t" stroked="f" coordsize="21600,21600">
                  <v:path/>
                  <v:fill on="f" focussize="0,0"/>
                  <v:stroke on="f"/>
                  <v:imagedata r:id="rId116" o:title=""/>
                  <o:lock v:ext="edit" aspectratio="f"/>
                  <w10:wrap type="none"/>
                  <w10:anchorlock/>
                </v:shape>
                <o:OLEObject Type="Embed" ProgID="Equation.DSMT4" ShapeID="_x0000_i1079" DrawAspect="Content" ObjectID="_1468075779" r:id="rId115">
                  <o:LockedField>false</o:LockedField>
                </o:OLEObject>
              </w:object>
            </w:r>
            <w:r>
              <w:rPr>
                <w:rFonts w:hint="eastAsia"/>
                <w:color w:val="auto"/>
                <w:position w:val="-12"/>
                <w:lang w:eastAsia="zh-CN"/>
              </w:rPr>
              <w:t>、</w:t>
            </w:r>
            <w:r>
              <w:rPr>
                <w:rFonts w:hint="eastAsia" w:eastAsia="宋体"/>
                <w:color w:val="auto"/>
                <w:position w:val="-12"/>
                <w:lang w:eastAsia="zh-CN"/>
              </w:rPr>
              <w:object>
                <v:shape id="_x0000_i1080" o:spt="75" type="#_x0000_t75" style="height:18pt;width:16pt;" o:ole="t" filled="f" o:preferrelative="t" stroked="f" coordsize="21600,21600">
                  <v:path/>
                  <v:fill on="f" focussize="0,0"/>
                  <v:stroke on="f"/>
                  <v:imagedata r:id="rId118" o:title=""/>
                  <o:lock v:ext="edit" aspectratio="f"/>
                  <w10:wrap type="none"/>
                  <w10:anchorlock/>
                </v:shape>
                <o:OLEObject Type="Embed" ProgID="Equation.DSMT4" ShapeID="_x0000_i1080" DrawAspect="Content" ObjectID="_1468075780" r:id="rId117">
                  <o:LockedField>false</o:LockedField>
                </o:OLEObject>
              </w:object>
            </w:r>
          </w:p>
        </w:tc>
        <w:tc>
          <w:tcPr>
            <w:tcW w:w="4000" w:type="pct"/>
            <w:vAlign w:val="center"/>
          </w:tcPr>
          <w:p w14:paraId="339C8225">
            <w:pPr>
              <w:pStyle w:val="326"/>
              <w:keepNext w:val="0"/>
              <w:keepLines w:val="0"/>
              <w:pageBreakBefore w:val="0"/>
              <w:widowControl w:val="0"/>
              <w:kinsoku/>
              <w:wordWrap/>
              <w:overflowPunct/>
              <w:topLinePunct w:val="0"/>
              <w:autoSpaceDE/>
              <w:autoSpaceDN/>
              <w:bidi w:val="0"/>
              <w:adjustRightInd/>
              <w:snapToGrid/>
              <w:textAlignment w:val="center"/>
              <w:rPr>
                <w:rFonts w:hint="eastAsia" w:eastAsia="宋体"/>
                <w:color w:val="auto"/>
                <w:szCs w:val="21"/>
                <w:lang w:val="en-US" w:eastAsia="zh-CN"/>
              </w:rPr>
            </w:pPr>
            <w:r>
              <w:rPr>
                <w:rFonts w:hint="eastAsia"/>
                <w:color w:val="auto"/>
                <w:szCs w:val="21"/>
                <w:lang w:val="en-US" w:eastAsia="zh-CN"/>
              </w:rPr>
              <w:t>——</w:t>
            </w:r>
            <w:r>
              <w:rPr>
                <w:rFonts w:hint="eastAsia" w:ascii="Times New Roman" w:hAnsi="Times New Roman" w:eastAsia="宋体"/>
                <w:color w:val="auto"/>
                <w:szCs w:val="21"/>
              </w:rPr>
              <w:t>受拉区</w:t>
            </w:r>
            <w:r>
              <w:rPr>
                <w:rFonts w:hint="eastAsia"/>
                <w:color w:val="auto"/>
                <w:szCs w:val="21"/>
                <w:lang w:val="en-US" w:eastAsia="zh-CN"/>
              </w:rPr>
              <w:t>NSC、UHPC</w:t>
            </w:r>
            <w:r>
              <w:rPr>
                <w:rFonts w:hint="eastAsia" w:ascii="Times New Roman" w:hAnsi="Times New Roman" w:eastAsia="宋体"/>
                <w:color w:val="auto"/>
                <w:szCs w:val="21"/>
              </w:rPr>
              <w:t>层钢筋拉力</w:t>
            </w:r>
            <w:r>
              <w:rPr>
                <w:rFonts w:hint="eastAsia"/>
                <w:color w:val="auto"/>
                <w:szCs w:val="21"/>
                <w:lang w:eastAsia="zh-CN"/>
              </w:rPr>
              <w:t>；</w:t>
            </w:r>
          </w:p>
        </w:tc>
      </w:tr>
    </w:tbl>
    <w:p w14:paraId="192C24EE">
      <w:pPr>
        <w:pStyle w:val="326"/>
        <w:textAlignment w:val="auto"/>
        <w:rPr>
          <w:color w:val="auto"/>
          <w:szCs w:val="21"/>
        </w:rPr>
      </w:pPr>
      <w:r>
        <w:rPr>
          <w:rFonts w:hint="eastAsia"/>
          <w:color w:val="auto"/>
          <w:szCs w:val="21"/>
        </w:rPr>
        <w:t>2.2.3  几何参数有关符号</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4"/>
        <w:gridCol w:w="6818"/>
      </w:tblGrid>
      <w:tr w14:paraId="68D78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03D95A6D">
            <w:pPr>
              <w:pStyle w:val="326"/>
              <w:jc w:val="right"/>
              <w:textAlignment w:val="auto"/>
              <w:rPr>
                <w:color w:val="auto"/>
                <w:szCs w:val="21"/>
              </w:rPr>
            </w:pPr>
            <w:r>
              <w:rPr>
                <w:rFonts w:hint="eastAsia"/>
                <w:color w:val="auto"/>
                <w:position w:val="-10"/>
              </w:rPr>
              <w:object>
                <v:shape id="_x0000_i1081" o:spt="75" type="#_x0000_t75" style="height:16pt;width:12pt;" o:ole="t" filled="f" o:preferrelative="t" stroked="f" coordsize="21600,21600">
                  <v:path/>
                  <v:fill on="f" focussize="0,0"/>
                  <v:stroke on="f" joinstyle="miter"/>
                  <v:imagedata r:id="rId120" o:title=""/>
                  <o:lock v:ext="edit" aspectratio="t"/>
                  <w10:wrap type="none"/>
                  <w10:anchorlock/>
                </v:shape>
                <o:OLEObject Type="Embed" ProgID="Equation.DSMT4" ShapeID="_x0000_i1081" DrawAspect="Content" ObjectID="_1468075781" r:id="rId119">
                  <o:LockedField>false</o:LockedField>
                </o:OLEObject>
              </w:object>
            </w:r>
          </w:p>
        </w:tc>
        <w:tc>
          <w:tcPr>
            <w:tcW w:w="4000" w:type="pct"/>
            <w:vAlign w:val="center"/>
          </w:tcPr>
          <w:p w14:paraId="446EC710">
            <w:pPr>
              <w:pStyle w:val="326"/>
              <w:textAlignment w:val="auto"/>
              <w:rPr>
                <w:color w:val="auto"/>
                <w:szCs w:val="21"/>
              </w:rPr>
            </w:pPr>
            <w:r>
              <w:rPr>
                <w:rFonts w:hint="eastAsia"/>
                <w:color w:val="auto"/>
              </w:rPr>
              <w:t>——</w:t>
            </w:r>
            <w:r>
              <w:rPr>
                <w:rFonts w:hint="eastAsia"/>
                <w:color w:val="auto"/>
                <w:szCs w:val="21"/>
              </w:rPr>
              <w:t>组合式盖板结构受压区矩形应力图高度与实际受压区高度的比值；</w:t>
            </w:r>
          </w:p>
        </w:tc>
      </w:tr>
      <w:tr w14:paraId="64664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2F11A44D">
            <w:pPr>
              <w:pStyle w:val="326"/>
              <w:jc w:val="right"/>
              <w:textAlignment w:val="auto"/>
              <w:rPr>
                <w:color w:val="auto"/>
                <w:szCs w:val="21"/>
              </w:rPr>
            </w:pPr>
            <w:r>
              <w:rPr>
                <w:rFonts w:hint="eastAsia"/>
                <w:color w:val="auto"/>
                <w:position w:val="-12"/>
              </w:rPr>
              <w:object>
                <v:shape id="_x0000_i1082" o:spt="75" type="#_x0000_t75" style="height:18pt;width:17pt;" o:ole="t" filled="f" o:preferrelative="t" stroked="f" coordsize="21600,21600">
                  <v:path/>
                  <v:fill on="f" focussize="0,0"/>
                  <v:stroke on="f" joinstyle="miter"/>
                  <v:imagedata r:id="rId122" o:title=""/>
                  <o:lock v:ext="edit" aspectratio="t"/>
                  <w10:wrap type="none"/>
                  <w10:anchorlock/>
                </v:shape>
                <o:OLEObject Type="Embed" ProgID="Equation.DSMT4" ShapeID="_x0000_i1082" DrawAspect="Content" ObjectID="_1468075782" r:id="rId121">
                  <o:LockedField>false</o:LockedField>
                </o:OLEObject>
              </w:object>
            </w:r>
            <w:r>
              <w:rPr>
                <w:rFonts w:hint="eastAsia"/>
                <w:color w:val="auto"/>
              </w:rPr>
              <w:t>、</w:t>
            </w:r>
            <w:r>
              <w:rPr>
                <w:rFonts w:hint="eastAsia"/>
                <w:color w:val="auto"/>
                <w:position w:val="-12"/>
              </w:rPr>
              <w:object>
                <v:shape id="_x0000_i1083" o:spt="75" type="#_x0000_t75" style="height:18pt;width:18pt;" o:ole="t" filled="f" o:preferrelative="t" stroked="f" coordsize="21600,21600">
                  <v:path/>
                  <v:fill on="f" focussize="0,0"/>
                  <v:stroke on="f" joinstyle="miter"/>
                  <v:imagedata r:id="rId124" o:title=""/>
                  <o:lock v:ext="edit" aspectratio="t"/>
                  <w10:wrap type="none"/>
                  <w10:anchorlock/>
                </v:shape>
                <o:OLEObject Type="Embed" ProgID="Equation.DSMT4" ShapeID="_x0000_i1083" DrawAspect="Content" ObjectID="_1468075783" r:id="rId123">
                  <o:LockedField>false</o:LockedField>
                </o:OLEObject>
              </w:object>
            </w:r>
          </w:p>
        </w:tc>
        <w:tc>
          <w:tcPr>
            <w:tcW w:w="4000" w:type="pct"/>
            <w:vAlign w:val="center"/>
          </w:tcPr>
          <w:p w14:paraId="52D8DB6A">
            <w:pPr>
              <w:pStyle w:val="326"/>
              <w:textAlignment w:val="auto"/>
              <w:rPr>
                <w:color w:val="auto"/>
                <w:szCs w:val="21"/>
              </w:rPr>
            </w:pPr>
            <w:r>
              <w:rPr>
                <w:rFonts w:hint="eastAsia"/>
                <w:color w:val="auto"/>
              </w:rPr>
              <w:t>——</w:t>
            </w:r>
            <w:r>
              <w:rPr>
                <w:rFonts w:hint="eastAsia"/>
                <w:color w:val="auto"/>
                <w:szCs w:val="21"/>
              </w:rPr>
              <w:t>受拉区NSC层、UHPC层的纵向受力钢筋的截面面积；</w:t>
            </w:r>
          </w:p>
        </w:tc>
      </w:tr>
      <w:tr w14:paraId="210C7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4314EAA0">
            <w:pPr>
              <w:pStyle w:val="326"/>
              <w:jc w:val="right"/>
              <w:textAlignment w:val="auto"/>
              <w:rPr>
                <w:color w:val="auto"/>
                <w:szCs w:val="21"/>
              </w:rPr>
            </w:pPr>
            <w:r>
              <w:rPr>
                <w:rFonts w:hint="eastAsia"/>
                <w:color w:val="auto"/>
                <w:position w:val="-12"/>
              </w:rPr>
              <w:object>
                <v:shape id="_x0000_i1084" o:spt="75" type="#_x0000_t75" style="height:18pt;width:16pt;" o:ole="t" filled="f" o:preferrelative="t" stroked="f" coordsize="21600,21600">
                  <v:path/>
                  <v:fill on="f" focussize="0,0"/>
                  <v:stroke on="f" joinstyle="miter"/>
                  <v:imagedata r:id="rId126" o:title=""/>
                  <o:lock v:ext="edit" aspectratio="t"/>
                  <w10:wrap type="none"/>
                  <w10:anchorlock/>
                </v:shape>
                <o:OLEObject Type="Embed" ProgID="Equation.DSMT4" ShapeID="_x0000_i1084" DrawAspect="Content" ObjectID="_1468075784" r:id="rId125">
                  <o:LockedField>false</o:LockedField>
                </o:OLEObject>
              </w:object>
            </w:r>
            <w:r>
              <w:rPr>
                <w:rFonts w:hint="eastAsia"/>
                <w:color w:val="auto"/>
              </w:rPr>
              <w:t>、</w:t>
            </w:r>
            <w:r>
              <w:rPr>
                <w:rFonts w:hint="eastAsia"/>
                <w:color w:val="auto"/>
                <w:position w:val="-12"/>
              </w:rPr>
              <w:object>
                <v:shape id="_x0000_i1085" o:spt="75" type="#_x0000_t75" style="height:18pt;width:17pt;" o:ole="t" filled="f" o:preferrelative="t" stroked="f" coordsize="21600,21600">
                  <v:path/>
                  <v:fill on="f" focussize="0,0"/>
                  <v:stroke on="f" joinstyle="miter"/>
                  <v:imagedata r:id="rId128" o:title=""/>
                  <o:lock v:ext="edit" aspectratio="t"/>
                  <w10:wrap type="none"/>
                  <w10:anchorlock/>
                </v:shape>
                <o:OLEObject Type="Embed" ProgID="Equation.DSMT4" ShapeID="_x0000_i1085" DrawAspect="Content" ObjectID="_1468075785" r:id="rId127">
                  <o:LockedField>false</o:LockedField>
                </o:OLEObject>
              </w:object>
            </w:r>
          </w:p>
        </w:tc>
        <w:tc>
          <w:tcPr>
            <w:tcW w:w="4000" w:type="pct"/>
            <w:vAlign w:val="center"/>
          </w:tcPr>
          <w:p w14:paraId="1479D5D1">
            <w:pPr>
              <w:pStyle w:val="326"/>
              <w:textAlignment w:val="auto"/>
              <w:rPr>
                <w:color w:val="auto"/>
                <w:szCs w:val="21"/>
              </w:rPr>
            </w:pPr>
            <w:r>
              <w:rPr>
                <w:rFonts w:hint="eastAsia"/>
                <w:color w:val="auto"/>
              </w:rPr>
              <w:t>——</w:t>
            </w:r>
            <w:r>
              <w:rPr>
                <w:rFonts w:hint="eastAsia"/>
                <w:color w:val="auto"/>
                <w:szCs w:val="21"/>
              </w:rPr>
              <w:t>受拉区NSC层、UHPC层的纵向受力钢筋合力点到受拉边缘的高</w:t>
            </w:r>
          </w:p>
        </w:tc>
      </w:tr>
      <w:tr w14:paraId="3200A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76311306">
            <w:pPr>
              <w:pStyle w:val="326"/>
              <w:jc w:val="right"/>
              <w:textAlignment w:val="auto"/>
              <w:rPr>
                <w:color w:val="auto"/>
                <w:szCs w:val="21"/>
              </w:rPr>
            </w:pPr>
          </w:p>
        </w:tc>
        <w:tc>
          <w:tcPr>
            <w:tcW w:w="4000" w:type="pct"/>
            <w:vAlign w:val="center"/>
          </w:tcPr>
          <w:p w14:paraId="53B3C105">
            <w:pPr>
              <w:pStyle w:val="326"/>
              <w:ind w:firstLine="420" w:firstLineChars="200"/>
              <w:textAlignment w:val="auto"/>
              <w:rPr>
                <w:color w:val="auto"/>
                <w:szCs w:val="21"/>
              </w:rPr>
            </w:pPr>
            <w:r>
              <w:rPr>
                <w:rFonts w:hint="eastAsia"/>
                <w:color w:val="auto"/>
                <w:szCs w:val="21"/>
              </w:rPr>
              <w:t>度；</w:t>
            </w:r>
          </w:p>
        </w:tc>
      </w:tr>
      <w:tr w14:paraId="1BEF3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5F63A899">
            <w:pPr>
              <w:pStyle w:val="326"/>
              <w:jc w:val="right"/>
              <w:textAlignment w:val="auto"/>
              <w:rPr>
                <w:color w:val="auto"/>
                <w:szCs w:val="21"/>
              </w:rPr>
            </w:pPr>
            <w:r>
              <w:rPr>
                <w:rFonts w:hint="eastAsia"/>
                <w:color w:val="auto"/>
                <w:position w:val="-6"/>
              </w:rPr>
              <w:object>
                <v:shape id="_x0000_i1086" o:spt="75" type="#_x0000_t75" style="height:13.95pt;width:10pt;" o:ole="t" filled="f" o:preferrelative="t" stroked="f" coordsize="21600,21600">
                  <v:path/>
                  <v:fill on="f" focussize="0,0"/>
                  <v:stroke on="f" joinstyle="miter"/>
                  <v:imagedata r:id="rId130" o:title=""/>
                  <o:lock v:ext="edit" aspectratio="t"/>
                  <w10:wrap type="none"/>
                  <w10:anchorlock/>
                </v:shape>
                <o:OLEObject Type="Embed" ProgID="Equation.DSMT4" ShapeID="_x0000_i1086" DrawAspect="Content" ObjectID="_1468075786" r:id="rId129">
                  <o:LockedField>false</o:LockedField>
                </o:OLEObject>
              </w:object>
            </w:r>
            <w:r>
              <w:rPr>
                <w:rFonts w:hint="eastAsia"/>
                <w:color w:val="auto"/>
              </w:rPr>
              <w:t>、</w:t>
            </w:r>
            <w:r>
              <w:rPr>
                <w:rFonts w:hint="eastAsia"/>
                <w:color w:val="auto"/>
                <w:position w:val="-14"/>
              </w:rPr>
              <w:object>
                <v:shape id="_x0000_i1087" o:spt="75" type="#_x0000_t75" style="height:19pt;width:13.95pt;" o:ole="t" filled="f" o:preferrelative="t" stroked="f" coordsize="21600,21600">
                  <v:path/>
                  <v:fill on="f" focussize="0,0"/>
                  <v:stroke on="f" joinstyle="miter"/>
                  <v:imagedata r:id="rId132" o:title=""/>
                  <o:lock v:ext="edit" aspectratio="t"/>
                  <w10:wrap type="none"/>
                  <w10:anchorlock/>
                </v:shape>
                <o:OLEObject Type="Embed" ProgID="Equation.DSMT4" ShapeID="_x0000_i1087" DrawAspect="Content" ObjectID="_1468075787" r:id="rId131">
                  <o:LockedField>false</o:LockedField>
                </o:OLEObject>
              </w:object>
            </w:r>
          </w:p>
        </w:tc>
        <w:tc>
          <w:tcPr>
            <w:tcW w:w="4000" w:type="pct"/>
            <w:vAlign w:val="center"/>
          </w:tcPr>
          <w:p w14:paraId="0D47F0D8">
            <w:pPr>
              <w:pStyle w:val="326"/>
              <w:textAlignment w:val="auto"/>
              <w:rPr>
                <w:color w:val="auto"/>
                <w:szCs w:val="21"/>
              </w:rPr>
            </w:pPr>
            <w:r>
              <w:rPr>
                <w:rFonts w:hint="eastAsia"/>
                <w:color w:val="auto"/>
              </w:rPr>
              <w:t>——</w:t>
            </w:r>
            <w:r>
              <w:rPr>
                <w:rFonts w:hint="eastAsia"/>
                <w:color w:val="auto"/>
                <w:szCs w:val="21"/>
              </w:rPr>
              <w:t>截面宽度、倒“T”形超高性能混凝土板腹板宽度；</w:t>
            </w:r>
          </w:p>
        </w:tc>
      </w:tr>
      <w:tr w14:paraId="2C205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43999FE8">
            <w:pPr>
              <w:pStyle w:val="326"/>
              <w:jc w:val="right"/>
              <w:textAlignment w:val="auto"/>
              <w:rPr>
                <w:color w:val="auto"/>
                <w:szCs w:val="21"/>
              </w:rPr>
            </w:pPr>
            <w:r>
              <w:rPr>
                <w:rFonts w:hint="eastAsia"/>
                <w:color w:val="auto"/>
                <w:position w:val="-6"/>
              </w:rPr>
              <w:object>
                <v:shape id="_x0000_i1088" o:spt="75" type="#_x0000_t75" style="height:11pt;width:10pt;" o:ole="t" filled="f" o:preferrelative="t" stroked="f" coordsize="21600,21600">
                  <v:path/>
                  <v:fill on="f" focussize="0,0"/>
                  <v:stroke on="f" joinstyle="miter"/>
                  <v:imagedata r:id="rId134" o:title=""/>
                  <o:lock v:ext="edit" aspectratio="t"/>
                  <w10:wrap type="none"/>
                  <w10:anchorlock/>
                </v:shape>
                <o:OLEObject Type="Embed" ProgID="Equation.DSMT4" ShapeID="_x0000_i1088" DrawAspect="Content" ObjectID="_1468075788" r:id="rId133">
                  <o:LockedField>false</o:LockedField>
                </o:OLEObject>
              </w:object>
            </w:r>
            <w:r>
              <w:rPr>
                <w:rFonts w:hint="eastAsia"/>
                <w:color w:val="auto"/>
              </w:rPr>
              <w:t>、</w:t>
            </w:r>
            <w:r>
              <w:rPr>
                <w:rFonts w:hint="eastAsia"/>
                <w:color w:val="auto"/>
                <w:position w:val="-12"/>
              </w:rPr>
              <w:object>
                <v:shape id="_x0000_i1089" o:spt="75" type="#_x0000_t75" style="height:18pt;width:13pt;" o:ole="t" filled="f" o:preferrelative="t" stroked="f" coordsize="21600,21600">
                  <v:path/>
                  <v:fill on="f" focussize="0,0"/>
                  <v:stroke on="f" joinstyle="miter"/>
                  <v:imagedata r:id="rId136" o:title=""/>
                  <o:lock v:ext="edit" aspectratio="t"/>
                  <w10:wrap type="none"/>
                  <w10:anchorlock/>
                </v:shape>
                <o:OLEObject Type="Embed" ProgID="Equation.DSMT4" ShapeID="_x0000_i1089" DrawAspect="Content" ObjectID="_1468075789" r:id="rId135">
                  <o:LockedField>false</o:LockedField>
                </o:OLEObject>
              </w:object>
            </w:r>
          </w:p>
        </w:tc>
        <w:tc>
          <w:tcPr>
            <w:tcW w:w="4000" w:type="pct"/>
            <w:vAlign w:val="center"/>
          </w:tcPr>
          <w:p w14:paraId="77986324">
            <w:pPr>
              <w:pStyle w:val="326"/>
              <w:textAlignment w:val="auto"/>
              <w:rPr>
                <w:color w:val="auto"/>
                <w:szCs w:val="21"/>
              </w:rPr>
            </w:pPr>
            <w:r>
              <w:rPr>
                <w:rFonts w:hint="eastAsia"/>
                <w:color w:val="auto"/>
              </w:rPr>
              <w:t>——</w:t>
            </w:r>
            <w:r>
              <w:rPr>
                <w:rFonts w:hint="eastAsia"/>
                <w:color w:val="auto"/>
                <w:szCs w:val="21"/>
              </w:rPr>
              <w:t>受压区等效矩形应力图高度、实际受压区高度；</w:t>
            </w:r>
          </w:p>
        </w:tc>
      </w:tr>
      <w:tr w14:paraId="4F6C3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6EBADC55">
            <w:pPr>
              <w:pStyle w:val="326"/>
              <w:jc w:val="right"/>
              <w:textAlignment w:val="auto"/>
              <w:rPr>
                <w:color w:val="auto"/>
                <w:szCs w:val="21"/>
              </w:rPr>
            </w:pPr>
            <w:r>
              <w:rPr>
                <w:rFonts w:hint="eastAsia"/>
                <w:color w:val="auto"/>
                <w:position w:val="-6"/>
              </w:rPr>
              <w:object>
                <v:shape id="_x0000_i1090" o:spt="75" type="#_x0000_t75" style="height:13.95pt;width:10pt;" o:ole="t" filled="f" o:preferrelative="t" stroked="f" coordsize="21600,21600">
                  <v:path/>
                  <v:fill on="f" focussize="0,0"/>
                  <v:stroke on="f" joinstyle="miter"/>
                  <v:imagedata r:id="rId138" o:title=""/>
                  <o:lock v:ext="edit" aspectratio="t"/>
                  <w10:wrap type="none"/>
                  <w10:anchorlock/>
                </v:shape>
                <o:OLEObject Type="Embed" ProgID="Equation.DSMT4" ShapeID="_x0000_i1090" DrawAspect="Content" ObjectID="_1468075790" r:id="rId137">
                  <o:LockedField>false</o:LockedField>
                </o:OLEObject>
              </w:object>
            </w:r>
          </w:p>
        </w:tc>
        <w:tc>
          <w:tcPr>
            <w:tcW w:w="4000" w:type="pct"/>
            <w:vAlign w:val="center"/>
          </w:tcPr>
          <w:p w14:paraId="11A3AE8E">
            <w:pPr>
              <w:pStyle w:val="326"/>
              <w:textAlignment w:val="auto"/>
              <w:rPr>
                <w:color w:val="auto"/>
                <w:szCs w:val="21"/>
              </w:rPr>
            </w:pPr>
            <w:r>
              <w:rPr>
                <w:rFonts w:hint="eastAsia"/>
                <w:color w:val="auto"/>
              </w:rPr>
              <w:t>——</w:t>
            </w:r>
            <w:r>
              <w:rPr>
                <w:rFonts w:hint="eastAsia"/>
                <w:color w:val="auto"/>
                <w:szCs w:val="21"/>
              </w:rPr>
              <w:t>组合梁截面高度；</w:t>
            </w:r>
          </w:p>
        </w:tc>
      </w:tr>
      <w:tr w14:paraId="68F63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04E80162">
            <w:pPr>
              <w:pStyle w:val="326"/>
              <w:jc w:val="right"/>
              <w:textAlignment w:val="auto"/>
              <w:rPr>
                <w:color w:val="auto"/>
                <w:szCs w:val="21"/>
              </w:rPr>
            </w:pPr>
            <w:r>
              <w:rPr>
                <w:rFonts w:hint="eastAsia"/>
                <w:color w:val="auto"/>
                <w:position w:val="-12"/>
              </w:rPr>
              <w:object>
                <v:shape id="_x0000_i1091" o:spt="75" type="#_x0000_t75" style="height:18pt;width:13pt;" o:ole="t" filled="f" o:preferrelative="t" stroked="f" coordsize="21600,21600">
                  <v:path/>
                  <v:fill on="f" focussize="0,0"/>
                  <v:stroke on="f" joinstyle="miter"/>
                  <v:imagedata r:id="rId140" o:title=""/>
                  <o:lock v:ext="edit" aspectratio="t"/>
                  <w10:wrap type="none"/>
                  <w10:anchorlock/>
                </v:shape>
                <o:OLEObject Type="Embed" ProgID="Equation.DSMT4" ShapeID="_x0000_i1091" DrawAspect="Content" ObjectID="_1468075791" r:id="rId139">
                  <o:LockedField>false</o:LockedField>
                </o:OLEObject>
              </w:object>
            </w:r>
          </w:p>
        </w:tc>
        <w:tc>
          <w:tcPr>
            <w:tcW w:w="4000" w:type="pct"/>
            <w:vAlign w:val="center"/>
          </w:tcPr>
          <w:p w14:paraId="5389CFD0">
            <w:pPr>
              <w:pStyle w:val="326"/>
              <w:textAlignment w:val="auto"/>
              <w:rPr>
                <w:color w:val="auto"/>
                <w:szCs w:val="21"/>
              </w:rPr>
            </w:pPr>
            <w:r>
              <w:rPr>
                <w:rFonts w:hint="eastAsia"/>
                <w:color w:val="auto"/>
              </w:rPr>
              <w:t>——</w:t>
            </w:r>
            <w:r>
              <w:rPr>
                <w:rFonts w:hint="eastAsia"/>
                <w:color w:val="auto"/>
                <w:szCs w:val="21"/>
              </w:rPr>
              <w:t>倒“T”形截面有效高度；</w:t>
            </w:r>
          </w:p>
        </w:tc>
      </w:tr>
      <w:tr w14:paraId="1C82D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4879FD9E">
            <w:pPr>
              <w:pStyle w:val="326"/>
              <w:jc w:val="right"/>
              <w:textAlignment w:val="auto"/>
              <w:rPr>
                <w:color w:val="auto"/>
                <w:szCs w:val="21"/>
              </w:rPr>
            </w:pPr>
            <w:r>
              <w:rPr>
                <w:rFonts w:hint="eastAsia"/>
                <w:color w:val="auto"/>
                <w:position w:val="-12"/>
              </w:rPr>
              <w:object>
                <v:shape id="_x0000_i1092" o:spt="75" type="#_x0000_t75" style="height:18pt;width:12pt;" o:ole="t" filled="f" o:preferrelative="t" stroked="f" coordsize="21600,21600">
                  <v:path/>
                  <v:fill on="f" focussize="0,0"/>
                  <v:stroke on="f" joinstyle="miter"/>
                  <v:imagedata r:id="rId142" o:title=""/>
                  <o:lock v:ext="edit" aspectratio="t"/>
                  <w10:wrap type="none"/>
                  <w10:anchorlock/>
                </v:shape>
                <o:OLEObject Type="Embed" ProgID="Equation.DSMT4" ShapeID="_x0000_i1092" DrawAspect="Content" ObjectID="_1468075792" r:id="rId141">
                  <o:LockedField>false</o:LockedField>
                </o:OLEObject>
              </w:object>
            </w:r>
          </w:p>
        </w:tc>
        <w:tc>
          <w:tcPr>
            <w:tcW w:w="4000" w:type="pct"/>
            <w:vAlign w:val="center"/>
          </w:tcPr>
          <w:p w14:paraId="0B036693">
            <w:pPr>
              <w:pStyle w:val="326"/>
              <w:textAlignment w:val="auto"/>
              <w:rPr>
                <w:color w:val="auto"/>
              </w:rPr>
            </w:pPr>
            <w:r>
              <w:rPr>
                <w:rFonts w:hint="eastAsia"/>
                <w:color w:val="auto"/>
              </w:rPr>
              <w:t>——</w:t>
            </w:r>
            <w:r>
              <w:rPr>
                <w:rFonts w:hint="eastAsia"/>
                <w:color w:val="auto"/>
                <w:szCs w:val="21"/>
              </w:rPr>
              <w:t>普通混凝土层高度；</w:t>
            </w:r>
          </w:p>
        </w:tc>
      </w:tr>
      <w:tr w14:paraId="075EF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626C59DF">
            <w:pPr>
              <w:pStyle w:val="326"/>
              <w:jc w:val="right"/>
              <w:textAlignment w:val="auto"/>
              <w:rPr>
                <w:color w:val="auto"/>
                <w:szCs w:val="21"/>
              </w:rPr>
            </w:pPr>
            <w:r>
              <w:rPr>
                <w:rFonts w:hint="eastAsia"/>
                <w:color w:val="auto"/>
                <w:position w:val="-12"/>
              </w:rPr>
              <w:object>
                <v:shape id="_x0000_i1093" o:spt="75" type="#_x0000_t75" style="height:18pt;width:13pt;" o:ole="t" filled="f" o:preferrelative="t" stroked="f" coordsize="21600,21600">
                  <v:path/>
                  <v:fill on="f" focussize="0,0"/>
                  <v:stroke on="f" joinstyle="miter"/>
                  <v:imagedata r:id="rId144" o:title=""/>
                  <o:lock v:ext="edit" aspectratio="t"/>
                  <w10:wrap type="none"/>
                  <w10:anchorlock/>
                </v:shape>
                <o:OLEObject Type="Embed" ProgID="Equation.DSMT4" ShapeID="_x0000_i1093" DrawAspect="Content" ObjectID="_1468075793" r:id="rId143">
                  <o:LockedField>false</o:LockedField>
                </o:OLEObject>
              </w:object>
            </w:r>
            <w:r>
              <w:rPr>
                <w:rFonts w:hint="eastAsia"/>
                <w:color w:val="auto"/>
              </w:rPr>
              <w:t>、</w:t>
            </w:r>
            <w:r>
              <w:rPr>
                <w:rFonts w:hint="eastAsia"/>
                <w:color w:val="auto"/>
                <w:position w:val="-12"/>
              </w:rPr>
              <w:object>
                <v:shape id="_x0000_i1094" o:spt="75" type="#_x0000_t75" style="height:18pt;width:12pt;" o:ole="t" filled="f" o:preferrelative="t" stroked="f" coordsize="21600,21600">
                  <v:path/>
                  <v:fill on="f" focussize="0,0"/>
                  <v:stroke on="f" joinstyle="miter"/>
                  <v:imagedata r:id="rId146" o:title=""/>
                  <o:lock v:ext="edit" aspectratio="t"/>
                  <w10:wrap type="none"/>
                  <w10:anchorlock/>
                </v:shape>
                <o:OLEObject Type="Embed" ProgID="Equation.DSMT4" ShapeID="_x0000_i1094" DrawAspect="Content" ObjectID="_1468075794" r:id="rId145">
                  <o:LockedField>false</o:LockedField>
                </o:OLEObject>
              </w:object>
            </w:r>
          </w:p>
        </w:tc>
        <w:tc>
          <w:tcPr>
            <w:tcW w:w="4000" w:type="pct"/>
            <w:vAlign w:val="center"/>
          </w:tcPr>
          <w:p w14:paraId="71C0AAA2">
            <w:pPr>
              <w:pStyle w:val="326"/>
              <w:textAlignment w:val="auto"/>
              <w:rPr>
                <w:color w:val="auto"/>
                <w:szCs w:val="21"/>
              </w:rPr>
            </w:pPr>
            <w:r>
              <w:rPr>
                <w:rFonts w:hint="eastAsia"/>
                <w:color w:val="auto"/>
              </w:rPr>
              <w:t>——</w:t>
            </w:r>
            <w:r>
              <w:rPr>
                <w:rFonts w:hint="eastAsia"/>
                <w:color w:val="auto"/>
                <w:szCs w:val="21"/>
              </w:rPr>
              <w:t>超高性能混凝土层高度、倒“T”形超高性能混凝土腹板高度；</w:t>
            </w:r>
          </w:p>
        </w:tc>
      </w:tr>
      <w:tr w14:paraId="3E01E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60E5F2B2">
            <w:pPr>
              <w:pStyle w:val="326"/>
              <w:jc w:val="right"/>
              <w:textAlignment w:val="auto"/>
              <w:rPr>
                <w:color w:val="auto"/>
                <w:szCs w:val="21"/>
              </w:rPr>
            </w:pPr>
            <w:r>
              <w:rPr>
                <w:rFonts w:hint="eastAsia"/>
                <w:color w:val="auto"/>
                <w:position w:val="-14"/>
              </w:rPr>
              <w:object>
                <v:shape id="_x0000_i1095" o:spt="75" type="#_x0000_t75" style="height:19pt;width:18pt;" o:ole="t" filled="f" o:preferrelative="t" stroked="f" coordsize="21600,21600">
                  <v:path/>
                  <v:fill on="f" focussize="0,0"/>
                  <v:stroke on="f" joinstyle="miter"/>
                  <v:imagedata r:id="rId148" o:title=""/>
                  <o:lock v:ext="edit" aspectratio="t"/>
                  <w10:wrap type="none"/>
                  <w10:anchorlock/>
                </v:shape>
                <o:OLEObject Type="Embed" ProgID="Equation.DSMT4" ShapeID="_x0000_i1095" DrawAspect="Content" ObjectID="_1468075795" r:id="rId147">
                  <o:LockedField>false</o:LockedField>
                </o:OLEObject>
              </w:object>
            </w:r>
          </w:p>
        </w:tc>
        <w:tc>
          <w:tcPr>
            <w:tcW w:w="4000" w:type="pct"/>
            <w:vAlign w:val="center"/>
          </w:tcPr>
          <w:p w14:paraId="709C7A04">
            <w:pPr>
              <w:pStyle w:val="326"/>
              <w:textAlignment w:val="auto"/>
              <w:rPr>
                <w:color w:val="auto"/>
                <w:szCs w:val="21"/>
              </w:rPr>
            </w:pPr>
            <w:r>
              <w:rPr>
                <w:rFonts w:hint="eastAsia"/>
                <w:color w:val="auto"/>
              </w:rPr>
              <w:t>——</w:t>
            </w:r>
            <w:r>
              <w:rPr>
                <w:rFonts w:hint="eastAsia"/>
                <w:color w:val="auto"/>
                <w:szCs w:val="21"/>
              </w:rPr>
              <w:t>纤维作用面积；</w:t>
            </w:r>
          </w:p>
        </w:tc>
      </w:tr>
      <w:tr w14:paraId="22015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69E5A759">
            <w:pPr>
              <w:pStyle w:val="326"/>
              <w:jc w:val="right"/>
              <w:textAlignment w:val="auto"/>
              <w:rPr>
                <w:color w:val="auto"/>
                <w:szCs w:val="21"/>
              </w:rPr>
            </w:pPr>
            <w:r>
              <w:rPr>
                <w:rFonts w:hint="eastAsia"/>
                <w:color w:val="auto"/>
                <w:position w:val="-12"/>
              </w:rPr>
              <w:object>
                <v:shape id="_x0000_i1096" o:spt="75" type="#_x0000_t75" style="height:18pt;width:17pt;" o:ole="t" filled="f" o:preferrelative="t" stroked="f" coordsize="21600,21600">
                  <v:path/>
                  <v:fill on="f" focussize="0,0"/>
                  <v:stroke on="f" joinstyle="miter"/>
                  <v:imagedata r:id="rId150" o:title=""/>
                  <o:lock v:ext="edit" aspectratio="t"/>
                  <w10:wrap type="none"/>
                  <w10:anchorlock/>
                </v:shape>
                <o:OLEObject Type="Embed" ProgID="Equation.DSMT4" ShapeID="_x0000_i1096" DrawAspect="Content" ObjectID="_1468075796" r:id="rId149">
                  <o:LockedField>false</o:LockedField>
                </o:OLEObject>
              </w:object>
            </w:r>
            <w:r>
              <w:rPr>
                <w:rFonts w:hint="eastAsia"/>
                <w:color w:val="auto"/>
              </w:rPr>
              <w:t>、</w:t>
            </w:r>
            <w:r>
              <w:rPr>
                <w:rFonts w:hint="eastAsia"/>
                <w:color w:val="auto"/>
                <w:position w:val="-14"/>
              </w:rPr>
              <w:object>
                <v:shape id="_x0000_i1097" o:spt="75" type="#_x0000_t75" style="height:19pt;width:18pt;" o:ole="t" filled="f" o:preferrelative="t" stroked="f" coordsize="21600,21600">
                  <v:path/>
                  <v:fill on="f" focussize="0,0"/>
                  <v:stroke on="f" joinstyle="miter"/>
                  <v:imagedata r:id="rId152" o:title=""/>
                  <o:lock v:ext="edit" aspectratio="t"/>
                  <w10:wrap type="none"/>
                  <w10:anchorlock/>
                </v:shape>
                <o:OLEObject Type="Embed" ProgID="Equation.DSMT4" ShapeID="_x0000_i1097" DrawAspect="Content" ObjectID="_1468075797" r:id="rId151">
                  <o:LockedField>false</o:LockedField>
                </o:OLEObject>
              </w:object>
            </w:r>
          </w:p>
        </w:tc>
        <w:tc>
          <w:tcPr>
            <w:tcW w:w="4000" w:type="pct"/>
            <w:vAlign w:val="center"/>
          </w:tcPr>
          <w:p w14:paraId="2A51DFBE">
            <w:pPr>
              <w:pStyle w:val="326"/>
              <w:textAlignment w:val="auto"/>
              <w:rPr>
                <w:color w:val="auto"/>
                <w:szCs w:val="21"/>
              </w:rPr>
            </w:pPr>
            <w:r>
              <w:rPr>
                <w:rFonts w:hint="eastAsia"/>
                <w:color w:val="auto"/>
              </w:rPr>
              <w:t>——</w:t>
            </w:r>
            <w:r>
              <w:rPr>
                <w:rFonts w:hint="eastAsia"/>
                <w:color w:val="auto"/>
                <w:szCs w:val="21"/>
              </w:rPr>
              <w:t>抗剪箍筋、界面钢筋截面面积；</w:t>
            </w:r>
          </w:p>
        </w:tc>
      </w:tr>
      <w:tr w14:paraId="4C2A4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278459C1">
            <w:pPr>
              <w:pStyle w:val="326"/>
              <w:jc w:val="right"/>
              <w:textAlignment w:val="auto"/>
              <w:rPr>
                <w:color w:val="auto"/>
                <w:szCs w:val="21"/>
              </w:rPr>
            </w:pPr>
            <w:r>
              <w:rPr>
                <w:rFonts w:hint="eastAsia"/>
                <w:color w:val="auto"/>
                <w:position w:val="-12"/>
              </w:rPr>
              <w:object>
                <v:shape id="_x0000_i1098" o:spt="75" type="#_x0000_t75" style="height:18pt;width:13.95pt;" o:ole="t" filled="f" o:preferrelative="t" stroked="f" coordsize="21600,21600">
                  <v:path/>
                  <v:fill on="f" focussize="0,0"/>
                  <v:stroke on="f" joinstyle="miter"/>
                  <v:imagedata r:id="rId154" o:title=""/>
                  <o:lock v:ext="edit" aspectratio="t"/>
                  <w10:wrap type="none"/>
                  <w10:anchorlock/>
                </v:shape>
                <o:OLEObject Type="Embed" ProgID="Equation.DSMT4" ShapeID="_x0000_i1098" DrawAspect="Content" ObjectID="_1468075798" r:id="rId153">
                  <o:LockedField>false</o:LockedField>
                </o:OLEObject>
              </w:object>
            </w:r>
          </w:p>
        </w:tc>
        <w:tc>
          <w:tcPr>
            <w:tcW w:w="4000" w:type="pct"/>
            <w:vAlign w:val="center"/>
          </w:tcPr>
          <w:p w14:paraId="1B73FFD5">
            <w:pPr>
              <w:pStyle w:val="326"/>
              <w:textAlignment w:val="auto"/>
              <w:rPr>
                <w:color w:val="auto"/>
                <w:szCs w:val="21"/>
              </w:rPr>
            </w:pPr>
            <w:r>
              <w:rPr>
                <w:rFonts w:hint="eastAsia"/>
                <w:color w:val="auto"/>
              </w:rPr>
              <w:t>——</w:t>
            </w:r>
            <w:r>
              <w:rPr>
                <w:rFonts w:hint="eastAsia"/>
                <w:color w:val="auto"/>
                <w:szCs w:val="21"/>
              </w:rPr>
              <w:t>抗剪箍筋间距；</w:t>
            </w:r>
          </w:p>
        </w:tc>
      </w:tr>
      <w:tr w14:paraId="1A05F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0C5E1E09">
            <w:pPr>
              <w:pStyle w:val="326"/>
              <w:jc w:val="right"/>
              <w:textAlignment w:val="auto"/>
              <w:rPr>
                <w:color w:val="auto"/>
                <w:szCs w:val="21"/>
              </w:rPr>
            </w:pPr>
            <w:r>
              <w:rPr>
                <w:rFonts w:hint="eastAsia"/>
                <w:color w:val="auto"/>
                <w:position w:val="-12"/>
              </w:rPr>
              <w:object>
                <v:shape id="_x0000_i1099" o:spt="75" type="#_x0000_t75" style="height:18pt;width:30pt;" o:ole="t" filled="f" o:preferrelative="t" stroked="f" coordsize="21600,21600">
                  <v:path/>
                  <v:fill on="f" focussize="0,0"/>
                  <v:stroke on="f" joinstyle="miter"/>
                  <v:imagedata r:id="rId156" o:title=""/>
                  <o:lock v:ext="edit" aspectratio="t"/>
                  <w10:wrap type="none"/>
                  <w10:anchorlock/>
                </v:shape>
                <o:OLEObject Type="Embed" ProgID="Equation.DSMT4" ShapeID="_x0000_i1099" DrawAspect="Content" ObjectID="_1468075799" r:id="rId155">
                  <o:LockedField>false</o:LockedField>
                </o:OLEObject>
              </w:object>
            </w:r>
            <w:r>
              <w:rPr>
                <w:rFonts w:hint="eastAsia"/>
                <w:color w:val="auto"/>
              </w:rPr>
              <w:t>、</w:t>
            </w:r>
            <w:r>
              <w:rPr>
                <w:rFonts w:hint="eastAsia"/>
                <w:color w:val="auto"/>
                <w:position w:val="-12"/>
              </w:rPr>
              <w:object>
                <v:shape id="_x0000_i1100" o:spt="75" type="#_x0000_t75" style="height:18pt;width:29pt;" o:ole="t" filled="f" o:preferrelative="t" stroked="f" coordsize="21600,21600">
                  <v:path/>
                  <v:fill on="f" focussize="0,0"/>
                  <v:stroke on="f" joinstyle="miter"/>
                  <v:imagedata r:id="rId158" o:title=""/>
                  <o:lock v:ext="edit" aspectratio="t"/>
                  <w10:wrap type="none"/>
                  <w10:anchorlock/>
                </v:shape>
                <o:OLEObject Type="Embed" ProgID="Equation.DSMT4" ShapeID="_x0000_i1100" DrawAspect="Content" ObjectID="_1468075800" r:id="rId157">
                  <o:LockedField>false</o:LockedField>
                </o:OLEObject>
              </w:object>
            </w:r>
          </w:p>
        </w:tc>
        <w:tc>
          <w:tcPr>
            <w:tcW w:w="4000" w:type="pct"/>
            <w:vAlign w:val="center"/>
          </w:tcPr>
          <w:p w14:paraId="11B2F8F8">
            <w:pPr>
              <w:pStyle w:val="326"/>
              <w:textAlignment w:val="auto"/>
              <w:rPr>
                <w:color w:val="auto"/>
                <w:szCs w:val="21"/>
              </w:rPr>
            </w:pPr>
            <w:r>
              <w:rPr>
                <w:rFonts w:hint="eastAsia"/>
                <w:color w:val="auto"/>
              </w:rPr>
              <w:t>——</w:t>
            </w:r>
            <w:r>
              <w:rPr>
                <w:rFonts w:hint="eastAsia"/>
                <w:color w:val="auto"/>
                <w:szCs w:val="21"/>
              </w:rPr>
              <w:t>超高性能混凝土、普通混凝土表面裂缝宽度；</w:t>
            </w:r>
          </w:p>
        </w:tc>
      </w:tr>
      <w:tr w14:paraId="589D2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70E17CC3">
            <w:pPr>
              <w:pStyle w:val="326"/>
              <w:jc w:val="right"/>
              <w:textAlignment w:val="auto"/>
              <w:rPr>
                <w:color w:val="auto"/>
                <w:szCs w:val="21"/>
              </w:rPr>
            </w:pPr>
            <w:r>
              <w:rPr>
                <w:rFonts w:hint="eastAsia"/>
                <w:color w:val="auto"/>
                <w:position w:val="-12"/>
              </w:rPr>
              <w:object>
                <v:shape id="_x0000_i1101" o:spt="75" type="#_x0000_t75" style="height:18pt;width:28pt;" o:ole="t" filled="f" o:preferrelative="t" stroked="f" coordsize="21600,21600">
                  <v:path/>
                  <v:fill on="f" focussize="0,0"/>
                  <v:stroke on="f" joinstyle="miter"/>
                  <v:imagedata r:id="rId160" o:title=""/>
                  <o:lock v:ext="edit" aspectratio="t"/>
                  <w10:wrap type="none"/>
                  <w10:anchorlock/>
                </v:shape>
                <o:OLEObject Type="Embed" ProgID="Equation.DSMT4" ShapeID="_x0000_i1101" DrawAspect="Content" ObjectID="_1468075801" r:id="rId159">
                  <o:LockedField>false</o:LockedField>
                </o:OLEObject>
              </w:object>
            </w:r>
            <w:r>
              <w:rPr>
                <w:rFonts w:hint="eastAsia"/>
                <w:color w:val="auto"/>
              </w:rPr>
              <w:t>、</w:t>
            </w:r>
            <w:r>
              <w:rPr>
                <w:rFonts w:hint="eastAsia"/>
                <w:color w:val="auto"/>
                <w:position w:val="-12"/>
              </w:rPr>
              <w:object>
                <v:shape id="_x0000_i1102" o:spt="75" type="#_x0000_t75" style="height:18pt;width:28pt;" o:ole="t" filled="f" o:preferrelative="t" stroked="f" coordsize="21600,21600">
                  <v:path/>
                  <v:fill on="f" focussize="0,0"/>
                  <v:stroke on="f" joinstyle="miter"/>
                  <v:imagedata r:id="rId162" o:title=""/>
                  <o:lock v:ext="edit" aspectratio="t"/>
                  <w10:wrap type="none"/>
                  <w10:anchorlock/>
                </v:shape>
                <o:OLEObject Type="Embed" ProgID="Equation.DSMT4" ShapeID="_x0000_i1102" DrawAspect="Content" ObjectID="_1468075802" r:id="rId161">
                  <o:LockedField>false</o:LockedField>
                </o:OLEObject>
              </w:object>
            </w:r>
          </w:p>
        </w:tc>
        <w:tc>
          <w:tcPr>
            <w:tcW w:w="4000" w:type="pct"/>
            <w:vAlign w:val="center"/>
          </w:tcPr>
          <w:p w14:paraId="157C322A">
            <w:pPr>
              <w:pStyle w:val="326"/>
              <w:textAlignment w:val="auto"/>
              <w:rPr>
                <w:color w:val="auto"/>
                <w:szCs w:val="21"/>
              </w:rPr>
            </w:pPr>
            <w:r>
              <w:rPr>
                <w:rFonts w:hint="eastAsia"/>
                <w:color w:val="auto"/>
              </w:rPr>
              <w:t>——</w:t>
            </w:r>
            <w:r>
              <w:rPr>
                <w:rFonts w:hint="eastAsia"/>
                <w:color w:val="auto"/>
                <w:szCs w:val="21"/>
              </w:rPr>
              <w:t>超高性能混凝土、普通混凝土表面最大裂缝宽度限值；</w:t>
            </w:r>
          </w:p>
        </w:tc>
      </w:tr>
      <w:tr w14:paraId="24402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3FE72875">
            <w:pPr>
              <w:pStyle w:val="326"/>
              <w:jc w:val="right"/>
              <w:textAlignment w:val="auto"/>
              <w:rPr>
                <w:color w:val="auto"/>
              </w:rPr>
            </w:pPr>
            <w:r>
              <w:rPr>
                <w:rFonts w:hint="eastAsia"/>
                <w:color w:val="auto"/>
                <w:position w:val="-6"/>
              </w:rPr>
              <w:object>
                <v:shape id="_x0000_i1103" o:spt="75" type="#_x0000_t75" style="height:13.95pt;width:13pt;" o:ole="t" filled="f" o:preferrelative="t" stroked="f" coordsize="21600,21600">
                  <v:path/>
                  <v:fill on="f" focussize="0,0"/>
                  <v:stroke on="f" joinstyle="miter"/>
                  <v:imagedata r:id="rId164" o:title=""/>
                  <o:lock v:ext="edit" aspectratio="t"/>
                  <w10:wrap type="none"/>
                  <w10:anchorlock/>
                </v:shape>
                <o:OLEObject Type="Embed" ProgID="Equation.DSMT4" ShapeID="_x0000_i1103" DrawAspect="Content" ObjectID="_1468075803" r:id="rId163">
                  <o:LockedField>false</o:LockedField>
                </o:OLEObject>
              </w:object>
            </w:r>
          </w:p>
        </w:tc>
        <w:tc>
          <w:tcPr>
            <w:tcW w:w="4000" w:type="pct"/>
            <w:vAlign w:val="center"/>
          </w:tcPr>
          <w:p w14:paraId="2207E746">
            <w:pPr>
              <w:pStyle w:val="326"/>
              <w:textAlignment w:val="auto"/>
              <w:rPr>
                <w:color w:val="auto"/>
                <w:szCs w:val="21"/>
              </w:rPr>
            </w:pPr>
            <w:r>
              <w:rPr>
                <w:rFonts w:hint="eastAsia"/>
                <w:color w:val="auto"/>
              </w:rPr>
              <w:t>——</w:t>
            </w:r>
            <w:r>
              <w:rPr>
                <w:rFonts w:hint="eastAsia"/>
                <w:color w:val="auto"/>
                <w:szCs w:val="21"/>
              </w:rPr>
              <w:t>受拉弹性区高度；</w:t>
            </w:r>
          </w:p>
        </w:tc>
      </w:tr>
      <w:tr w14:paraId="36940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282D5EA5">
            <w:pPr>
              <w:pStyle w:val="326"/>
              <w:jc w:val="right"/>
              <w:textAlignment w:val="auto"/>
              <w:rPr>
                <w:color w:val="auto"/>
              </w:rPr>
            </w:pPr>
            <w:r>
              <w:rPr>
                <w:rFonts w:hint="eastAsia"/>
                <w:color w:val="auto"/>
                <w:position w:val="-6"/>
              </w:rPr>
              <w:object>
                <v:shape id="_x0000_i1104" o:spt="75" type="#_x0000_t75" style="height:11pt;width:9pt;" o:ole="t" filled="f" o:preferrelative="t" stroked="f" coordsize="21600,21600">
                  <v:path/>
                  <v:fill on="f" focussize="0,0"/>
                  <v:stroke on="f" joinstyle="miter"/>
                  <v:imagedata r:id="rId166" o:title=""/>
                  <o:lock v:ext="edit" aspectratio="t"/>
                  <w10:wrap type="none"/>
                  <w10:anchorlock/>
                </v:shape>
                <o:OLEObject Type="Embed" ProgID="Equation.DSMT4" ShapeID="_x0000_i1104" DrawAspect="Content" ObjectID="_1468075804" r:id="rId165">
                  <o:LockedField>false</o:LockedField>
                </o:OLEObject>
              </w:object>
            </w:r>
          </w:p>
        </w:tc>
        <w:tc>
          <w:tcPr>
            <w:tcW w:w="4000" w:type="pct"/>
            <w:vAlign w:val="center"/>
          </w:tcPr>
          <w:p w14:paraId="6F94B296">
            <w:pPr>
              <w:pStyle w:val="326"/>
              <w:textAlignment w:val="auto"/>
              <w:rPr>
                <w:color w:val="auto"/>
                <w:szCs w:val="21"/>
              </w:rPr>
            </w:pPr>
            <w:r>
              <w:rPr>
                <w:rFonts w:hint="eastAsia"/>
                <w:color w:val="auto"/>
              </w:rPr>
              <w:t>——</w:t>
            </w:r>
            <w:r>
              <w:rPr>
                <w:rFonts w:hint="eastAsia"/>
                <w:color w:val="auto"/>
                <w:szCs w:val="21"/>
              </w:rPr>
              <w:t>NSC层最外层纵向受拉钢筋外边缘至受拉区底部的距离；</w:t>
            </w:r>
          </w:p>
        </w:tc>
      </w:tr>
      <w:tr w14:paraId="0A170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5659EF8E">
            <w:pPr>
              <w:pStyle w:val="326"/>
              <w:jc w:val="right"/>
              <w:textAlignment w:val="auto"/>
              <w:rPr>
                <w:color w:val="auto"/>
              </w:rPr>
            </w:pPr>
            <w:r>
              <w:rPr>
                <w:rFonts w:hint="eastAsia"/>
                <w:color w:val="auto"/>
                <w:position w:val="-6"/>
              </w:rPr>
              <w:object>
                <v:shape id="_x0000_i1105" o:spt="75" type="#_x0000_t75" style="height:13.95pt;width:11pt;" o:ole="t" filled="f" o:preferrelative="t" stroked="f" coordsize="21600,21600">
                  <v:path/>
                  <v:fill on="f" focussize="0,0"/>
                  <v:stroke on="f" joinstyle="miter"/>
                  <v:imagedata r:id="rId168" o:title=""/>
                  <o:lock v:ext="edit" aspectratio="t"/>
                  <w10:wrap type="none"/>
                  <w10:anchorlock/>
                </v:shape>
                <o:OLEObject Type="Embed" ProgID="Equation.DSMT4" ShapeID="_x0000_i1105" DrawAspect="Content" ObjectID="_1468075805" r:id="rId167">
                  <o:LockedField>false</o:LockedField>
                </o:OLEObject>
              </w:object>
            </w:r>
            <w:r>
              <w:rPr>
                <w:rFonts w:hint="eastAsia"/>
                <w:color w:val="auto"/>
              </w:rPr>
              <w:t>、</w:t>
            </w:r>
            <w:r>
              <w:rPr>
                <w:rFonts w:hint="eastAsia"/>
                <w:color w:val="auto"/>
                <w:position w:val="-12"/>
              </w:rPr>
              <w:object>
                <v:shape id="_x0000_i1106" o:spt="75" type="#_x0000_t75" style="height:18pt;width:13.95pt;" o:ole="t" filled="f" o:preferrelative="t" stroked="f" coordsize="21600,21600">
                  <v:path/>
                  <v:fill on="f" focussize="0,0"/>
                  <v:stroke on="f" joinstyle="miter"/>
                  <v:imagedata r:id="rId170" o:title=""/>
                  <o:lock v:ext="edit" aspectratio="t"/>
                  <w10:wrap type="none"/>
                  <w10:anchorlock/>
                </v:shape>
                <o:OLEObject Type="Embed" ProgID="Equation.DSMT4" ShapeID="_x0000_i1106" DrawAspect="Content" ObjectID="_1468075806" r:id="rId169">
                  <o:LockedField>false</o:LockedField>
                </o:OLEObject>
              </w:object>
            </w:r>
          </w:p>
        </w:tc>
        <w:tc>
          <w:tcPr>
            <w:tcW w:w="4000" w:type="pct"/>
            <w:vAlign w:val="center"/>
          </w:tcPr>
          <w:p w14:paraId="5347F1E0">
            <w:pPr>
              <w:pStyle w:val="326"/>
              <w:textAlignment w:val="auto"/>
              <w:rPr>
                <w:color w:val="auto"/>
                <w:szCs w:val="21"/>
              </w:rPr>
            </w:pPr>
            <w:r>
              <w:rPr>
                <w:rFonts w:hint="eastAsia"/>
                <w:color w:val="auto"/>
              </w:rPr>
              <w:t>——</w:t>
            </w:r>
            <w:r>
              <w:rPr>
                <w:rFonts w:hint="eastAsia"/>
                <w:color w:val="auto"/>
                <w:szCs w:val="21"/>
              </w:rPr>
              <w:t>纵向受拉钢筋直径、采用不同钢筋时的换算直径；</w:t>
            </w:r>
          </w:p>
        </w:tc>
      </w:tr>
      <w:tr w14:paraId="7EC13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062FED74">
            <w:pPr>
              <w:pStyle w:val="326"/>
              <w:jc w:val="right"/>
              <w:textAlignment w:val="auto"/>
              <w:rPr>
                <w:color w:val="auto"/>
              </w:rPr>
            </w:pPr>
            <w:r>
              <w:rPr>
                <w:rFonts w:hint="eastAsia"/>
                <w:color w:val="auto"/>
                <w:position w:val="-12"/>
              </w:rPr>
              <w:object>
                <v:shape id="_x0000_i1107" o:spt="75" type="#_x0000_t75" style="height:18pt;width:16pt;" o:ole="t" filled="f" o:preferrelative="t" stroked="f" coordsize="21600,21600">
                  <v:path/>
                  <v:fill on="f" focussize="0,0"/>
                  <v:stroke on="f" joinstyle="miter"/>
                  <v:imagedata r:id="rId172" o:title=""/>
                  <o:lock v:ext="edit" aspectratio="t"/>
                  <w10:wrap type="none"/>
                  <w10:anchorlock/>
                </v:shape>
                <o:OLEObject Type="Embed" ProgID="Equation.DSMT4" ShapeID="_x0000_i1107" DrawAspect="Content" ObjectID="_1468075807" r:id="rId171">
                  <o:LockedField>false</o:LockedField>
                </o:OLEObject>
              </w:object>
            </w:r>
          </w:p>
        </w:tc>
        <w:tc>
          <w:tcPr>
            <w:tcW w:w="4000" w:type="pct"/>
            <w:vAlign w:val="center"/>
          </w:tcPr>
          <w:p w14:paraId="77B53BBA">
            <w:pPr>
              <w:pStyle w:val="326"/>
              <w:textAlignment w:val="auto"/>
              <w:rPr>
                <w:b/>
                <w:bCs/>
                <w:color w:val="auto"/>
              </w:rPr>
            </w:pPr>
            <w:r>
              <w:rPr>
                <w:rFonts w:hint="eastAsia"/>
                <w:color w:val="auto"/>
              </w:rPr>
              <w:t>——</w:t>
            </w:r>
            <w:r>
              <w:rPr>
                <w:rFonts w:hint="eastAsia"/>
                <w:color w:val="auto"/>
                <w:szCs w:val="21"/>
              </w:rPr>
              <w:t>超高性能混凝土的有效受拉截面面积；</w:t>
            </w:r>
          </w:p>
        </w:tc>
      </w:tr>
      <w:tr w14:paraId="038E1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tcPr>
          <w:p w14:paraId="6FBD40DD">
            <w:pPr>
              <w:pStyle w:val="326"/>
              <w:jc w:val="right"/>
              <w:textAlignment w:val="auto"/>
              <w:rPr>
                <w:color w:val="auto"/>
              </w:rPr>
            </w:pPr>
            <w:r>
              <w:rPr>
                <w:rFonts w:hint="eastAsia"/>
                <w:color w:val="auto"/>
                <w:position w:val="-12"/>
              </w:rPr>
              <w:object>
                <v:shape id="_x0000_i1108" o:spt="75" type="#_x0000_t75" style="height:18pt;width:15pt;" o:ole="t" filled="f" o:preferrelative="t" stroked="f" coordsize="21600,21600">
                  <v:path/>
                  <v:fill on="f" focussize="0,0"/>
                  <v:stroke on="f" joinstyle="miter"/>
                  <v:imagedata r:id="rId174" o:title=""/>
                  <o:lock v:ext="edit" aspectratio="t"/>
                  <w10:wrap type="none"/>
                  <w10:anchorlock/>
                </v:shape>
                <o:OLEObject Type="Embed" ProgID="Equation.DSMT4" ShapeID="_x0000_i1108" DrawAspect="Content" ObjectID="_1468075808" r:id="rId173">
                  <o:LockedField>false</o:LockedField>
                </o:OLEObject>
              </w:object>
            </w:r>
          </w:p>
        </w:tc>
        <w:tc>
          <w:tcPr>
            <w:tcW w:w="4000" w:type="pct"/>
            <w:vAlign w:val="center"/>
          </w:tcPr>
          <w:p w14:paraId="4A6E465C">
            <w:pPr>
              <w:pStyle w:val="326"/>
              <w:textAlignment w:val="auto"/>
              <w:rPr>
                <w:color w:val="auto"/>
              </w:rPr>
            </w:pPr>
            <w:r>
              <w:rPr>
                <w:rFonts w:hint="eastAsia"/>
                <w:color w:val="auto"/>
              </w:rPr>
              <w:t>——</w:t>
            </w:r>
            <w:r>
              <w:rPr>
                <w:rFonts w:hint="eastAsia"/>
                <w:color w:val="auto"/>
                <w:szCs w:val="21"/>
              </w:rPr>
              <w:t>受压区边缘至受拉区第 i 层钢筋截面重心的距离；</w:t>
            </w:r>
          </w:p>
        </w:tc>
      </w:tr>
      <w:tr w14:paraId="01790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tcPr>
          <w:p w14:paraId="79D8185B">
            <w:pPr>
              <w:pStyle w:val="326"/>
              <w:jc w:val="right"/>
              <w:textAlignment w:val="auto"/>
              <w:rPr>
                <w:color w:val="auto"/>
              </w:rPr>
            </w:pPr>
            <w:r>
              <w:rPr>
                <w:rFonts w:hint="eastAsia"/>
                <w:color w:val="auto"/>
                <w:position w:val="-12"/>
              </w:rPr>
              <w:object>
                <v:shape id="_x0000_i1109" o:spt="75" type="#_x0000_t75" style="height:18pt;width:13pt;" o:ole="t" filled="f" o:preferrelative="t" stroked="f" coordsize="21600,21600">
                  <v:path/>
                  <v:fill on="f" focussize="0,0"/>
                  <v:stroke on="f" joinstyle="miter"/>
                  <v:imagedata r:id="rId176" o:title=""/>
                  <o:lock v:ext="edit" aspectratio="t"/>
                  <w10:wrap type="none"/>
                  <w10:anchorlock/>
                </v:shape>
                <o:OLEObject Type="Embed" ProgID="Equation.DSMT4" ShapeID="_x0000_i1109" DrawAspect="Content" ObjectID="_1468075809" r:id="rId175">
                  <o:LockedField>false</o:LockedField>
                </o:OLEObject>
              </w:object>
            </w:r>
          </w:p>
        </w:tc>
        <w:tc>
          <w:tcPr>
            <w:tcW w:w="4000" w:type="pct"/>
            <w:vAlign w:val="center"/>
          </w:tcPr>
          <w:p w14:paraId="722B4814">
            <w:pPr>
              <w:pStyle w:val="326"/>
              <w:textAlignment w:val="auto"/>
              <w:rPr>
                <w:color w:val="auto"/>
              </w:rPr>
            </w:pPr>
            <w:r>
              <w:rPr>
                <w:rFonts w:hint="eastAsia"/>
                <w:color w:val="auto"/>
              </w:rPr>
              <w:t>——</w:t>
            </w:r>
            <w:r>
              <w:rPr>
                <w:rFonts w:hint="eastAsia"/>
                <w:color w:val="auto"/>
                <w:szCs w:val="21"/>
              </w:rPr>
              <w:t>受压区合力点至受拉钢筋合力点的距离；</w:t>
            </w:r>
          </w:p>
        </w:tc>
      </w:tr>
      <w:tr w14:paraId="4C801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tcPr>
          <w:p w14:paraId="1BC1A0C2">
            <w:pPr>
              <w:pStyle w:val="326"/>
              <w:jc w:val="right"/>
              <w:textAlignment w:val="auto"/>
              <w:rPr>
                <w:color w:val="auto"/>
              </w:rPr>
            </w:pPr>
            <w:r>
              <w:rPr>
                <w:rFonts w:hint="eastAsia"/>
                <w:color w:val="auto"/>
                <w:position w:val="-4"/>
              </w:rPr>
              <w:object>
                <v:shape id="_x0000_i1110" o:spt="75" type="#_x0000_t75" style="height:13pt;width:13.95pt;" o:ole="t" filled="f" o:preferrelative="t" stroked="f" coordsize="21600,21600">
                  <v:path/>
                  <v:fill on="f" focussize="0,0"/>
                  <v:stroke on="f" joinstyle="miter"/>
                  <v:imagedata r:id="rId178" o:title=""/>
                  <o:lock v:ext="edit" aspectratio="t"/>
                  <w10:wrap type="none"/>
                  <w10:anchorlock/>
                </v:shape>
                <o:OLEObject Type="Embed" ProgID="Equation.DSMT4" ShapeID="_x0000_i1110" DrawAspect="Content" ObjectID="_1468075810" r:id="rId177">
                  <o:LockedField>false</o:LockedField>
                </o:OLEObject>
              </w:object>
            </w:r>
          </w:p>
        </w:tc>
        <w:tc>
          <w:tcPr>
            <w:tcW w:w="4000" w:type="pct"/>
            <w:vAlign w:val="center"/>
          </w:tcPr>
          <w:p w14:paraId="6E40F190">
            <w:pPr>
              <w:pStyle w:val="326"/>
              <w:textAlignment w:val="auto"/>
              <w:rPr>
                <w:color w:val="auto"/>
              </w:rPr>
            </w:pPr>
            <w:r>
              <w:rPr>
                <w:rFonts w:hint="eastAsia"/>
                <w:color w:val="auto"/>
              </w:rPr>
              <w:t>——超高性能混凝土侧压力计算位置处至新浇超高性能混凝土顶面的</w:t>
            </w:r>
          </w:p>
        </w:tc>
      </w:tr>
      <w:tr w14:paraId="68FB5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tcPr>
          <w:p w14:paraId="067B6902">
            <w:pPr>
              <w:pStyle w:val="326"/>
              <w:jc w:val="right"/>
              <w:textAlignment w:val="auto"/>
              <w:rPr>
                <w:color w:val="auto"/>
              </w:rPr>
            </w:pPr>
          </w:p>
        </w:tc>
        <w:tc>
          <w:tcPr>
            <w:tcW w:w="4000" w:type="pct"/>
            <w:vAlign w:val="center"/>
          </w:tcPr>
          <w:p w14:paraId="477830F7">
            <w:pPr>
              <w:pStyle w:val="326"/>
              <w:ind w:firstLine="420" w:firstLineChars="200"/>
              <w:textAlignment w:val="auto"/>
              <w:rPr>
                <w:color w:val="auto"/>
              </w:rPr>
            </w:pPr>
            <w:r>
              <w:rPr>
                <w:rFonts w:hint="eastAsia"/>
                <w:color w:val="auto"/>
                <w:szCs w:val="21"/>
              </w:rPr>
              <w:t>总高度；</w:t>
            </w:r>
          </w:p>
        </w:tc>
      </w:tr>
      <w:tr w14:paraId="6C18B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tcPr>
          <w:p w14:paraId="7631A343">
            <w:pPr>
              <w:pStyle w:val="326"/>
              <w:jc w:val="right"/>
              <w:textAlignment w:val="auto"/>
              <w:rPr>
                <w:color w:val="auto"/>
              </w:rPr>
            </w:pPr>
            <w:r>
              <w:rPr>
                <w:rFonts w:hint="eastAsia"/>
                <w:color w:val="auto"/>
                <w:position w:val="-6"/>
              </w:rPr>
              <w:object>
                <v:shape id="_x0000_i1111" o:spt="75" type="#_x0000_t75" style="height:13.95pt;width:15pt;" o:ole="t" filled="f" o:preferrelative="t" stroked="f" coordsize="21600,21600">
                  <v:path/>
                  <v:fill on="f" focussize="0,0"/>
                  <v:stroke on="f" joinstyle="miter"/>
                  <v:imagedata r:id="rId180" o:title=""/>
                  <o:lock v:ext="edit" aspectratio="t"/>
                  <w10:wrap type="none"/>
                  <w10:anchorlock/>
                </v:shape>
                <o:OLEObject Type="Embed" ProgID="Equation.DSMT4" ShapeID="_x0000_i1111" DrawAspect="Content" ObjectID="_1468075811" r:id="rId179">
                  <o:LockedField>false</o:LockedField>
                </o:OLEObject>
              </w:object>
            </w:r>
          </w:p>
        </w:tc>
        <w:tc>
          <w:tcPr>
            <w:tcW w:w="4000" w:type="pct"/>
            <w:vAlign w:val="center"/>
          </w:tcPr>
          <w:p w14:paraId="69513986">
            <w:pPr>
              <w:pStyle w:val="326"/>
              <w:textAlignment w:val="auto"/>
              <w:rPr>
                <w:rFonts w:hint="eastAsia" w:eastAsia="宋体"/>
                <w:color w:val="auto"/>
                <w:szCs w:val="21"/>
                <w:lang w:eastAsia="zh-CN"/>
              </w:rPr>
            </w:pPr>
            <w:r>
              <w:rPr>
                <w:rFonts w:hint="eastAsia"/>
                <w:color w:val="auto"/>
                <w:szCs w:val="21"/>
              </w:rPr>
              <w:t>——计算界面剪力时取自由体的长度</w:t>
            </w:r>
            <w:r>
              <w:rPr>
                <w:rFonts w:hint="eastAsia"/>
                <w:color w:val="auto"/>
                <w:szCs w:val="21"/>
                <w:lang w:eastAsia="zh-CN"/>
              </w:rPr>
              <w:t>；</w:t>
            </w:r>
          </w:p>
        </w:tc>
      </w:tr>
      <w:tr w14:paraId="73003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tcPr>
          <w:p w14:paraId="6690F726">
            <w:pPr>
              <w:pStyle w:val="326"/>
              <w:jc w:val="right"/>
              <w:textAlignment w:val="auto"/>
              <w:rPr>
                <w:rFonts w:hint="eastAsia"/>
                <w:color w:val="auto"/>
                <w:position w:val="-6"/>
              </w:rPr>
            </w:pPr>
            <w:r>
              <w:rPr>
                <w:rFonts w:hint="eastAsia"/>
                <w:color w:val="auto"/>
                <w:position w:val="-10"/>
              </w:rPr>
              <w:object>
                <v:shape id="_x0000_i1112" o:spt="75" type="#_x0000_t75" style="height:13pt;width:11pt;" o:ole="t" filled="f" o:preferrelative="t" stroked="f" coordsize="21600,21600">
                  <v:path/>
                  <v:fill on="f" focussize="0,0"/>
                  <v:stroke on="f"/>
                  <v:imagedata r:id="rId182" o:title=""/>
                  <o:lock v:ext="edit" aspectratio="f"/>
                  <w10:wrap type="none"/>
                  <w10:anchorlock/>
                </v:shape>
                <o:OLEObject Type="Embed" ProgID="Equation.DSMT4" ShapeID="_x0000_i1112" DrawAspect="Content" ObjectID="_1468075812" r:id="rId181">
                  <o:LockedField>false</o:LockedField>
                </o:OLEObject>
              </w:object>
            </w:r>
          </w:p>
        </w:tc>
        <w:tc>
          <w:tcPr>
            <w:tcW w:w="4000" w:type="pct"/>
            <w:vAlign w:val="center"/>
          </w:tcPr>
          <w:p w14:paraId="661E8C77">
            <w:pPr>
              <w:pStyle w:val="326"/>
              <w:textAlignment w:val="auto"/>
              <w:rPr>
                <w:rFonts w:hint="default" w:eastAsia="宋体"/>
                <w:color w:val="auto"/>
                <w:szCs w:val="21"/>
                <w:lang w:val="en-US" w:eastAsia="zh-CN"/>
              </w:rPr>
            </w:pPr>
            <w:r>
              <w:rPr>
                <w:rFonts w:hint="eastAsia"/>
                <w:color w:val="auto"/>
                <w:szCs w:val="21"/>
                <w:lang w:eastAsia="zh-CN"/>
              </w:rPr>
              <w:t>——</w:t>
            </w:r>
            <w:r>
              <w:rPr>
                <w:rFonts w:hint="eastAsia"/>
                <w:color w:val="auto"/>
                <w:szCs w:val="21"/>
                <w:lang w:val="en-US" w:eastAsia="zh-CN"/>
              </w:rPr>
              <w:t>截面曲率；</w:t>
            </w:r>
          </w:p>
        </w:tc>
      </w:tr>
      <w:tr w14:paraId="156DD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2280D3CE">
            <w:pPr>
              <w:pStyle w:val="326"/>
              <w:jc w:val="right"/>
              <w:textAlignment w:val="auto"/>
              <w:rPr>
                <w:color w:val="auto"/>
              </w:rPr>
            </w:pPr>
            <w:r>
              <w:rPr>
                <w:rFonts w:hint="eastAsia"/>
                <w:color w:val="auto"/>
                <w:position w:val="-12"/>
              </w:rPr>
              <w:object>
                <v:shape id="_x0000_i1113" o:spt="75" type="#_x0000_t75" style="height:18pt;width:13.95pt;" o:ole="t" filled="f" o:preferrelative="t" stroked="f" coordsize="21600,21600">
                  <v:path/>
                  <v:fill on="f" focussize="0,0"/>
                  <v:stroke on="f" joinstyle="miter"/>
                  <v:imagedata r:id="rId184" o:title=""/>
                  <o:lock v:ext="edit" aspectratio="t"/>
                  <w10:wrap type="none"/>
                  <w10:anchorlock/>
                </v:shape>
                <o:OLEObject Type="Embed" ProgID="Equation.DSMT4" ShapeID="_x0000_i1113" DrawAspect="Content" ObjectID="_1468075813" r:id="rId183">
                  <o:LockedField>false</o:LockedField>
                </o:OLEObject>
              </w:object>
            </w:r>
          </w:p>
        </w:tc>
        <w:tc>
          <w:tcPr>
            <w:tcW w:w="4000" w:type="pct"/>
            <w:vAlign w:val="center"/>
          </w:tcPr>
          <w:p w14:paraId="434A5363">
            <w:pPr>
              <w:pStyle w:val="326"/>
              <w:textAlignment w:val="auto"/>
              <w:rPr>
                <w:color w:val="auto"/>
                <w:szCs w:val="21"/>
              </w:rPr>
            </w:pPr>
            <w:r>
              <w:rPr>
                <w:rFonts w:hint="eastAsia"/>
                <w:color w:val="auto"/>
                <w:szCs w:val="21"/>
              </w:rPr>
              <w:t>——压力作用线与底部受拉钢筋的竖向距离。</w:t>
            </w:r>
          </w:p>
        </w:tc>
      </w:tr>
    </w:tbl>
    <w:p w14:paraId="0262BE04">
      <w:pPr>
        <w:pStyle w:val="326"/>
        <w:textAlignment w:val="auto"/>
        <w:rPr>
          <w:b/>
          <w:bCs/>
          <w:color w:val="auto"/>
        </w:rPr>
      </w:pPr>
      <w:r>
        <w:rPr>
          <w:rFonts w:hint="eastAsia"/>
          <w:b/>
          <w:bCs/>
          <w:color w:val="auto"/>
        </w:rPr>
        <w:t>2.2.4 计算系数及其他有关符号</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4"/>
        <w:gridCol w:w="6818"/>
      </w:tblGrid>
      <w:tr w14:paraId="49D7E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74B696F8">
            <w:pPr>
              <w:pStyle w:val="326"/>
              <w:jc w:val="right"/>
              <w:textAlignment w:val="auto"/>
              <w:rPr>
                <w:b/>
                <w:bCs/>
                <w:color w:val="auto"/>
              </w:rPr>
            </w:pPr>
            <w:r>
              <w:rPr>
                <w:rFonts w:hint="eastAsia"/>
                <w:color w:val="auto"/>
                <w:position w:val="-12"/>
              </w:rPr>
              <w:object>
                <v:shape id="_x0000_i1114" o:spt="75" type="#_x0000_t75" style="height:18pt;width:13pt;" o:ole="t" filled="f" o:preferrelative="t" stroked="f" coordsize="21600,21600">
                  <v:path/>
                  <v:fill on="f" focussize="0,0"/>
                  <v:stroke on="f" joinstyle="miter"/>
                  <v:imagedata r:id="rId186" o:title=""/>
                  <o:lock v:ext="edit" aspectratio="t"/>
                  <w10:wrap type="none"/>
                  <w10:anchorlock/>
                </v:shape>
                <o:OLEObject Type="Embed" ProgID="Equation.DSMT4" ShapeID="_x0000_i1114" DrawAspect="Content" ObjectID="_1468075814" r:id="rId185">
                  <o:LockedField>false</o:LockedField>
                </o:OLEObject>
              </w:object>
            </w:r>
          </w:p>
        </w:tc>
        <w:tc>
          <w:tcPr>
            <w:tcW w:w="4000" w:type="pct"/>
            <w:vAlign w:val="center"/>
          </w:tcPr>
          <w:p w14:paraId="1BCAB03E">
            <w:pPr>
              <w:pStyle w:val="326"/>
              <w:textAlignment w:val="auto"/>
              <w:rPr>
                <w:b/>
                <w:bCs/>
                <w:color w:val="auto"/>
              </w:rPr>
            </w:pPr>
            <w:r>
              <w:rPr>
                <w:rFonts w:hint="eastAsia"/>
                <w:color w:val="auto"/>
              </w:rPr>
              <w:t>——</w:t>
            </w:r>
            <w:r>
              <w:rPr>
                <w:rFonts w:hint="eastAsia"/>
                <w:color w:val="auto"/>
                <w:szCs w:val="21"/>
              </w:rPr>
              <w:t>结构重要性系数；</w:t>
            </w:r>
          </w:p>
        </w:tc>
      </w:tr>
      <w:tr w14:paraId="6BE3C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7C1184D3">
            <w:pPr>
              <w:pStyle w:val="326"/>
              <w:jc w:val="right"/>
              <w:textAlignment w:val="auto"/>
              <w:rPr>
                <w:b/>
                <w:bCs/>
                <w:color w:val="auto"/>
              </w:rPr>
            </w:pPr>
            <w:r>
              <w:rPr>
                <w:rFonts w:hint="eastAsia"/>
                <w:color w:val="auto"/>
                <w:position w:val="-6"/>
              </w:rPr>
              <w:object>
                <v:shape id="_x0000_i1115" o:spt="75" type="#_x0000_t75" style="height:13.95pt;width:10pt;" o:ole="t" filled="f" o:preferrelative="t" stroked="f" coordsize="21600,21600">
                  <v:path/>
                  <v:fill on="f" focussize="0,0"/>
                  <v:stroke on="f" joinstyle="miter"/>
                  <v:imagedata r:id="rId188" o:title=""/>
                  <o:lock v:ext="edit" aspectratio="t"/>
                  <w10:wrap type="none"/>
                  <w10:anchorlock/>
                </v:shape>
                <o:OLEObject Type="Embed" ProgID="Equation.DSMT4" ShapeID="_x0000_i1115" DrawAspect="Content" ObjectID="_1468075815" r:id="rId187">
                  <o:LockedField>false</o:LockedField>
                </o:OLEObject>
              </w:object>
            </w:r>
          </w:p>
        </w:tc>
        <w:tc>
          <w:tcPr>
            <w:tcW w:w="4000" w:type="pct"/>
            <w:vAlign w:val="center"/>
          </w:tcPr>
          <w:p w14:paraId="47218478">
            <w:pPr>
              <w:pStyle w:val="326"/>
              <w:textAlignment w:val="auto"/>
              <w:rPr>
                <w:color w:val="auto"/>
                <w:szCs w:val="21"/>
              </w:rPr>
            </w:pPr>
            <w:r>
              <w:rPr>
                <w:rFonts w:hint="eastAsia"/>
                <w:color w:val="auto"/>
              </w:rPr>
              <w:t>——</w:t>
            </w:r>
            <w:r>
              <w:rPr>
                <w:rFonts w:hint="eastAsia"/>
                <w:color w:val="auto"/>
                <w:szCs w:val="21"/>
              </w:rPr>
              <w:t>主压应力与梁轴线间夹角；</w:t>
            </w:r>
          </w:p>
        </w:tc>
      </w:tr>
      <w:tr w14:paraId="1063D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1C34FEB0">
            <w:pPr>
              <w:pStyle w:val="326"/>
              <w:jc w:val="right"/>
              <w:textAlignment w:val="auto"/>
              <w:rPr>
                <w:b/>
                <w:bCs/>
                <w:color w:val="auto"/>
              </w:rPr>
            </w:pPr>
            <w:r>
              <w:rPr>
                <w:rFonts w:hint="eastAsia"/>
                <w:color w:val="auto"/>
                <w:position w:val="-14"/>
              </w:rPr>
              <w:object>
                <v:shape id="_x0000_i1116" o:spt="75" type="#_x0000_t75" style="height:19pt;width:15pt;" o:ole="t" filled="f" o:preferrelative="t" stroked="f" coordsize="21600,21600">
                  <v:path/>
                  <v:fill on="f" focussize="0,0"/>
                  <v:stroke on="f" joinstyle="miter"/>
                  <v:imagedata r:id="rId190" o:title=""/>
                  <o:lock v:ext="edit" aspectratio="t"/>
                  <w10:wrap type="none"/>
                  <w10:anchorlock/>
                </v:shape>
                <o:OLEObject Type="Embed" ProgID="Equation.DSMT4" ShapeID="_x0000_i1116" DrawAspect="Content" ObjectID="_1468075816" r:id="rId189">
                  <o:LockedField>false</o:LockedField>
                </o:OLEObject>
              </w:object>
            </w:r>
          </w:p>
        </w:tc>
        <w:tc>
          <w:tcPr>
            <w:tcW w:w="4000" w:type="pct"/>
            <w:vAlign w:val="center"/>
          </w:tcPr>
          <w:p w14:paraId="381B74FD">
            <w:pPr>
              <w:pStyle w:val="326"/>
              <w:textAlignment w:val="auto"/>
              <w:rPr>
                <w:color w:val="auto"/>
                <w:szCs w:val="21"/>
              </w:rPr>
            </w:pPr>
            <w:r>
              <w:rPr>
                <w:rFonts w:hint="eastAsia"/>
                <w:color w:val="auto"/>
              </w:rPr>
              <w:t>——</w:t>
            </w:r>
            <w:r>
              <w:rPr>
                <w:rFonts w:hint="eastAsia"/>
                <w:color w:val="auto"/>
                <w:szCs w:val="21"/>
              </w:rPr>
              <w:t>倒“T”形组合式盖板结构的抗剪连接件的数目；</w:t>
            </w:r>
          </w:p>
        </w:tc>
      </w:tr>
      <w:tr w14:paraId="49178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619F3ADD">
            <w:pPr>
              <w:pStyle w:val="326"/>
              <w:jc w:val="right"/>
              <w:textAlignment w:val="auto"/>
              <w:rPr>
                <w:b/>
                <w:bCs/>
                <w:color w:val="auto"/>
              </w:rPr>
            </w:pPr>
            <w:r>
              <w:rPr>
                <w:rFonts w:hint="eastAsia"/>
                <w:color w:val="auto"/>
                <w:position w:val="-12"/>
              </w:rPr>
              <w:object>
                <v:shape id="_x0000_i1117" o:spt="75" type="#_x0000_t75" style="height:18pt;width:17pt;" o:ole="t" filled="f" o:preferrelative="t" stroked="f" coordsize="21600,21600">
                  <v:path/>
                  <v:fill on="f" focussize="0,0"/>
                  <v:stroke on="f" joinstyle="miter"/>
                  <v:imagedata r:id="rId192" o:title=""/>
                  <o:lock v:ext="edit" aspectratio="t"/>
                  <w10:wrap type="none"/>
                  <w10:anchorlock/>
                </v:shape>
                <o:OLEObject Type="Embed" ProgID="Equation.DSMT4" ShapeID="_x0000_i1117" DrawAspect="Content" ObjectID="_1468075817" r:id="rId191">
                  <o:LockedField>false</o:LockedField>
                </o:OLEObject>
              </w:object>
            </w:r>
          </w:p>
        </w:tc>
        <w:tc>
          <w:tcPr>
            <w:tcW w:w="4000" w:type="pct"/>
            <w:vAlign w:val="center"/>
          </w:tcPr>
          <w:p w14:paraId="34A2154A">
            <w:pPr>
              <w:pStyle w:val="326"/>
              <w:textAlignment w:val="auto"/>
              <w:rPr>
                <w:color w:val="auto"/>
                <w:szCs w:val="21"/>
              </w:rPr>
            </w:pPr>
            <w:r>
              <w:rPr>
                <w:rFonts w:hint="eastAsia"/>
                <w:color w:val="auto"/>
              </w:rPr>
              <w:t>——</w:t>
            </w:r>
            <w:r>
              <w:rPr>
                <w:rFonts w:hint="eastAsia"/>
                <w:color w:val="auto"/>
                <w:szCs w:val="21"/>
              </w:rPr>
              <w:t>构件受力特征系数；</w:t>
            </w:r>
          </w:p>
        </w:tc>
      </w:tr>
      <w:tr w14:paraId="7A4EC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2763C1B6">
            <w:pPr>
              <w:pStyle w:val="326"/>
              <w:jc w:val="right"/>
              <w:textAlignment w:val="auto"/>
              <w:rPr>
                <w:b/>
                <w:bCs/>
                <w:color w:val="auto"/>
              </w:rPr>
            </w:pPr>
            <w:r>
              <w:rPr>
                <w:rFonts w:hint="eastAsia"/>
                <w:color w:val="auto"/>
                <w:position w:val="-10"/>
              </w:rPr>
              <w:object>
                <v:shape id="_x0000_i1118" o:spt="75" type="#_x0000_t75" style="height:13pt;width:12pt;" o:ole="t" filled="f" o:preferrelative="t" stroked="f" coordsize="21600,21600">
                  <v:path/>
                  <v:fill on="f" focussize="0,0"/>
                  <v:stroke on="f" joinstyle="miter"/>
                  <v:imagedata r:id="rId194" o:title=""/>
                  <o:lock v:ext="edit" aspectratio="t"/>
                  <w10:wrap type="none"/>
                  <w10:anchorlock/>
                </v:shape>
                <o:OLEObject Type="Embed" ProgID="Equation.DSMT4" ShapeID="_x0000_i1118" DrawAspect="Content" ObjectID="_1468075818" r:id="rId193">
                  <o:LockedField>false</o:LockedField>
                </o:OLEObject>
              </w:object>
            </w:r>
          </w:p>
        </w:tc>
        <w:tc>
          <w:tcPr>
            <w:tcW w:w="4000" w:type="pct"/>
            <w:vAlign w:val="center"/>
          </w:tcPr>
          <w:p w14:paraId="390B1C70">
            <w:pPr>
              <w:pStyle w:val="326"/>
              <w:textAlignment w:val="auto"/>
              <w:rPr>
                <w:color w:val="auto"/>
                <w:szCs w:val="21"/>
              </w:rPr>
            </w:pPr>
            <w:r>
              <w:rPr>
                <w:rFonts w:hint="eastAsia"/>
                <w:color w:val="auto"/>
              </w:rPr>
              <w:t>——</w:t>
            </w:r>
            <w:r>
              <w:rPr>
                <w:rFonts w:hint="eastAsia"/>
                <w:color w:val="auto"/>
                <w:szCs w:val="21"/>
              </w:rPr>
              <w:t>裂缝间纵向受拉钢筋应变不均匀系数；</w:t>
            </w:r>
          </w:p>
        </w:tc>
      </w:tr>
      <w:tr w14:paraId="0C7D6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3C13C5B1">
            <w:pPr>
              <w:pStyle w:val="326"/>
              <w:jc w:val="right"/>
              <w:textAlignment w:val="auto"/>
              <w:rPr>
                <w:b/>
                <w:bCs/>
                <w:color w:val="auto"/>
              </w:rPr>
            </w:pPr>
            <w:r>
              <w:rPr>
                <w:rFonts w:hint="eastAsia"/>
                <w:color w:val="auto"/>
                <w:position w:val="-10"/>
              </w:rPr>
              <w:object>
                <v:shape id="_x0000_i1119" o:spt="75" type="#_x0000_t75" style="height:13pt;width:12pt;" o:ole="t" filled="f" o:preferrelative="t" stroked="f" coordsize="21600,21600">
                  <v:path/>
                  <v:fill on="f" focussize="0,0"/>
                  <v:stroke on="f" joinstyle="miter"/>
                  <v:imagedata r:id="rId196" o:title=""/>
                  <o:lock v:ext="edit" aspectratio="t"/>
                  <w10:wrap type="none"/>
                  <w10:anchorlock/>
                </v:shape>
                <o:OLEObject Type="Embed" ProgID="Equation.DSMT4" ShapeID="_x0000_i1119" DrawAspect="Content" ObjectID="_1468075819" r:id="rId195">
                  <o:LockedField>false</o:LockedField>
                </o:OLEObject>
              </w:object>
            </w:r>
            <w:r>
              <w:rPr>
                <w:rFonts w:hint="eastAsia"/>
                <w:color w:val="auto"/>
              </w:rPr>
              <w:t>、</w:t>
            </w:r>
            <w:r>
              <w:rPr>
                <w:rFonts w:hint="eastAsia"/>
                <w:color w:val="auto"/>
                <w:position w:val="-12"/>
              </w:rPr>
              <w:object>
                <v:shape id="_x0000_i1120" o:spt="75" type="#_x0000_t75" style="height:18pt;width:16pt;" o:ole="t" filled="f" o:preferrelative="t" stroked="f" coordsize="21600,21600">
                  <v:path/>
                  <v:fill on="f" focussize="0,0"/>
                  <v:stroke on="f" joinstyle="miter"/>
                  <v:imagedata r:id="rId198" o:title=""/>
                  <o:lock v:ext="edit" aspectratio="t"/>
                  <w10:wrap type="none"/>
                  <w10:anchorlock/>
                </v:shape>
                <o:OLEObject Type="Embed" ProgID="Equation.DSMT4" ShapeID="_x0000_i1120" DrawAspect="Content" ObjectID="_1468075820" r:id="rId197">
                  <o:LockedField>false</o:LockedField>
                </o:OLEObject>
              </w:object>
            </w:r>
          </w:p>
        </w:tc>
        <w:tc>
          <w:tcPr>
            <w:tcW w:w="4000" w:type="pct"/>
            <w:vAlign w:val="center"/>
          </w:tcPr>
          <w:p w14:paraId="5D93DC75">
            <w:pPr>
              <w:pStyle w:val="326"/>
              <w:textAlignment w:val="auto"/>
              <w:rPr>
                <w:color w:val="auto"/>
                <w:szCs w:val="21"/>
              </w:rPr>
            </w:pPr>
            <w:r>
              <w:rPr>
                <w:rFonts w:hint="eastAsia"/>
                <w:color w:val="auto"/>
              </w:rPr>
              <w:t>——</w:t>
            </w:r>
            <w:r>
              <w:rPr>
                <w:rFonts w:hint="eastAsia"/>
                <w:color w:val="auto"/>
                <w:szCs w:val="21"/>
              </w:rPr>
              <w:t>NSC层、UHPC层纵向受拉钢筋的有效配筋率；</w:t>
            </w:r>
          </w:p>
        </w:tc>
      </w:tr>
      <w:tr w14:paraId="7D397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41F64C51">
            <w:pPr>
              <w:pStyle w:val="326"/>
              <w:jc w:val="right"/>
              <w:textAlignment w:val="auto"/>
              <w:rPr>
                <w:b/>
                <w:bCs/>
                <w:color w:val="auto"/>
              </w:rPr>
            </w:pPr>
            <w:r>
              <w:rPr>
                <w:rFonts w:hint="eastAsia"/>
                <w:color w:val="auto"/>
                <w:position w:val="-12"/>
              </w:rPr>
              <w:object>
                <v:shape id="_x0000_i1121" o:spt="75" type="#_x0000_t75" style="height:18pt;width:22pt;" o:ole="t" filled="f" o:preferrelative="t" stroked="f" coordsize="21600,21600">
                  <v:path/>
                  <v:fill on="f" focussize="0,0"/>
                  <v:stroke on="f" joinstyle="miter"/>
                  <v:imagedata r:id="rId200" o:title=""/>
                  <o:lock v:ext="edit" aspectratio="t"/>
                  <w10:wrap type="none"/>
                  <w10:anchorlock/>
                </v:shape>
                <o:OLEObject Type="Embed" ProgID="Equation.DSMT4" ShapeID="_x0000_i1121" DrawAspect="Content" ObjectID="_1468075821" r:id="rId199">
                  <o:LockedField>false</o:LockedField>
                </o:OLEObject>
              </w:object>
            </w:r>
          </w:p>
        </w:tc>
        <w:tc>
          <w:tcPr>
            <w:tcW w:w="4000" w:type="pct"/>
            <w:vAlign w:val="center"/>
          </w:tcPr>
          <w:p w14:paraId="20DA9958">
            <w:pPr>
              <w:pStyle w:val="326"/>
              <w:textAlignment w:val="auto"/>
              <w:rPr>
                <w:b/>
                <w:bCs/>
                <w:color w:val="auto"/>
              </w:rPr>
            </w:pPr>
            <w:r>
              <w:rPr>
                <w:rFonts w:hint="eastAsia"/>
                <w:color w:val="auto"/>
              </w:rPr>
              <w:t>——</w:t>
            </w:r>
            <w:r>
              <w:rPr>
                <w:rFonts w:hint="eastAsia"/>
                <w:color w:val="auto"/>
                <w:szCs w:val="21"/>
              </w:rPr>
              <w:t>钢筋表面形状系数、作用（或荷载）长期效应影响系数、与构件受</w:t>
            </w:r>
          </w:p>
        </w:tc>
      </w:tr>
      <w:tr w14:paraId="179C6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20A08128">
            <w:pPr>
              <w:pStyle w:val="326"/>
              <w:jc w:val="right"/>
              <w:textAlignment w:val="auto"/>
              <w:rPr>
                <w:b/>
                <w:bCs/>
                <w:color w:val="auto"/>
              </w:rPr>
            </w:pPr>
          </w:p>
        </w:tc>
        <w:tc>
          <w:tcPr>
            <w:tcW w:w="4000" w:type="pct"/>
            <w:vAlign w:val="center"/>
          </w:tcPr>
          <w:p w14:paraId="4887AA48">
            <w:pPr>
              <w:pStyle w:val="326"/>
              <w:ind w:firstLine="420" w:firstLineChars="200"/>
              <w:textAlignment w:val="auto"/>
              <w:rPr>
                <w:b/>
                <w:bCs/>
                <w:color w:val="auto"/>
              </w:rPr>
            </w:pPr>
            <w:r>
              <w:rPr>
                <w:rFonts w:hint="eastAsia"/>
                <w:color w:val="auto"/>
                <w:szCs w:val="21"/>
              </w:rPr>
              <w:t>力性质有关的系数、考虑超高性能混凝土</w:t>
            </w:r>
            <w:r>
              <w:rPr>
                <w:color w:val="auto"/>
                <w:szCs w:val="21"/>
              </w:rPr>
              <w:t>底板对上层</w:t>
            </w:r>
            <w:r>
              <w:rPr>
                <w:rFonts w:hint="eastAsia"/>
                <w:color w:val="auto"/>
                <w:szCs w:val="21"/>
              </w:rPr>
              <w:t>普通混凝土层</w:t>
            </w:r>
          </w:p>
        </w:tc>
      </w:tr>
      <w:tr w14:paraId="2AB95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6EFAAB01">
            <w:pPr>
              <w:pStyle w:val="326"/>
              <w:jc w:val="right"/>
              <w:textAlignment w:val="auto"/>
              <w:rPr>
                <w:b/>
                <w:bCs/>
                <w:color w:val="auto"/>
              </w:rPr>
            </w:pPr>
          </w:p>
        </w:tc>
        <w:tc>
          <w:tcPr>
            <w:tcW w:w="4000" w:type="pct"/>
            <w:vAlign w:val="center"/>
          </w:tcPr>
          <w:p w14:paraId="217F4651">
            <w:pPr>
              <w:pStyle w:val="326"/>
              <w:ind w:firstLine="420" w:firstLineChars="200"/>
              <w:textAlignment w:val="auto"/>
              <w:rPr>
                <w:color w:val="auto"/>
                <w:szCs w:val="21"/>
              </w:rPr>
            </w:pPr>
            <w:r>
              <w:rPr>
                <w:color w:val="auto"/>
                <w:szCs w:val="21"/>
              </w:rPr>
              <w:t>的约束作用</w:t>
            </w:r>
            <w:r>
              <w:rPr>
                <w:rFonts w:hint="eastAsia"/>
                <w:color w:val="auto"/>
                <w:szCs w:val="21"/>
              </w:rPr>
              <w:t>；</w:t>
            </w:r>
          </w:p>
        </w:tc>
      </w:tr>
      <w:tr w14:paraId="2F7A6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36A3F3CD">
            <w:pPr>
              <w:pStyle w:val="326"/>
              <w:jc w:val="right"/>
              <w:textAlignment w:val="auto"/>
              <w:rPr>
                <w:b/>
                <w:bCs/>
                <w:color w:val="auto"/>
              </w:rPr>
            </w:pPr>
            <w:r>
              <w:rPr>
                <w:rFonts w:hint="eastAsia"/>
                <w:color w:val="auto"/>
                <w:position w:val="-12"/>
              </w:rPr>
              <w:object>
                <v:shape id="_x0000_i1122" o:spt="75" type="#_x0000_t75" style="height:18pt;width:15pt;" o:ole="t" filled="f" o:preferrelative="t" stroked="f" coordsize="21600,21600">
                  <v:path/>
                  <v:fill on="f" focussize="0,0"/>
                  <v:stroke on="f" joinstyle="miter"/>
                  <v:imagedata r:id="rId202" o:title=""/>
                  <o:lock v:ext="edit" aspectratio="t"/>
                  <w10:wrap type="none"/>
                  <w10:anchorlock/>
                </v:shape>
                <o:OLEObject Type="Embed" ProgID="Equation.DSMT4" ShapeID="_x0000_i1122" DrawAspect="Content" ObjectID="_1468075822" r:id="rId201">
                  <o:LockedField>false</o:LockedField>
                </o:OLEObject>
              </w:object>
            </w:r>
          </w:p>
        </w:tc>
        <w:tc>
          <w:tcPr>
            <w:tcW w:w="4000" w:type="pct"/>
            <w:vAlign w:val="center"/>
          </w:tcPr>
          <w:p w14:paraId="4ACCD7AA">
            <w:pPr>
              <w:pStyle w:val="326"/>
              <w:textAlignment w:val="auto"/>
              <w:rPr>
                <w:b/>
                <w:bCs/>
                <w:color w:val="auto"/>
              </w:rPr>
            </w:pPr>
            <w:r>
              <w:rPr>
                <w:rFonts w:hint="eastAsia"/>
                <w:b/>
                <w:bCs/>
                <w:color w:val="auto"/>
              </w:rPr>
              <w:t>——</w:t>
            </w:r>
            <w:r>
              <w:rPr>
                <w:rFonts w:hint="eastAsia"/>
                <w:color w:val="auto"/>
                <w:szCs w:val="21"/>
              </w:rPr>
              <w:t>开裂截面换算截面惯性矩；</w:t>
            </w:r>
          </w:p>
        </w:tc>
      </w:tr>
      <w:tr w14:paraId="5D2E6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05BE2318">
            <w:pPr>
              <w:pStyle w:val="326"/>
              <w:jc w:val="right"/>
              <w:textAlignment w:val="auto"/>
              <w:rPr>
                <w:b/>
                <w:bCs/>
                <w:color w:val="auto"/>
              </w:rPr>
            </w:pPr>
            <w:r>
              <w:rPr>
                <w:rFonts w:hint="eastAsia"/>
                <w:color w:val="auto"/>
                <w:position w:val="-12"/>
              </w:rPr>
              <w:object>
                <v:shape id="_x0000_i1123" o:spt="75" type="#_x0000_t75" style="height:18pt;width:20pt;" o:ole="t" filled="f" o:preferrelative="t" stroked="f" coordsize="21600,21600">
                  <v:path/>
                  <v:fill on="f" focussize="0,0"/>
                  <v:stroke on="f" joinstyle="miter"/>
                  <v:imagedata r:id="rId204" o:title=""/>
                  <o:lock v:ext="edit" aspectratio="t"/>
                  <w10:wrap type="none"/>
                  <w10:anchorlock/>
                </v:shape>
                <o:OLEObject Type="Embed" ProgID="Equation.DSMT4" ShapeID="_x0000_i1123" DrawAspect="Content" ObjectID="_1468075823" r:id="rId203">
                  <o:LockedField>false</o:LockedField>
                </o:OLEObject>
              </w:object>
            </w:r>
          </w:p>
        </w:tc>
        <w:tc>
          <w:tcPr>
            <w:tcW w:w="4000" w:type="pct"/>
            <w:vAlign w:val="center"/>
          </w:tcPr>
          <w:p w14:paraId="6A5515B3">
            <w:pPr>
              <w:pStyle w:val="326"/>
              <w:textAlignment w:val="auto"/>
              <w:rPr>
                <w:b/>
                <w:bCs/>
                <w:color w:val="auto"/>
              </w:rPr>
            </w:pPr>
            <w:r>
              <w:rPr>
                <w:rFonts w:hint="eastAsia"/>
                <w:b/>
                <w:bCs/>
                <w:color w:val="auto"/>
              </w:rPr>
              <w:t>——</w:t>
            </w:r>
            <w:r>
              <w:rPr>
                <w:rFonts w:hint="eastAsia"/>
                <w:color w:val="auto"/>
                <w:szCs w:val="21"/>
              </w:rPr>
              <w:t>普通混凝土与超高性能混凝土弹性模量的比值；</w:t>
            </w:r>
          </w:p>
        </w:tc>
      </w:tr>
      <w:tr w14:paraId="3874D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582E2420">
            <w:pPr>
              <w:pStyle w:val="326"/>
              <w:jc w:val="right"/>
              <w:textAlignment w:val="auto"/>
              <w:rPr>
                <w:b/>
                <w:bCs/>
                <w:color w:val="auto"/>
              </w:rPr>
            </w:pPr>
            <w:r>
              <w:rPr>
                <w:rFonts w:hint="eastAsia"/>
                <w:color w:val="auto"/>
                <w:position w:val="-12"/>
              </w:rPr>
              <w:object>
                <v:shape id="_x0000_i1124" o:spt="75" type="#_x0000_t75" style="height:18pt;width:20pt;" o:ole="t" filled="f" o:preferrelative="t" stroked="f" coordsize="21600,21600">
                  <v:path/>
                  <v:fill on="f" focussize="0,0"/>
                  <v:stroke on="f" joinstyle="miter"/>
                  <v:imagedata r:id="rId206" o:title=""/>
                  <o:lock v:ext="edit" aspectratio="t"/>
                  <w10:wrap type="none"/>
                  <w10:anchorlock/>
                </v:shape>
                <o:OLEObject Type="Embed" ProgID="Equation.DSMT4" ShapeID="_x0000_i1124" DrawAspect="Content" ObjectID="_1468075824" r:id="rId205">
                  <o:LockedField>false</o:LockedField>
                </o:OLEObject>
              </w:object>
            </w:r>
          </w:p>
        </w:tc>
        <w:tc>
          <w:tcPr>
            <w:tcW w:w="4000" w:type="pct"/>
            <w:vAlign w:val="center"/>
          </w:tcPr>
          <w:p w14:paraId="7D2CBDA8">
            <w:pPr>
              <w:pStyle w:val="326"/>
              <w:textAlignment w:val="auto"/>
              <w:rPr>
                <w:b/>
                <w:bCs/>
                <w:color w:val="auto"/>
              </w:rPr>
            </w:pPr>
            <w:r>
              <w:rPr>
                <w:rFonts w:hint="eastAsia"/>
                <w:b/>
                <w:bCs/>
                <w:color w:val="auto"/>
              </w:rPr>
              <w:t>——</w:t>
            </w:r>
            <w:r>
              <w:rPr>
                <w:rFonts w:hint="eastAsia"/>
                <w:color w:val="auto"/>
                <w:szCs w:val="21"/>
              </w:rPr>
              <w:t>普通钢筋弹性模量与超高性能混凝土弹性模量的比值；</w:t>
            </w:r>
          </w:p>
        </w:tc>
      </w:tr>
      <w:tr w14:paraId="05D4C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vAlign w:val="center"/>
          </w:tcPr>
          <w:p w14:paraId="7270308D">
            <w:pPr>
              <w:pStyle w:val="326"/>
              <w:jc w:val="right"/>
              <w:textAlignment w:val="auto"/>
              <w:rPr>
                <w:color w:val="auto"/>
              </w:rPr>
            </w:pPr>
            <w:r>
              <w:rPr>
                <w:rFonts w:hint="eastAsia"/>
                <w:color w:val="auto"/>
                <w:position w:val="-10"/>
              </w:rPr>
              <w:object>
                <v:shape id="_x0000_i1125" o:spt="75" type="#_x0000_t75" style="height:13pt;width:12pt;" o:ole="t" filled="f" o:preferrelative="t" stroked="f" coordsize="21600,21600">
                  <v:path/>
                  <v:fill on="f" focussize="0,0"/>
                  <v:stroke on="f" joinstyle="miter"/>
                  <v:imagedata r:id="rId208" o:title=""/>
                  <o:lock v:ext="edit" aspectratio="t"/>
                  <w10:wrap type="none"/>
                  <w10:anchorlock/>
                </v:shape>
                <o:OLEObject Type="Embed" ProgID="Equation.DSMT4" ShapeID="_x0000_i1125" DrawAspect="Content" ObjectID="_1468075825" r:id="rId207">
                  <o:LockedField>false</o:LockedField>
                </o:OLEObject>
              </w:object>
            </w:r>
          </w:p>
        </w:tc>
        <w:tc>
          <w:tcPr>
            <w:tcW w:w="4000" w:type="pct"/>
            <w:vAlign w:val="center"/>
          </w:tcPr>
          <w:p w14:paraId="5503976B">
            <w:pPr>
              <w:pStyle w:val="326"/>
              <w:textAlignment w:val="auto"/>
              <w:rPr>
                <w:b/>
                <w:bCs/>
                <w:color w:val="auto"/>
              </w:rPr>
            </w:pPr>
            <w:r>
              <w:rPr>
                <w:rFonts w:hint="eastAsia"/>
                <w:b/>
                <w:bCs/>
                <w:color w:val="auto"/>
              </w:rPr>
              <w:t>——</w:t>
            </w:r>
            <w:r>
              <w:rPr>
                <w:rFonts w:hint="eastAsia"/>
                <w:color w:val="auto"/>
                <w:szCs w:val="21"/>
              </w:rPr>
              <w:t>UHPC和NSC界面摩擦系数；</w:t>
            </w:r>
          </w:p>
        </w:tc>
      </w:tr>
    </w:tbl>
    <w:p w14:paraId="14B42EF8">
      <w:pPr>
        <w:pStyle w:val="326"/>
        <w:rPr>
          <w:color w:val="auto"/>
        </w:rPr>
      </w:pPr>
      <w:r>
        <w:rPr>
          <w:color w:val="auto"/>
        </w:rPr>
        <w:br w:type="page"/>
      </w:r>
    </w:p>
    <w:p w14:paraId="5F7AAB3F">
      <w:pPr>
        <w:pStyle w:val="2"/>
        <w:spacing w:before="312" w:after="312"/>
        <w:rPr>
          <w:color w:val="auto"/>
        </w:rPr>
      </w:pPr>
      <w:bookmarkStart w:id="34" w:name="_Toc28942"/>
      <w:bookmarkStart w:id="35" w:name="_Toc10910"/>
      <w:bookmarkStart w:id="36" w:name="_Toc2691"/>
      <w:bookmarkStart w:id="37" w:name="_Toc11212"/>
      <w:bookmarkStart w:id="38" w:name="_Toc106183736"/>
      <w:bookmarkStart w:id="39" w:name="_Toc30376"/>
      <w:bookmarkStart w:id="40" w:name="_Toc94337376"/>
      <w:bookmarkStart w:id="41" w:name="_Toc21521"/>
      <w:bookmarkStart w:id="42" w:name="_Toc23272"/>
      <w:bookmarkStart w:id="43" w:name="_Toc30636"/>
      <w:bookmarkStart w:id="44" w:name="_Hlk82973561"/>
      <w:r>
        <w:rPr>
          <w:rFonts w:ascii="Times New Roman" w:hAnsi="Times New Roman"/>
          <w:color w:val="auto"/>
        </w:rPr>
        <w:t>3</w:t>
      </w:r>
      <w:r>
        <w:rPr>
          <w:rFonts w:hint="eastAsia"/>
          <w:color w:val="auto"/>
        </w:rPr>
        <w:t xml:space="preserve">  基本规定</w:t>
      </w:r>
      <w:bookmarkEnd w:id="34"/>
      <w:bookmarkEnd w:id="35"/>
      <w:bookmarkEnd w:id="36"/>
      <w:bookmarkEnd w:id="37"/>
      <w:bookmarkEnd w:id="38"/>
      <w:bookmarkEnd w:id="39"/>
      <w:bookmarkEnd w:id="40"/>
      <w:bookmarkEnd w:id="41"/>
      <w:bookmarkEnd w:id="42"/>
      <w:bookmarkEnd w:id="43"/>
    </w:p>
    <w:p w14:paraId="000870D9">
      <w:pPr>
        <w:pStyle w:val="326"/>
        <w:rPr>
          <w:color w:val="auto"/>
        </w:rPr>
      </w:pPr>
      <w:r>
        <w:rPr>
          <w:rFonts w:hint="eastAsia"/>
          <w:b/>
          <w:bCs/>
          <w:color w:val="auto"/>
        </w:rPr>
        <w:t>3.0.1</w:t>
      </w:r>
      <w:r>
        <w:rPr>
          <w:b/>
          <w:bCs/>
          <w:color w:val="auto"/>
        </w:rPr>
        <w:t xml:space="preserve"> </w:t>
      </w:r>
      <w:r>
        <w:rPr>
          <w:rFonts w:hint="eastAsia"/>
          <w:color w:val="auto"/>
        </w:rPr>
        <w:t xml:space="preserve"> </w:t>
      </w:r>
      <w:bookmarkStart w:id="45" w:name="_Hlk141724322"/>
      <w:r>
        <w:rPr>
          <w:rFonts w:hint="eastAsia"/>
          <w:color w:val="auto"/>
        </w:rPr>
        <w:t>超高性能混凝土</w:t>
      </w:r>
      <w:r>
        <w:rPr>
          <w:color w:val="auto"/>
        </w:rPr>
        <w:t>-普通混凝土组合式盖板</w:t>
      </w:r>
      <w:r>
        <w:rPr>
          <w:rFonts w:hint="eastAsia"/>
          <w:color w:val="auto"/>
        </w:rPr>
        <w:t>结构</w:t>
      </w:r>
      <w:bookmarkEnd w:id="45"/>
      <w:r>
        <w:rPr>
          <w:rFonts w:hint="eastAsia"/>
          <w:color w:val="auto"/>
        </w:rPr>
        <w:t>一般应用于</w:t>
      </w:r>
      <w:r>
        <w:rPr>
          <w:rFonts w:hint="eastAsia"/>
          <w:color w:val="auto"/>
          <w:highlight w:val="none"/>
        </w:rPr>
        <w:t>市政工程</w:t>
      </w:r>
      <w:r>
        <w:rPr>
          <w:rFonts w:hint="eastAsia"/>
          <w:color w:val="auto"/>
        </w:rPr>
        <w:t>下穿通道工程，设计应符合城乡规划要求。应根据下穿通道功能、等级、通行能力及防洪抗灾要求，结合水文、地质、环境等条件以及施工水平、工期要求、经济性、运营及养护等因素，合理确定组合式盖板结构跨径布置、填土高度、截面构造及与其性能匹配的超高性能混凝土材料。本规程</w:t>
      </w:r>
      <w:r>
        <w:rPr>
          <w:color w:val="auto"/>
        </w:rPr>
        <w:t>组合式盖板结构</w:t>
      </w:r>
      <w:r>
        <w:rPr>
          <w:rFonts w:hint="eastAsia"/>
          <w:color w:val="auto"/>
        </w:rPr>
        <w:t>适宜的跨径为6-10m。</w:t>
      </w:r>
    </w:p>
    <w:p w14:paraId="5EDDE9F4">
      <w:pPr>
        <w:pStyle w:val="326"/>
        <w:rPr>
          <w:color w:val="auto"/>
        </w:rPr>
      </w:pPr>
      <w:r>
        <w:rPr>
          <w:rFonts w:hint="eastAsia"/>
          <w:b/>
          <w:bCs/>
          <w:color w:val="auto"/>
        </w:rPr>
        <w:t>3</w:t>
      </w:r>
      <w:r>
        <w:rPr>
          <w:b/>
          <w:bCs/>
          <w:color w:val="auto"/>
        </w:rPr>
        <w:t>.</w:t>
      </w:r>
      <w:r>
        <w:rPr>
          <w:rFonts w:hint="eastAsia"/>
          <w:b/>
          <w:bCs/>
          <w:color w:val="auto"/>
        </w:rPr>
        <w:t>0</w:t>
      </w:r>
      <w:r>
        <w:rPr>
          <w:b/>
          <w:bCs/>
          <w:color w:val="auto"/>
        </w:rPr>
        <w:t xml:space="preserve">.2  </w:t>
      </w:r>
      <w:bookmarkStart w:id="46" w:name="_Hlk141725332"/>
      <w:r>
        <w:rPr>
          <w:rFonts w:hint="eastAsia"/>
          <w:color w:val="auto"/>
        </w:rPr>
        <w:t>超高性能混凝土</w:t>
      </w:r>
      <w:r>
        <w:rPr>
          <w:color w:val="auto"/>
        </w:rPr>
        <w:t>-普通混凝土组合式盖板</w:t>
      </w:r>
      <w:bookmarkEnd w:id="46"/>
      <w:r>
        <w:rPr>
          <w:rFonts w:hint="eastAsia"/>
          <w:color w:val="auto"/>
        </w:rPr>
        <w:t>结构设计应包含下列内容：</w:t>
      </w:r>
    </w:p>
    <w:p w14:paraId="02652D88">
      <w:pPr>
        <w:pStyle w:val="326"/>
        <w:ind w:firstLine="422" w:firstLineChars="200"/>
        <w:rPr>
          <w:color w:val="auto"/>
        </w:rPr>
      </w:pPr>
      <w:r>
        <w:rPr>
          <w:b/>
          <w:bCs/>
          <w:color w:val="auto"/>
        </w:rPr>
        <w:t>1</w:t>
      </w:r>
      <w:r>
        <w:rPr>
          <w:color w:val="auto"/>
        </w:rPr>
        <w:t xml:space="preserve"> 结构方案设计；</w:t>
      </w:r>
    </w:p>
    <w:p w14:paraId="7E906D21">
      <w:pPr>
        <w:pStyle w:val="326"/>
        <w:ind w:firstLine="422" w:firstLineChars="200"/>
        <w:rPr>
          <w:color w:val="auto"/>
        </w:rPr>
      </w:pPr>
      <w:r>
        <w:rPr>
          <w:b/>
          <w:bCs/>
          <w:color w:val="auto"/>
        </w:rPr>
        <w:t>2</w:t>
      </w:r>
      <w:r>
        <w:rPr>
          <w:color w:val="auto"/>
        </w:rPr>
        <w:t xml:space="preserve"> 结构</w:t>
      </w:r>
      <w:r>
        <w:rPr>
          <w:rFonts w:hint="eastAsia"/>
          <w:color w:val="auto"/>
        </w:rPr>
        <w:t>构件</w:t>
      </w:r>
      <w:r>
        <w:rPr>
          <w:color w:val="auto"/>
        </w:rPr>
        <w:t>的构造设计；</w:t>
      </w:r>
    </w:p>
    <w:p w14:paraId="05B78A13">
      <w:pPr>
        <w:pStyle w:val="326"/>
        <w:ind w:firstLine="422" w:firstLineChars="200"/>
        <w:rPr>
          <w:color w:val="auto"/>
        </w:rPr>
      </w:pPr>
      <w:r>
        <w:rPr>
          <w:b/>
          <w:bCs/>
          <w:color w:val="auto"/>
        </w:rPr>
        <w:t>3</w:t>
      </w:r>
      <w:r>
        <w:rPr>
          <w:color w:val="auto"/>
        </w:rPr>
        <w:t xml:space="preserve"> 作用及作用效应分析；</w:t>
      </w:r>
    </w:p>
    <w:p w14:paraId="6D38A17D">
      <w:pPr>
        <w:pStyle w:val="326"/>
        <w:ind w:firstLine="422" w:firstLineChars="200"/>
        <w:rPr>
          <w:color w:val="auto"/>
        </w:rPr>
      </w:pPr>
      <w:r>
        <w:rPr>
          <w:b/>
          <w:bCs/>
          <w:color w:val="auto"/>
        </w:rPr>
        <w:t>4</w:t>
      </w:r>
      <w:r>
        <w:rPr>
          <w:color w:val="auto"/>
        </w:rPr>
        <w:t xml:space="preserve"> </w:t>
      </w:r>
      <w:r>
        <w:rPr>
          <w:rFonts w:hint="eastAsia"/>
          <w:color w:val="auto"/>
        </w:rPr>
        <w:t>结构的</w:t>
      </w:r>
      <w:r>
        <w:rPr>
          <w:color w:val="auto"/>
        </w:rPr>
        <w:t>极限状态验算</w:t>
      </w:r>
      <w:r>
        <w:rPr>
          <w:rFonts w:hint="eastAsia"/>
          <w:color w:val="auto"/>
        </w:rPr>
        <w:t>。</w:t>
      </w:r>
    </w:p>
    <w:bookmarkEnd w:id="44"/>
    <w:p w14:paraId="30982728">
      <w:pPr>
        <w:pStyle w:val="326"/>
        <w:rPr>
          <w:rFonts w:hint="eastAsia" w:ascii="宋体" w:hAnsi="宋体" w:cs="宋体"/>
          <w:color w:val="auto"/>
        </w:rPr>
      </w:pPr>
      <w:bookmarkStart w:id="47" w:name="_Hlk105513028"/>
      <w:r>
        <w:rPr>
          <w:b/>
          <w:bCs/>
          <w:color w:val="auto"/>
        </w:rPr>
        <w:t>3.0.</w:t>
      </w:r>
      <w:bookmarkEnd w:id="47"/>
      <w:r>
        <w:rPr>
          <w:b/>
          <w:bCs/>
          <w:color w:val="auto"/>
        </w:rPr>
        <w:t xml:space="preserve">3 </w:t>
      </w:r>
      <w:r>
        <w:rPr>
          <w:rFonts w:hint="eastAsia" w:ascii="宋体" w:hAnsi="宋体" w:cs="宋体"/>
          <w:color w:val="auto"/>
        </w:rPr>
        <w:t xml:space="preserve"> </w:t>
      </w:r>
      <w:bookmarkStart w:id="48" w:name="_Hlk141724909"/>
      <w:r>
        <w:rPr>
          <w:rFonts w:hint="eastAsia"/>
          <w:color w:val="auto"/>
        </w:rPr>
        <w:t>超高性能混凝土</w:t>
      </w:r>
      <w:r>
        <w:rPr>
          <w:color w:val="auto"/>
        </w:rPr>
        <w:t>-普通混凝土组合式盖板</w:t>
      </w:r>
      <w:r>
        <w:rPr>
          <w:rFonts w:hint="eastAsia"/>
          <w:color w:val="auto"/>
        </w:rPr>
        <w:t>结构</w:t>
      </w:r>
      <w:r>
        <w:rPr>
          <w:rFonts w:hint="eastAsia" w:ascii="宋体" w:hAnsi="宋体" w:cs="宋体"/>
          <w:color w:val="auto"/>
        </w:rPr>
        <w:t>应根据组合截面形成过程，对相应的结构体系和工况进行分析计算。</w:t>
      </w:r>
    </w:p>
    <w:p w14:paraId="5822EEFD">
      <w:pPr>
        <w:pStyle w:val="326"/>
        <w:rPr>
          <w:color w:val="auto"/>
        </w:rPr>
      </w:pPr>
      <w:r>
        <w:rPr>
          <w:rFonts w:hint="eastAsia"/>
          <w:b/>
          <w:bCs/>
          <w:color w:val="auto"/>
        </w:rPr>
        <w:t>3.0.4</w:t>
      </w:r>
      <w:r>
        <w:rPr>
          <w:rFonts w:hint="eastAsia" w:ascii="宋体" w:hAnsi="宋体" w:cs="宋体"/>
          <w:color w:val="auto"/>
        </w:rPr>
        <w:t xml:space="preserve"> 超高性能混凝土-普通混凝土组合式盖板</w:t>
      </w:r>
      <w:bookmarkEnd w:id="48"/>
      <w:r>
        <w:rPr>
          <w:rFonts w:hint="eastAsia" w:ascii="宋体" w:hAnsi="宋体" w:cs="宋体"/>
          <w:color w:val="auto"/>
        </w:rPr>
        <w:t>结构应进行承载能力极限状态和正常使用极限状态两类极限状态设计。</w:t>
      </w:r>
    </w:p>
    <w:p w14:paraId="4F37485C">
      <w:pPr>
        <w:pStyle w:val="326"/>
        <w:rPr>
          <w:b/>
          <w:bCs/>
          <w:color w:val="auto"/>
        </w:rPr>
      </w:pPr>
      <w:r>
        <w:rPr>
          <w:b/>
          <w:bCs/>
          <w:color w:val="auto"/>
        </w:rPr>
        <w:t>3.0.</w:t>
      </w:r>
      <w:r>
        <w:rPr>
          <w:rFonts w:hint="eastAsia"/>
          <w:b/>
          <w:bCs/>
          <w:color w:val="auto"/>
        </w:rPr>
        <w:t>5</w:t>
      </w:r>
      <w:r>
        <w:rPr>
          <w:color w:val="auto"/>
        </w:rPr>
        <w:t xml:space="preserve"> </w:t>
      </w:r>
      <w:bookmarkStart w:id="49" w:name="_Hlk141734616"/>
      <w:r>
        <w:rPr>
          <w:rFonts w:hint="eastAsia"/>
          <w:color w:val="auto"/>
        </w:rPr>
        <w:t>超高性能混凝土</w:t>
      </w:r>
      <w:r>
        <w:rPr>
          <w:color w:val="auto"/>
        </w:rPr>
        <w:t>-普通混凝土组合式盖板结构</w:t>
      </w:r>
      <w:bookmarkEnd w:id="49"/>
      <w:r>
        <w:rPr>
          <w:color w:val="auto"/>
        </w:rPr>
        <w:t>应按</w:t>
      </w:r>
      <w:r>
        <w:rPr>
          <w:rFonts w:hint="eastAsia"/>
          <w:color w:val="auto"/>
        </w:rPr>
        <w:t>服从总体下穿通道工程的</w:t>
      </w:r>
      <w:r>
        <w:rPr>
          <w:color w:val="auto"/>
        </w:rPr>
        <w:t>设计</w:t>
      </w:r>
      <w:r>
        <w:rPr>
          <w:rFonts w:hint="eastAsia"/>
          <w:color w:val="auto"/>
        </w:rPr>
        <w:t>工作</w:t>
      </w:r>
      <w:r>
        <w:rPr>
          <w:color w:val="auto"/>
        </w:rPr>
        <w:t>年限进行设计。</w:t>
      </w:r>
    </w:p>
    <w:p w14:paraId="16DFD335">
      <w:pPr>
        <w:pStyle w:val="326"/>
        <w:rPr>
          <w:color w:val="auto"/>
        </w:rPr>
      </w:pPr>
      <w:r>
        <w:rPr>
          <w:b/>
          <w:bCs/>
          <w:color w:val="auto"/>
        </w:rPr>
        <w:t>3.0.</w:t>
      </w:r>
      <w:r>
        <w:rPr>
          <w:rFonts w:hint="eastAsia"/>
          <w:b/>
          <w:bCs/>
          <w:color w:val="auto"/>
        </w:rPr>
        <w:t>6</w:t>
      </w:r>
      <w:r>
        <w:rPr>
          <w:color w:val="auto"/>
        </w:rPr>
        <w:t xml:space="preserve"> 本规程未明确规定的结构设计</w:t>
      </w:r>
      <w:r>
        <w:rPr>
          <w:rFonts w:hint="eastAsia"/>
          <w:color w:val="auto"/>
        </w:rPr>
        <w:t>事项</w:t>
      </w:r>
      <w:r>
        <w:rPr>
          <w:color w:val="auto"/>
        </w:rPr>
        <w:t>应符合现行行业标准</w:t>
      </w:r>
      <w:r>
        <w:rPr>
          <w:rFonts w:hint="eastAsia"/>
          <w:color w:val="auto"/>
        </w:rPr>
        <w:t>《</w:t>
      </w:r>
      <w:bookmarkStart w:id="50" w:name="_Hlk169871782"/>
      <w:r>
        <w:rPr>
          <w:rFonts w:hint="eastAsia"/>
          <w:color w:val="auto"/>
        </w:rPr>
        <w:t>城市桥梁设计规范（2</w:t>
      </w:r>
      <w:r>
        <w:rPr>
          <w:color w:val="auto"/>
        </w:rPr>
        <w:t>019</w:t>
      </w:r>
      <w:r>
        <w:rPr>
          <w:rFonts w:hint="eastAsia"/>
          <w:color w:val="auto"/>
        </w:rPr>
        <w:t>年版）》CJJ</w:t>
      </w:r>
      <w:r>
        <w:rPr>
          <w:color w:val="auto"/>
        </w:rPr>
        <w:t xml:space="preserve"> 11</w:t>
      </w:r>
      <w:r>
        <w:rPr>
          <w:rFonts w:hint="eastAsia"/>
          <w:color w:val="auto"/>
        </w:rPr>
        <w:t>-</w:t>
      </w:r>
      <w:r>
        <w:rPr>
          <w:color w:val="auto"/>
        </w:rPr>
        <w:t>2011</w:t>
      </w:r>
      <w:bookmarkEnd w:id="50"/>
      <w:r>
        <w:rPr>
          <w:rFonts w:hint="eastAsia"/>
          <w:color w:val="auto"/>
        </w:rPr>
        <w:t>、</w:t>
      </w:r>
      <w:bookmarkStart w:id="51" w:name="_Hlk141734361"/>
      <w:r>
        <w:rPr>
          <w:rFonts w:hint="eastAsia"/>
          <w:color w:val="auto"/>
        </w:rPr>
        <w:t>《公路桥涵设计通用规范》JTG D60、</w:t>
      </w:r>
      <w:r>
        <w:rPr>
          <w:color w:val="auto"/>
        </w:rPr>
        <w:t>《公路钢筋混凝</w:t>
      </w:r>
      <w:r>
        <w:rPr>
          <w:rFonts w:hint="eastAsia"/>
          <w:color w:val="auto"/>
        </w:rPr>
        <w:t>土及预应力混凝土桥涵设计规范》</w:t>
      </w:r>
      <w:r>
        <w:rPr>
          <w:color w:val="auto"/>
        </w:rPr>
        <w:t>JTG 3362</w:t>
      </w:r>
      <w:bookmarkEnd w:id="51"/>
      <w:r>
        <w:rPr>
          <w:rFonts w:hint="eastAsia"/>
          <w:color w:val="auto"/>
        </w:rPr>
        <w:t>、《超高性能混凝土梁式桥技术规程》T/CCES</w:t>
      </w:r>
      <w:r>
        <w:rPr>
          <w:color w:val="auto"/>
        </w:rPr>
        <w:t xml:space="preserve"> 27</w:t>
      </w:r>
      <w:r>
        <w:rPr>
          <w:rFonts w:hint="eastAsia"/>
          <w:color w:val="auto"/>
        </w:rPr>
        <w:t>-</w:t>
      </w:r>
      <w:r>
        <w:rPr>
          <w:color w:val="auto"/>
        </w:rPr>
        <w:t>2021</w:t>
      </w:r>
      <w:r>
        <w:rPr>
          <w:rFonts w:hint="eastAsia"/>
          <w:color w:val="auto"/>
        </w:rPr>
        <w:t>、《工程结构通用规范》GB55001-2021</w:t>
      </w:r>
      <w:r>
        <w:rPr>
          <w:color w:val="auto"/>
        </w:rPr>
        <w:t>的相关规定。</w:t>
      </w:r>
    </w:p>
    <w:p w14:paraId="23B64D4E">
      <w:pPr>
        <w:pStyle w:val="326"/>
        <w:rPr>
          <w:color w:val="auto"/>
        </w:rPr>
      </w:pPr>
      <w:r>
        <w:rPr>
          <w:b/>
          <w:bCs/>
          <w:color w:val="auto"/>
        </w:rPr>
        <w:t>3.0.</w:t>
      </w:r>
      <w:r>
        <w:rPr>
          <w:rFonts w:hint="eastAsia"/>
          <w:b/>
          <w:bCs/>
          <w:color w:val="auto"/>
        </w:rPr>
        <w:t>7</w:t>
      </w:r>
      <w:r>
        <w:rPr>
          <w:color w:val="auto"/>
        </w:rPr>
        <w:t xml:space="preserve"> </w:t>
      </w:r>
      <w:r>
        <w:rPr>
          <w:rFonts w:hint="eastAsia"/>
          <w:color w:val="auto"/>
        </w:rPr>
        <w:t>超高性能混凝土</w:t>
      </w:r>
      <w:r>
        <w:rPr>
          <w:color w:val="auto"/>
        </w:rPr>
        <w:t>-普通混凝土组合式盖板结构宜采用工厂化制造、现场安装的施工方法。</w:t>
      </w:r>
    </w:p>
    <w:p w14:paraId="23C073E4">
      <w:pPr>
        <w:pStyle w:val="326"/>
        <w:rPr>
          <w:color w:val="auto"/>
        </w:rPr>
      </w:pPr>
      <w:r>
        <w:rPr>
          <w:b/>
          <w:bCs/>
          <w:color w:val="auto"/>
        </w:rPr>
        <w:t>3.0.</w:t>
      </w:r>
      <w:r>
        <w:rPr>
          <w:rFonts w:hint="eastAsia"/>
          <w:b/>
          <w:bCs/>
          <w:color w:val="auto"/>
        </w:rPr>
        <w:t>8</w:t>
      </w:r>
      <w:r>
        <w:rPr>
          <w:color w:val="auto"/>
        </w:rPr>
        <w:t xml:space="preserve"> </w:t>
      </w:r>
      <w:r>
        <w:rPr>
          <w:rFonts w:hint="eastAsia"/>
          <w:color w:val="auto"/>
        </w:rPr>
        <w:t>超高性能混凝土</w:t>
      </w:r>
      <w:r>
        <w:rPr>
          <w:color w:val="auto"/>
        </w:rPr>
        <w:t>-普通混凝土组合式盖板结构的预制安装与现场浇筑的检验评定基本要求</w:t>
      </w:r>
      <w:r>
        <w:rPr>
          <w:rFonts w:hint="eastAsia"/>
          <w:color w:val="auto"/>
        </w:rPr>
        <w:t>和外观质量应符合现行行业标准《城市桥梁工程施工与质量验收规范</w:t>
      </w:r>
      <w:r>
        <w:rPr>
          <w:color w:val="auto"/>
        </w:rPr>
        <w:t>》</w:t>
      </w:r>
      <w:r>
        <w:rPr>
          <w:rFonts w:hint="eastAsia"/>
          <w:color w:val="auto"/>
        </w:rPr>
        <w:t>CJJ2-2023</w:t>
      </w:r>
      <w:r>
        <w:rPr>
          <w:color w:val="auto"/>
        </w:rPr>
        <w:t>的相关规定</w:t>
      </w:r>
      <w:r>
        <w:rPr>
          <w:rFonts w:hint="eastAsia"/>
          <w:color w:val="auto"/>
        </w:rPr>
        <w:t>。</w:t>
      </w:r>
    </w:p>
    <w:p w14:paraId="292AC167">
      <w:pPr>
        <w:rPr>
          <w:rFonts w:hint="eastAsia"/>
          <w:color w:val="auto"/>
        </w:rPr>
      </w:pPr>
    </w:p>
    <w:p w14:paraId="684A6282">
      <w:pPr>
        <w:pStyle w:val="326"/>
        <w:rPr>
          <w:color w:val="auto"/>
        </w:rPr>
      </w:pPr>
    </w:p>
    <w:p w14:paraId="08B20A1E">
      <w:pPr>
        <w:pStyle w:val="2"/>
        <w:spacing w:before="312" w:after="312"/>
        <w:rPr>
          <w:rFonts w:ascii="Times New Roman" w:hAnsi="Times New Roman"/>
          <w:color w:val="auto"/>
        </w:rPr>
      </w:pPr>
      <w:bookmarkStart w:id="52" w:name="_Toc14545"/>
      <w:bookmarkStart w:id="53" w:name="_Toc375"/>
      <w:bookmarkStart w:id="54" w:name="_Toc250"/>
      <w:r>
        <w:rPr>
          <w:rFonts w:ascii="Times New Roman" w:hAnsi="Times New Roman"/>
          <w:color w:val="auto"/>
        </w:rPr>
        <w:t>4  材料</w:t>
      </w:r>
      <w:bookmarkEnd w:id="52"/>
      <w:bookmarkEnd w:id="53"/>
      <w:bookmarkEnd w:id="54"/>
    </w:p>
    <w:p w14:paraId="313AE22A">
      <w:pPr>
        <w:pStyle w:val="3"/>
        <w:rPr>
          <w:color w:val="auto"/>
        </w:rPr>
      </w:pPr>
      <w:bookmarkStart w:id="55" w:name="_Toc20601"/>
      <w:bookmarkStart w:id="56" w:name="_Toc48"/>
      <w:bookmarkStart w:id="57" w:name="_Toc32018"/>
      <w:r>
        <w:rPr>
          <w:color w:val="auto"/>
        </w:rPr>
        <w:t xml:space="preserve">4.1  </w:t>
      </w:r>
      <w:r>
        <w:rPr>
          <w:rFonts w:hint="eastAsia"/>
          <w:color w:val="auto"/>
        </w:rPr>
        <w:t>超高性能混凝土</w:t>
      </w:r>
      <w:bookmarkEnd w:id="55"/>
      <w:bookmarkEnd w:id="56"/>
      <w:bookmarkEnd w:id="57"/>
    </w:p>
    <w:p w14:paraId="3B0320C0">
      <w:pPr>
        <w:pStyle w:val="326"/>
        <w:rPr>
          <w:color w:val="auto"/>
        </w:rPr>
      </w:pPr>
      <w:r>
        <w:rPr>
          <w:rFonts w:hint="eastAsia"/>
          <w:b/>
          <w:bCs/>
          <w:color w:val="auto"/>
        </w:rPr>
        <w:t>4.1.1</w:t>
      </w:r>
      <w:r>
        <w:rPr>
          <w:rFonts w:hint="eastAsia"/>
          <w:color w:val="auto"/>
        </w:rPr>
        <w:t xml:space="preserve">  超高性能混凝土制备方法应符合现行国家标准《活性粉末混凝土》G</w:t>
      </w:r>
      <w:r>
        <w:rPr>
          <w:color w:val="auto"/>
        </w:rPr>
        <w:t>B/T 31387</w:t>
      </w:r>
      <w:r>
        <w:rPr>
          <w:rFonts w:hint="eastAsia"/>
          <w:color w:val="auto"/>
        </w:rPr>
        <w:t>的要求，钢纤维体积率宜大于2</w:t>
      </w:r>
      <w:r>
        <w:rPr>
          <w:color w:val="auto"/>
        </w:rPr>
        <w:t>.0</w:t>
      </w:r>
      <w:r>
        <w:rPr>
          <w:rFonts w:hint="eastAsia"/>
          <w:color w:val="auto"/>
        </w:rPr>
        <w:t xml:space="preserve">%，小于3.5%。 </w:t>
      </w:r>
    </w:p>
    <w:p w14:paraId="020C4823">
      <w:pPr>
        <w:pStyle w:val="326"/>
        <w:rPr>
          <w:color w:val="auto"/>
        </w:rPr>
      </w:pPr>
      <w:r>
        <w:rPr>
          <w:rFonts w:hint="eastAsia"/>
          <w:b/>
          <w:bCs/>
          <w:color w:val="auto"/>
        </w:rPr>
        <w:t>4</w:t>
      </w:r>
      <w:r>
        <w:rPr>
          <w:b/>
          <w:bCs/>
          <w:color w:val="auto"/>
        </w:rPr>
        <w:t>.1.2</w:t>
      </w:r>
      <w:r>
        <w:rPr>
          <w:color w:val="auto"/>
        </w:rPr>
        <w:t xml:space="preserve">  </w:t>
      </w:r>
      <w:r>
        <w:rPr>
          <w:rFonts w:hint="eastAsia"/>
          <w:color w:val="auto"/>
        </w:rPr>
        <w:t>超高性能混凝土的抗压强度可根据现行行业标准《超高性能混凝土梁式桥技术规程》T</w:t>
      </w:r>
      <w:r>
        <w:rPr>
          <w:color w:val="auto"/>
        </w:rPr>
        <w:t>/CCES 27</w:t>
      </w:r>
      <w:r>
        <w:rPr>
          <w:rFonts w:hint="eastAsia"/>
          <w:color w:val="auto"/>
        </w:rPr>
        <w:t>的规定进行测定，强度等级可划分为U</w:t>
      </w:r>
      <w:r>
        <w:rPr>
          <w:color w:val="auto"/>
        </w:rPr>
        <w:t>C120</w:t>
      </w:r>
      <w:r>
        <w:rPr>
          <w:rFonts w:hint="eastAsia"/>
          <w:color w:val="auto"/>
        </w:rPr>
        <w:t>、U</w:t>
      </w:r>
      <w:r>
        <w:rPr>
          <w:color w:val="auto"/>
        </w:rPr>
        <w:t>C140</w:t>
      </w:r>
      <w:r>
        <w:rPr>
          <w:rFonts w:hint="eastAsia"/>
          <w:color w:val="auto"/>
        </w:rPr>
        <w:t>、U</w:t>
      </w:r>
      <w:r>
        <w:rPr>
          <w:color w:val="auto"/>
        </w:rPr>
        <w:t>C160</w:t>
      </w:r>
      <w:r>
        <w:rPr>
          <w:rFonts w:hint="eastAsia"/>
          <w:color w:val="auto"/>
        </w:rPr>
        <w:t>、U</w:t>
      </w:r>
      <w:r>
        <w:rPr>
          <w:color w:val="auto"/>
        </w:rPr>
        <w:t>C180</w:t>
      </w:r>
      <w:r>
        <w:rPr>
          <w:rFonts w:hint="eastAsia"/>
          <w:color w:val="auto"/>
        </w:rPr>
        <w:t>。</w:t>
      </w:r>
    </w:p>
    <w:p w14:paraId="2C3806C9">
      <w:pPr>
        <w:pStyle w:val="326"/>
        <w:rPr>
          <w:color w:val="auto"/>
        </w:rPr>
      </w:pPr>
      <w:r>
        <w:rPr>
          <w:rFonts w:hint="eastAsia"/>
          <w:b/>
          <w:bCs/>
          <w:color w:val="auto"/>
        </w:rPr>
        <w:t>4</w:t>
      </w:r>
      <w:r>
        <w:rPr>
          <w:b/>
          <w:bCs/>
          <w:color w:val="auto"/>
        </w:rPr>
        <w:t>.1.3</w:t>
      </w:r>
      <w:r>
        <w:rPr>
          <w:color w:val="auto"/>
        </w:rPr>
        <w:t xml:space="preserve">  </w:t>
      </w:r>
      <w:r>
        <w:rPr>
          <w:rFonts w:hint="eastAsia"/>
          <w:color w:val="auto"/>
        </w:rPr>
        <w:t>超高性能混凝土的轴心抗拉强度可根据现行行业标准《超高性能混凝土梁式桥技术规程》T</w:t>
      </w:r>
      <w:r>
        <w:rPr>
          <w:color w:val="auto"/>
        </w:rPr>
        <w:t>/CCES 27</w:t>
      </w:r>
      <w:r>
        <w:rPr>
          <w:rFonts w:hint="eastAsia"/>
          <w:color w:val="auto"/>
        </w:rPr>
        <w:t>的规定进行测定，强度等级可划分为U</w:t>
      </w:r>
      <w:r>
        <w:rPr>
          <w:color w:val="auto"/>
        </w:rPr>
        <w:t>T6</w:t>
      </w:r>
      <w:r>
        <w:rPr>
          <w:rFonts w:hint="eastAsia"/>
          <w:color w:val="auto"/>
        </w:rPr>
        <w:t>、</w:t>
      </w:r>
      <w:r>
        <w:rPr>
          <w:color w:val="auto"/>
        </w:rPr>
        <w:t>UT7</w:t>
      </w:r>
      <w:r>
        <w:rPr>
          <w:rFonts w:hint="eastAsia"/>
          <w:color w:val="auto"/>
        </w:rPr>
        <w:t>、</w:t>
      </w:r>
      <w:r>
        <w:rPr>
          <w:color w:val="auto"/>
        </w:rPr>
        <w:t>UT8</w:t>
      </w:r>
      <w:r>
        <w:rPr>
          <w:rFonts w:hint="eastAsia"/>
          <w:color w:val="auto"/>
        </w:rPr>
        <w:t>、</w:t>
      </w:r>
      <w:r>
        <w:rPr>
          <w:color w:val="auto"/>
        </w:rPr>
        <w:t>UT9</w:t>
      </w:r>
      <w:r>
        <w:rPr>
          <w:rFonts w:hint="eastAsia"/>
          <w:color w:val="auto"/>
        </w:rPr>
        <w:t>。</w:t>
      </w:r>
    </w:p>
    <w:p w14:paraId="7C691CF8">
      <w:pPr>
        <w:pStyle w:val="326"/>
        <w:rPr>
          <w:color w:val="auto"/>
        </w:rPr>
      </w:pPr>
      <w:r>
        <w:rPr>
          <w:rFonts w:hint="eastAsia"/>
          <w:b/>
          <w:bCs/>
          <w:color w:val="auto"/>
        </w:rPr>
        <w:t>4</w:t>
      </w:r>
      <w:r>
        <w:rPr>
          <w:b/>
          <w:bCs/>
          <w:color w:val="auto"/>
        </w:rPr>
        <w:t>.1.4</w:t>
      </w:r>
      <w:r>
        <w:rPr>
          <w:color w:val="auto"/>
        </w:rPr>
        <w:t xml:space="preserve">  </w:t>
      </w:r>
      <w:r>
        <w:rPr>
          <w:rFonts w:hint="eastAsia"/>
          <w:color w:val="auto"/>
        </w:rPr>
        <w:t>超高性能混凝土的轴拉性能可分为低应变硬化型和高应变硬化型，其分类应符合表4</w:t>
      </w:r>
      <w:r>
        <w:rPr>
          <w:color w:val="auto"/>
        </w:rPr>
        <w:t>.1.4</w:t>
      </w:r>
      <w:r>
        <w:rPr>
          <w:rFonts w:hint="eastAsia"/>
          <w:color w:val="auto"/>
        </w:rPr>
        <w:t>的规定。</w:t>
      </w:r>
    </w:p>
    <w:p w14:paraId="67893FAA">
      <w:pPr>
        <w:keepNext/>
        <w:spacing w:line="360" w:lineRule="auto"/>
        <w:jc w:val="center"/>
        <w:rPr>
          <w:rFonts w:ascii="Times New Roman" w:hAnsi="Times New Roman" w:eastAsia="黑体" w:cs="Times New Roman"/>
          <w:color w:val="auto"/>
          <w:sz w:val="18"/>
          <w:szCs w:val="20"/>
        </w:rPr>
      </w:pPr>
      <w:r>
        <w:rPr>
          <w:rFonts w:ascii="Times New Roman" w:hAnsi="Times New Roman" w:eastAsia="黑体" w:cs="Times New Roman"/>
          <w:color w:val="auto"/>
          <w:sz w:val="18"/>
          <w:szCs w:val="20"/>
        </w:rPr>
        <w:t>表4.1.4 超高性能混凝土轴拉性能分类表</w:t>
      </w:r>
    </w:p>
    <w:tbl>
      <w:tblPr>
        <w:tblStyle w:val="382"/>
        <w:tblW w:w="83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3"/>
        <w:gridCol w:w="1581"/>
        <w:gridCol w:w="1581"/>
        <w:gridCol w:w="1581"/>
        <w:gridCol w:w="1581"/>
      </w:tblGrid>
      <w:tr w14:paraId="59C1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983" w:type="dxa"/>
            <w:vAlign w:val="center"/>
          </w:tcPr>
          <w:p w14:paraId="175C5A6A">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轴拉性能分类</w:t>
            </w:r>
          </w:p>
        </w:tc>
        <w:tc>
          <w:tcPr>
            <w:tcW w:w="1581" w:type="dxa"/>
            <w:vAlign w:val="center"/>
          </w:tcPr>
          <w:p w14:paraId="4D055F70">
            <w:pPr>
              <w:jc w:val="center"/>
              <w:rPr>
                <w:rFonts w:hint="eastAsia" w:ascii="等线" w:hAnsi="等线" w:eastAsia="等线" w:cs="Times New Roman"/>
                <w:color w:val="auto"/>
                <w:sz w:val="18"/>
                <w:szCs w:val="18"/>
              </w:rPr>
            </w:pPr>
            <m:oMathPara>
              <m:oMath>
                <m:f>
                  <m:fPr>
                    <m:type m:val="lin"/>
                    <m:ctrlPr>
                      <w:rPr>
                        <w:rFonts w:ascii="Cambria Math" w:hAnsi="Cambria Math" w:eastAsia="宋体" w:cs="Times New Roman"/>
                        <w:color w:val="auto"/>
                        <w:sz w:val="18"/>
                        <w:szCs w:val="18"/>
                      </w:rPr>
                    </m:ctrlPr>
                  </m:fPr>
                  <m:num>
                    <m:sSub>
                      <m:sSubPr>
                        <m:ctrlPr>
                          <w:rPr>
                            <w:rFonts w:ascii="Cambria Math" w:hAnsi="Cambria Math" w:eastAsia="宋体" w:cs="Times New Roman"/>
                            <w:i/>
                            <w:color w:val="auto"/>
                            <w:sz w:val="18"/>
                            <w:szCs w:val="18"/>
                          </w:rPr>
                        </m:ctrlPr>
                      </m:sSubPr>
                      <m:e>
                        <m:r>
                          <m:rPr/>
                          <w:rPr>
                            <w:rFonts w:ascii="Cambria Math" w:hAnsi="Cambria Math" w:eastAsia="宋体" w:cs="Times New Roman"/>
                            <w:color w:val="auto"/>
                            <w:sz w:val="18"/>
                            <w:szCs w:val="18"/>
                          </w:rPr>
                          <m:t>f</m:t>
                        </m:r>
                        <m:ctrlPr>
                          <w:rPr>
                            <w:rFonts w:ascii="Cambria Math" w:hAnsi="Cambria Math" w:eastAsia="宋体" w:cs="Times New Roman"/>
                            <w:i/>
                            <w:color w:val="auto"/>
                            <w:sz w:val="18"/>
                            <w:szCs w:val="18"/>
                          </w:rPr>
                        </m:ctrlPr>
                      </m:e>
                      <m:sub>
                        <m:r>
                          <m:rPr/>
                          <w:rPr>
                            <w:rFonts w:ascii="Cambria Math" w:hAnsi="Cambria Math" w:eastAsia="宋体" w:cs="Times New Roman"/>
                            <w:color w:val="auto"/>
                            <w:sz w:val="18"/>
                            <w:szCs w:val="18"/>
                          </w:rPr>
                          <m:t>fte</m:t>
                        </m:r>
                        <m:ctrlPr>
                          <w:rPr>
                            <w:rFonts w:ascii="Cambria Math" w:hAnsi="Cambria Math" w:eastAsia="宋体" w:cs="Times New Roman"/>
                            <w:i/>
                            <w:color w:val="auto"/>
                            <w:sz w:val="18"/>
                            <w:szCs w:val="18"/>
                          </w:rPr>
                        </m:ctrlPr>
                      </m:sub>
                    </m:sSub>
                    <m:ctrlPr>
                      <w:rPr>
                        <w:rFonts w:ascii="Cambria Math" w:hAnsi="Cambria Math" w:eastAsia="宋体" w:cs="Times New Roman"/>
                        <w:color w:val="auto"/>
                        <w:sz w:val="18"/>
                        <w:szCs w:val="18"/>
                      </w:rPr>
                    </m:ctrlPr>
                  </m:num>
                  <m:den>
                    <m:sSub>
                      <m:sSubPr>
                        <m:ctrlPr>
                          <w:rPr>
                            <w:rFonts w:ascii="Cambria Math" w:hAnsi="Cambria Math" w:eastAsia="宋体" w:cs="Times New Roman"/>
                            <w:i/>
                            <w:color w:val="auto"/>
                            <w:sz w:val="18"/>
                            <w:szCs w:val="18"/>
                          </w:rPr>
                        </m:ctrlPr>
                      </m:sSubPr>
                      <m:e>
                        <m:r>
                          <m:rPr/>
                          <w:rPr>
                            <w:rFonts w:ascii="Cambria Math" w:hAnsi="Cambria Math" w:eastAsia="宋体" w:cs="Times New Roman"/>
                            <w:color w:val="auto"/>
                            <w:sz w:val="18"/>
                            <w:szCs w:val="18"/>
                          </w:rPr>
                          <m:t>f</m:t>
                        </m:r>
                        <m:ctrlPr>
                          <w:rPr>
                            <w:rFonts w:ascii="Cambria Math" w:hAnsi="Cambria Math" w:eastAsia="宋体" w:cs="Times New Roman"/>
                            <w:i/>
                            <w:color w:val="auto"/>
                            <w:sz w:val="18"/>
                            <w:szCs w:val="18"/>
                          </w:rPr>
                        </m:ctrlPr>
                      </m:e>
                      <m:sub>
                        <m:r>
                          <m:rPr/>
                          <w:rPr>
                            <w:rFonts w:ascii="Cambria Math" w:hAnsi="Cambria Math" w:eastAsia="宋体" w:cs="Times New Roman"/>
                            <w:color w:val="auto"/>
                            <w:sz w:val="18"/>
                            <w:szCs w:val="18"/>
                          </w:rPr>
                          <m:t>ftk</m:t>
                        </m:r>
                        <m:ctrlPr>
                          <w:rPr>
                            <w:rFonts w:ascii="Cambria Math" w:hAnsi="Cambria Math" w:eastAsia="宋体" w:cs="Times New Roman"/>
                            <w:i/>
                            <w:color w:val="auto"/>
                            <w:sz w:val="18"/>
                            <w:szCs w:val="18"/>
                          </w:rPr>
                        </m:ctrlPr>
                      </m:sub>
                    </m:sSub>
                    <m:ctrlPr>
                      <w:rPr>
                        <w:rFonts w:ascii="Cambria Math" w:hAnsi="Cambria Math" w:eastAsia="宋体" w:cs="Times New Roman"/>
                        <w:color w:val="auto"/>
                        <w:sz w:val="18"/>
                        <w:szCs w:val="18"/>
                      </w:rPr>
                    </m:ctrlPr>
                  </m:den>
                </m:f>
              </m:oMath>
            </m:oMathPara>
          </w:p>
        </w:tc>
        <w:tc>
          <w:tcPr>
            <w:tcW w:w="1581" w:type="dxa"/>
            <w:vAlign w:val="center"/>
          </w:tcPr>
          <w:p w14:paraId="622B17BD">
            <w:pPr>
              <w:jc w:val="center"/>
              <w:rPr>
                <w:rFonts w:hint="eastAsia" w:ascii="等线" w:hAnsi="等线" w:eastAsia="等线" w:cs="Times New Roman"/>
                <w:color w:val="auto"/>
                <w:sz w:val="18"/>
                <w:szCs w:val="18"/>
              </w:rPr>
            </w:pPr>
            <m:oMathPara>
              <m:oMath>
                <m:f>
                  <m:fPr>
                    <m:type m:val="lin"/>
                    <m:ctrlPr>
                      <w:rPr>
                        <w:rFonts w:ascii="Cambria Math" w:hAnsi="Cambria Math" w:eastAsia="宋体" w:cs="Times New Roman"/>
                        <w:color w:val="auto"/>
                        <w:sz w:val="18"/>
                        <w:szCs w:val="18"/>
                      </w:rPr>
                    </m:ctrlPr>
                  </m:fPr>
                  <m:num>
                    <m:sSub>
                      <m:sSubPr>
                        <m:ctrlPr>
                          <w:rPr>
                            <w:rFonts w:ascii="Cambria Math" w:hAnsi="Cambria Math" w:eastAsia="宋体" w:cs="Times New Roman"/>
                            <w:i/>
                            <w:color w:val="auto"/>
                            <w:sz w:val="18"/>
                            <w:szCs w:val="18"/>
                          </w:rPr>
                        </m:ctrlPr>
                      </m:sSubPr>
                      <m:e>
                        <m:r>
                          <m:rPr/>
                          <w:rPr>
                            <w:rFonts w:ascii="Cambria Math" w:hAnsi="Cambria Math" w:eastAsia="宋体" w:cs="Times New Roman"/>
                            <w:color w:val="auto"/>
                            <w:sz w:val="18"/>
                            <w:szCs w:val="18"/>
                          </w:rPr>
                          <m:t>f</m:t>
                        </m:r>
                        <m:ctrlPr>
                          <w:rPr>
                            <w:rFonts w:ascii="Cambria Math" w:hAnsi="Cambria Math" w:eastAsia="宋体" w:cs="Times New Roman"/>
                            <w:i/>
                            <w:color w:val="auto"/>
                            <w:sz w:val="18"/>
                            <w:szCs w:val="18"/>
                          </w:rPr>
                        </m:ctrlPr>
                      </m:e>
                      <m:sub>
                        <m:r>
                          <m:rPr/>
                          <w:rPr>
                            <w:rFonts w:ascii="Cambria Math" w:hAnsi="Cambria Math" w:eastAsia="宋体" w:cs="Times New Roman"/>
                            <w:color w:val="auto"/>
                            <w:sz w:val="18"/>
                            <w:szCs w:val="18"/>
                          </w:rPr>
                          <m:t>ftu</m:t>
                        </m:r>
                        <m:ctrlPr>
                          <w:rPr>
                            <w:rFonts w:ascii="Cambria Math" w:hAnsi="Cambria Math" w:eastAsia="宋体" w:cs="Times New Roman"/>
                            <w:i/>
                            <w:color w:val="auto"/>
                            <w:sz w:val="18"/>
                            <w:szCs w:val="18"/>
                          </w:rPr>
                        </m:ctrlPr>
                      </m:sub>
                    </m:sSub>
                    <m:ctrlPr>
                      <w:rPr>
                        <w:rFonts w:ascii="Cambria Math" w:hAnsi="Cambria Math" w:eastAsia="宋体" w:cs="Times New Roman"/>
                        <w:color w:val="auto"/>
                        <w:sz w:val="18"/>
                        <w:szCs w:val="18"/>
                      </w:rPr>
                    </m:ctrlPr>
                  </m:num>
                  <m:den>
                    <m:sSub>
                      <m:sSubPr>
                        <m:ctrlPr>
                          <w:rPr>
                            <w:rFonts w:ascii="Cambria Math" w:hAnsi="Cambria Math" w:eastAsia="宋体" w:cs="Times New Roman"/>
                            <w:i/>
                            <w:color w:val="auto"/>
                            <w:sz w:val="18"/>
                            <w:szCs w:val="18"/>
                          </w:rPr>
                        </m:ctrlPr>
                      </m:sSubPr>
                      <m:e>
                        <m:r>
                          <m:rPr/>
                          <w:rPr>
                            <w:rFonts w:ascii="Cambria Math" w:hAnsi="Cambria Math" w:eastAsia="宋体" w:cs="Times New Roman"/>
                            <w:color w:val="auto"/>
                            <w:sz w:val="18"/>
                            <w:szCs w:val="18"/>
                          </w:rPr>
                          <m:t>f</m:t>
                        </m:r>
                        <m:ctrlPr>
                          <w:rPr>
                            <w:rFonts w:ascii="Cambria Math" w:hAnsi="Cambria Math" w:eastAsia="宋体" w:cs="Times New Roman"/>
                            <w:i/>
                            <w:color w:val="auto"/>
                            <w:sz w:val="18"/>
                            <w:szCs w:val="18"/>
                          </w:rPr>
                        </m:ctrlPr>
                      </m:e>
                      <m:sub>
                        <m:r>
                          <m:rPr/>
                          <w:rPr>
                            <w:rFonts w:ascii="Cambria Math" w:hAnsi="Cambria Math" w:eastAsia="宋体" w:cs="Times New Roman"/>
                            <w:color w:val="auto"/>
                            <w:sz w:val="18"/>
                            <w:szCs w:val="18"/>
                          </w:rPr>
                          <m:t>fte</m:t>
                        </m:r>
                        <m:ctrlPr>
                          <w:rPr>
                            <w:rFonts w:ascii="Cambria Math" w:hAnsi="Cambria Math" w:eastAsia="宋体" w:cs="Times New Roman"/>
                            <w:i/>
                            <w:color w:val="auto"/>
                            <w:sz w:val="18"/>
                            <w:szCs w:val="18"/>
                          </w:rPr>
                        </m:ctrlPr>
                      </m:sub>
                    </m:sSub>
                    <m:ctrlPr>
                      <w:rPr>
                        <w:rFonts w:ascii="Cambria Math" w:hAnsi="Cambria Math" w:eastAsia="宋体" w:cs="Times New Roman"/>
                        <w:color w:val="auto"/>
                        <w:sz w:val="18"/>
                        <w:szCs w:val="18"/>
                      </w:rPr>
                    </m:ctrlPr>
                  </m:den>
                </m:f>
              </m:oMath>
            </m:oMathPara>
          </w:p>
        </w:tc>
        <w:tc>
          <w:tcPr>
            <w:tcW w:w="1581" w:type="dxa"/>
            <w:vAlign w:val="center"/>
          </w:tcPr>
          <w:p w14:paraId="2A3A9583">
            <w:pPr>
              <w:jc w:val="center"/>
              <w:rPr>
                <w:rFonts w:hint="eastAsia" w:ascii="等线" w:hAnsi="等线" w:eastAsia="等线" w:cs="Times New Roman"/>
                <w:color w:val="auto"/>
                <w:sz w:val="18"/>
                <w:szCs w:val="18"/>
              </w:rPr>
            </w:pPr>
            <m:oMathPara>
              <m:oMath>
                <m:f>
                  <m:fPr>
                    <m:type m:val="lin"/>
                    <m:ctrlPr>
                      <w:rPr>
                        <w:rFonts w:ascii="Cambria Math" w:hAnsi="Cambria Math" w:eastAsia="宋体" w:cs="Times New Roman"/>
                        <w:color w:val="auto"/>
                        <w:sz w:val="18"/>
                        <w:szCs w:val="18"/>
                      </w:rPr>
                    </m:ctrlPr>
                  </m:fPr>
                  <m:num>
                    <m:sSub>
                      <m:sSubPr>
                        <m:ctrlPr>
                          <w:rPr>
                            <w:rFonts w:ascii="Cambria Math" w:hAnsi="Cambria Math" w:eastAsia="宋体" w:cs="Times New Roman"/>
                            <w:i/>
                            <w:color w:val="auto"/>
                            <w:sz w:val="18"/>
                            <w:szCs w:val="18"/>
                          </w:rPr>
                        </m:ctrlPr>
                      </m:sSubPr>
                      <m:e>
                        <m:r>
                          <m:rPr/>
                          <w:rPr>
                            <w:rFonts w:ascii="Cambria Math" w:hAnsi="Cambria Math" w:eastAsia="宋体" w:cs="Times New Roman"/>
                            <w:color w:val="auto"/>
                            <w:sz w:val="18"/>
                            <w:szCs w:val="18"/>
                          </w:rPr>
                          <m:t>f</m:t>
                        </m:r>
                        <m:ctrlPr>
                          <w:rPr>
                            <w:rFonts w:ascii="Cambria Math" w:hAnsi="Cambria Math" w:eastAsia="宋体" w:cs="Times New Roman"/>
                            <w:i/>
                            <w:color w:val="auto"/>
                            <w:sz w:val="18"/>
                            <w:szCs w:val="18"/>
                          </w:rPr>
                        </m:ctrlPr>
                      </m:e>
                      <m:sub>
                        <m:r>
                          <m:rPr/>
                          <w:rPr>
                            <w:rFonts w:ascii="Cambria Math" w:hAnsi="Cambria Math" w:eastAsia="宋体" w:cs="Times New Roman"/>
                            <w:color w:val="auto"/>
                            <w:sz w:val="18"/>
                            <w:szCs w:val="18"/>
                          </w:rPr>
                          <m:t>ftu</m:t>
                        </m:r>
                        <m:ctrlPr>
                          <w:rPr>
                            <w:rFonts w:ascii="Cambria Math" w:hAnsi="Cambria Math" w:eastAsia="宋体" w:cs="Times New Roman"/>
                            <w:i/>
                            <w:color w:val="auto"/>
                            <w:sz w:val="18"/>
                            <w:szCs w:val="18"/>
                          </w:rPr>
                        </m:ctrlPr>
                      </m:sub>
                    </m:sSub>
                    <m:ctrlPr>
                      <w:rPr>
                        <w:rFonts w:ascii="Cambria Math" w:hAnsi="Cambria Math" w:eastAsia="宋体" w:cs="Times New Roman"/>
                        <w:color w:val="auto"/>
                        <w:sz w:val="18"/>
                        <w:szCs w:val="18"/>
                      </w:rPr>
                    </m:ctrlPr>
                  </m:num>
                  <m:den>
                    <m:sSub>
                      <m:sSubPr>
                        <m:ctrlPr>
                          <w:rPr>
                            <w:rFonts w:ascii="Cambria Math" w:hAnsi="Cambria Math" w:eastAsia="宋体" w:cs="Times New Roman"/>
                            <w:i/>
                            <w:color w:val="auto"/>
                            <w:sz w:val="18"/>
                            <w:szCs w:val="18"/>
                          </w:rPr>
                        </m:ctrlPr>
                      </m:sSubPr>
                      <m:e>
                        <m:r>
                          <m:rPr/>
                          <w:rPr>
                            <w:rFonts w:ascii="Cambria Math" w:hAnsi="Cambria Math" w:eastAsia="宋体" w:cs="Times New Roman"/>
                            <w:color w:val="auto"/>
                            <w:sz w:val="18"/>
                            <w:szCs w:val="18"/>
                          </w:rPr>
                          <m:t>f</m:t>
                        </m:r>
                        <m:ctrlPr>
                          <w:rPr>
                            <w:rFonts w:ascii="Cambria Math" w:hAnsi="Cambria Math" w:eastAsia="宋体" w:cs="Times New Roman"/>
                            <w:i/>
                            <w:color w:val="auto"/>
                            <w:sz w:val="18"/>
                            <w:szCs w:val="18"/>
                          </w:rPr>
                        </m:ctrlPr>
                      </m:e>
                      <m:sub>
                        <m:r>
                          <m:rPr/>
                          <w:rPr>
                            <w:rFonts w:ascii="Cambria Math" w:hAnsi="Cambria Math" w:eastAsia="宋体" w:cs="Times New Roman"/>
                            <w:color w:val="auto"/>
                            <w:sz w:val="18"/>
                            <w:szCs w:val="18"/>
                          </w:rPr>
                          <m:t>ftk</m:t>
                        </m:r>
                        <m:ctrlPr>
                          <w:rPr>
                            <w:rFonts w:ascii="Cambria Math" w:hAnsi="Cambria Math" w:eastAsia="宋体" w:cs="Times New Roman"/>
                            <w:i/>
                            <w:color w:val="auto"/>
                            <w:sz w:val="18"/>
                            <w:szCs w:val="18"/>
                          </w:rPr>
                        </m:ctrlPr>
                      </m:sub>
                    </m:sSub>
                    <m:ctrlPr>
                      <w:rPr>
                        <w:rFonts w:ascii="Cambria Math" w:hAnsi="Cambria Math" w:eastAsia="宋体" w:cs="Times New Roman"/>
                        <w:color w:val="auto"/>
                        <w:sz w:val="18"/>
                        <w:szCs w:val="18"/>
                      </w:rPr>
                    </m:ctrlPr>
                  </m:den>
                </m:f>
              </m:oMath>
            </m:oMathPara>
          </w:p>
        </w:tc>
        <w:tc>
          <w:tcPr>
            <w:tcW w:w="1581" w:type="dxa"/>
            <w:vAlign w:val="center"/>
          </w:tcPr>
          <w:p w14:paraId="248692FD">
            <w:pPr>
              <w:jc w:val="center"/>
              <w:rPr>
                <w:rFonts w:ascii="Times New Roman" w:hAnsi="Times New Roman" w:eastAsia="宋体" w:cs="Times New Roman"/>
                <w:color w:val="auto"/>
                <w:sz w:val="18"/>
                <w:szCs w:val="18"/>
              </w:rPr>
            </w:pPr>
            <m:oMathPara>
              <m:oMath>
                <m:sSub>
                  <m:sSubPr>
                    <m:ctrlPr>
                      <w:rPr>
                        <w:rFonts w:ascii="Cambria Math" w:hAnsi="Cambria Math" w:eastAsia="宋体" w:cs="Times New Roman"/>
                        <w:color w:val="auto"/>
                        <w:sz w:val="18"/>
                        <w:szCs w:val="18"/>
                      </w:rPr>
                    </m:ctrlPr>
                  </m:sSubPr>
                  <m:e>
                    <m:r>
                      <m:rPr/>
                      <w:rPr>
                        <w:rFonts w:ascii="Cambria Math" w:hAnsi="Cambria Math" w:eastAsia="宋体" w:cs="Times New Roman"/>
                        <w:color w:val="auto"/>
                        <w:sz w:val="18"/>
                        <w:szCs w:val="18"/>
                      </w:rPr>
                      <m:t>ε</m:t>
                    </m:r>
                    <m:ctrlPr>
                      <w:rPr>
                        <w:rFonts w:ascii="Cambria Math" w:hAnsi="Cambria Math" w:eastAsia="宋体" w:cs="Times New Roman"/>
                        <w:color w:val="auto"/>
                        <w:sz w:val="18"/>
                        <w:szCs w:val="18"/>
                      </w:rPr>
                    </m:ctrlPr>
                  </m:e>
                  <m:sub>
                    <m:r>
                      <m:rPr/>
                      <w:rPr>
                        <w:rFonts w:ascii="Cambria Math" w:hAnsi="Cambria Math" w:eastAsia="宋体" w:cs="Times New Roman"/>
                        <w:color w:val="auto"/>
                        <w:sz w:val="18"/>
                        <w:szCs w:val="18"/>
                      </w:rPr>
                      <m:t>tu</m:t>
                    </m:r>
                    <m:ctrlPr>
                      <w:rPr>
                        <w:rFonts w:ascii="Cambria Math" w:hAnsi="Cambria Math" w:eastAsia="宋体" w:cs="Times New Roman"/>
                        <w:color w:val="auto"/>
                        <w:sz w:val="18"/>
                        <w:szCs w:val="18"/>
                      </w:rPr>
                    </m:ctrlPr>
                  </m:sub>
                </m:sSub>
              </m:oMath>
            </m:oMathPara>
          </w:p>
        </w:tc>
      </w:tr>
      <w:tr w14:paraId="4D28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3" w:type="dxa"/>
            <w:vAlign w:val="center"/>
          </w:tcPr>
          <w:p w14:paraId="7A6C7704">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低应变硬化型</w:t>
            </w:r>
          </w:p>
        </w:tc>
        <w:tc>
          <w:tcPr>
            <w:tcW w:w="1581" w:type="dxa"/>
            <w:vAlign w:val="center"/>
          </w:tcPr>
          <w:p w14:paraId="2E1EC034">
            <w:pPr>
              <w:jc w:val="center"/>
              <w:rPr>
                <w:rFonts w:ascii="Times New Roman" w:hAnsi="Times New Roman" w:eastAsia="宋体" w:cs="Times New Roman"/>
                <w:color w:val="auto"/>
                <w:sz w:val="18"/>
                <w:szCs w:val="18"/>
              </w:rPr>
            </w:pPr>
            <w:r>
              <w:rPr>
                <w:rFonts w:hint="eastAsia" w:ascii="Calibri" w:hAnsi="Calibri" w:eastAsia="宋体" w:cs="Calibri"/>
                <w:color w:val="auto"/>
                <w:sz w:val="18"/>
                <w:szCs w:val="18"/>
              </w:rPr>
              <w:t>≥</w:t>
            </w:r>
            <w:r>
              <w:rPr>
                <w:rFonts w:ascii="Times New Roman" w:hAnsi="Times New Roman" w:eastAsia="宋体" w:cs="Times New Roman"/>
                <w:color w:val="auto"/>
                <w:sz w:val="18"/>
                <w:szCs w:val="18"/>
              </w:rPr>
              <w:t>1.0</w:t>
            </w:r>
          </w:p>
        </w:tc>
        <w:tc>
          <w:tcPr>
            <w:tcW w:w="1581" w:type="dxa"/>
            <w:vAlign w:val="center"/>
          </w:tcPr>
          <w:p w14:paraId="6CC04628">
            <w:pPr>
              <w:jc w:val="center"/>
              <w:rPr>
                <w:rFonts w:ascii="Times New Roman" w:hAnsi="Times New Roman" w:eastAsia="宋体" w:cs="Times New Roman"/>
                <w:color w:val="auto"/>
                <w:sz w:val="18"/>
                <w:szCs w:val="18"/>
              </w:rPr>
            </w:pPr>
            <w:r>
              <w:rPr>
                <w:rFonts w:hint="eastAsia" w:ascii="Calibri" w:hAnsi="Calibri" w:eastAsia="宋体" w:cs="Calibri"/>
                <w:color w:val="auto"/>
                <w:sz w:val="18"/>
                <w:szCs w:val="18"/>
              </w:rPr>
              <w:t>≥</w:t>
            </w:r>
            <w:r>
              <w:rPr>
                <w:rFonts w:ascii="Times New Roman" w:hAnsi="Times New Roman" w:eastAsia="宋体" w:cs="Times New Roman"/>
                <w:color w:val="auto"/>
                <w:sz w:val="18"/>
                <w:szCs w:val="18"/>
              </w:rPr>
              <w:t>1.0</w:t>
            </w:r>
          </w:p>
        </w:tc>
        <w:tc>
          <w:tcPr>
            <w:tcW w:w="1581" w:type="dxa"/>
            <w:vAlign w:val="center"/>
          </w:tcPr>
          <w:p w14:paraId="2750605F">
            <w:pPr>
              <w:jc w:val="center"/>
              <w:rPr>
                <w:rFonts w:ascii="Times New Roman" w:hAnsi="Times New Roman" w:eastAsia="宋体" w:cs="Times New Roman"/>
                <w:color w:val="auto"/>
                <w:sz w:val="18"/>
                <w:szCs w:val="18"/>
              </w:rPr>
            </w:pPr>
            <w:r>
              <w:rPr>
                <w:rFonts w:hint="eastAsia" w:ascii="Calibri" w:hAnsi="Calibri" w:eastAsia="宋体" w:cs="Calibri"/>
                <w:color w:val="auto"/>
                <w:sz w:val="18"/>
                <w:szCs w:val="18"/>
              </w:rPr>
              <w:t>≥</w:t>
            </w:r>
            <w:r>
              <w:rPr>
                <w:rFonts w:ascii="Times New Roman" w:hAnsi="Times New Roman" w:eastAsia="宋体" w:cs="Times New Roman"/>
                <w:color w:val="auto"/>
                <w:sz w:val="18"/>
                <w:szCs w:val="18"/>
              </w:rPr>
              <w:t>1.1</w:t>
            </w:r>
          </w:p>
        </w:tc>
        <w:tc>
          <w:tcPr>
            <w:tcW w:w="1581" w:type="dxa"/>
            <w:vAlign w:val="center"/>
          </w:tcPr>
          <w:p w14:paraId="518DEF75">
            <w:pPr>
              <w:jc w:val="center"/>
              <w:rPr>
                <w:rFonts w:ascii="Times New Roman" w:hAnsi="Times New Roman" w:eastAsia="宋体" w:cs="Times New Roman"/>
                <w:color w:val="auto"/>
                <w:sz w:val="18"/>
                <w:szCs w:val="18"/>
              </w:rPr>
            </w:pPr>
            <w:r>
              <w:rPr>
                <w:rFonts w:hint="eastAsia" w:ascii="Calibri" w:hAnsi="Calibri" w:eastAsia="宋体" w:cs="Calibri"/>
                <w:color w:val="auto"/>
                <w:sz w:val="18"/>
                <w:szCs w:val="18"/>
              </w:rPr>
              <w:t>≥</w:t>
            </w:r>
            <w:r>
              <w:rPr>
                <w:rFonts w:ascii="Times New Roman" w:hAnsi="Times New Roman" w:eastAsia="宋体" w:cs="Times New Roman"/>
                <w:color w:val="auto"/>
                <w:sz w:val="18"/>
                <w:szCs w:val="18"/>
              </w:rPr>
              <w:t>1500</w:t>
            </w:r>
            <w:r>
              <w:rPr>
                <w:rFonts w:ascii="Calibri" w:hAnsi="Calibri" w:eastAsia="宋体" w:cs="Calibri"/>
                <w:color w:val="auto"/>
                <w:sz w:val="18"/>
                <w:szCs w:val="18"/>
              </w:rPr>
              <w:t>με</w:t>
            </w:r>
          </w:p>
        </w:tc>
      </w:tr>
      <w:tr w14:paraId="653F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983" w:type="dxa"/>
            <w:vAlign w:val="center"/>
          </w:tcPr>
          <w:p w14:paraId="1B035D99">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高应变硬化型</w:t>
            </w:r>
          </w:p>
        </w:tc>
        <w:tc>
          <w:tcPr>
            <w:tcW w:w="1581" w:type="dxa"/>
            <w:vAlign w:val="center"/>
          </w:tcPr>
          <w:p w14:paraId="6B2A88B3">
            <w:pPr>
              <w:jc w:val="center"/>
              <w:rPr>
                <w:rFonts w:ascii="Times New Roman" w:hAnsi="Times New Roman" w:eastAsia="宋体" w:cs="Times New Roman"/>
                <w:color w:val="auto"/>
                <w:sz w:val="18"/>
                <w:szCs w:val="18"/>
              </w:rPr>
            </w:pPr>
            <w:r>
              <w:rPr>
                <w:rFonts w:hint="eastAsia" w:ascii="Calibri" w:hAnsi="Calibri" w:eastAsia="宋体" w:cs="Calibri"/>
                <w:color w:val="auto"/>
                <w:sz w:val="18"/>
                <w:szCs w:val="18"/>
              </w:rPr>
              <w:t>≥</w:t>
            </w:r>
            <w:r>
              <w:rPr>
                <w:rFonts w:ascii="Times New Roman" w:hAnsi="Times New Roman" w:eastAsia="宋体" w:cs="Times New Roman"/>
                <w:color w:val="auto"/>
                <w:sz w:val="18"/>
                <w:szCs w:val="18"/>
              </w:rPr>
              <w:t>1.0</w:t>
            </w:r>
          </w:p>
        </w:tc>
        <w:tc>
          <w:tcPr>
            <w:tcW w:w="1581" w:type="dxa"/>
            <w:vAlign w:val="center"/>
          </w:tcPr>
          <w:p w14:paraId="59CB3E3A">
            <w:pPr>
              <w:jc w:val="center"/>
              <w:rPr>
                <w:rFonts w:ascii="Times New Roman" w:hAnsi="Times New Roman" w:eastAsia="宋体" w:cs="Times New Roman"/>
                <w:color w:val="auto"/>
                <w:sz w:val="18"/>
                <w:szCs w:val="18"/>
              </w:rPr>
            </w:pPr>
            <w:r>
              <w:rPr>
                <w:rFonts w:hint="eastAsia" w:ascii="Calibri" w:hAnsi="Calibri" w:eastAsia="宋体" w:cs="Calibri"/>
                <w:color w:val="auto"/>
                <w:sz w:val="18"/>
                <w:szCs w:val="18"/>
              </w:rPr>
              <w:t>≥</w:t>
            </w:r>
            <w:r>
              <w:rPr>
                <w:rFonts w:ascii="Times New Roman" w:hAnsi="Times New Roman" w:eastAsia="宋体" w:cs="Times New Roman"/>
                <w:color w:val="auto"/>
                <w:sz w:val="18"/>
                <w:szCs w:val="18"/>
              </w:rPr>
              <w:t>1.0</w:t>
            </w:r>
          </w:p>
        </w:tc>
        <w:tc>
          <w:tcPr>
            <w:tcW w:w="1581" w:type="dxa"/>
            <w:vAlign w:val="center"/>
          </w:tcPr>
          <w:p w14:paraId="651F1301">
            <w:pPr>
              <w:jc w:val="center"/>
              <w:rPr>
                <w:rFonts w:ascii="Times New Roman" w:hAnsi="Times New Roman" w:eastAsia="宋体" w:cs="Times New Roman"/>
                <w:color w:val="auto"/>
                <w:sz w:val="18"/>
                <w:szCs w:val="18"/>
              </w:rPr>
            </w:pPr>
            <w:r>
              <w:rPr>
                <w:rFonts w:hint="eastAsia" w:ascii="Calibri" w:hAnsi="Calibri" w:eastAsia="宋体" w:cs="Calibri"/>
                <w:color w:val="auto"/>
                <w:sz w:val="18"/>
                <w:szCs w:val="18"/>
              </w:rPr>
              <w:t>≥</w:t>
            </w:r>
            <w:r>
              <w:rPr>
                <w:rFonts w:ascii="Times New Roman" w:hAnsi="Times New Roman" w:eastAsia="宋体" w:cs="Times New Roman"/>
                <w:color w:val="auto"/>
                <w:sz w:val="18"/>
                <w:szCs w:val="18"/>
              </w:rPr>
              <w:t>1.2</w:t>
            </w:r>
          </w:p>
        </w:tc>
        <w:tc>
          <w:tcPr>
            <w:tcW w:w="1581" w:type="dxa"/>
            <w:vAlign w:val="center"/>
          </w:tcPr>
          <w:p w14:paraId="742908B1">
            <w:pPr>
              <w:jc w:val="center"/>
              <w:rPr>
                <w:rFonts w:ascii="Calibri" w:hAnsi="Calibri" w:eastAsia="宋体" w:cs="Calibri"/>
                <w:color w:val="auto"/>
                <w:sz w:val="18"/>
                <w:szCs w:val="18"/>
              </w:rPr>
            </w:pPr>
            <w:r>
              <w:rPr>
                <w:rFonts w:hint="eastAsia" w:ascii="Calibri" w:hAnsi="Calibri" w:eastAsia="宋体" w:cs="Calibri"/>
                <w:color w:val="auto"/>
                <w:sz w:val="18"/>
                <w:szCs w:val="18"/>
              </w:rPr>
              <w:t>≥</w:t>
            </w:r>
            <w:r>
              <w:rPr>
                <w:rFonts w:ascii="Times New Roman" w:hAnsi="Times New Roman" w:eastAsia="宋体" w:cs="Times New Roman"/>
                <w:color w:val="auto"/>
                <w:sz w:val="18"/>
                <w:szCs w:val="18"/>
              </w:rPr>
              <w:t>2000</w:t>
            </w:r>
            <w:r>
              <w:rPr>
                <w:rFonts w:ascii="Calibri" w:hAnsi="Calibri" w:eastAsia="宋体" w:cs="Calibri"/>
                <w:color w:val="auto"/>
                <w:sz w:val="18"/>
                <w:szCs w:val="18"/>
              </w:rPr>
              <w:t>με</w:t>
            </w:r>
          </w:p>
        </w:tc>
      </w:tr>
    </w:tbl>
    <w:p w14:paraId="4D625DE7">
      <w:pPr>
        <w:widowControl/>
        <w:ind w:firstLine="180" w:firstLineChars="100"/>
        <w:jc w:val="left"/>
        <w:rPr>
          <w:rFonts w:hint="eastAsia"/>
          <w:color w:val="auto"/>
        </w:rPr>
      </w:pPr>
      <w:r>
        <w:rPr>
          <w:rFonts w:hint="eastAsia" w:ascii="宋体" w:hAnsi="宋体" w:eastAsia="宋体" w:cs="宋体"/>
          <w:color w:val="auto"/>
          <w:kern w:val="0"/>
          <w:sz w:val="18"/>
          <w:szCs w:val="18"/>
          <w:lang w:bidi="ar"/>
        </w:rPr>
        <w:t>注：</w:t>
      </w:r>
      <m:oMath>
        <m:sSub>
          <m:sSubPr>
            <m:ctrlPr>
              <w:rPr>
                <w:rFonts w:ascii="Cambria Math" w:hAnsi="Cambria Math" w:eastAsia="宋体" w:cs="Times New Roman"/>
                <w:i/>
                <w:color w:val="auto"/>
                <w:sz w:val="18"/>
                <w:szCs w:val="18"/>
              </w:rPr>
            </m:ctrlPr>
          </m:sSubPr>
          <m:e>
            <m:r>
              <m:rPr/>
              <w:rPr>
                <w:rFonts w:ascii="Cambria Math" w:hAnsi="Cambria Math" w:eastAsia="宋体" w:cs="Times New Roman"/>
                <w:color w:val="auto"/>
                <w:sz w:val="18"/>
                <w:szCs w:val="18"/>
              </w:rPr>
              <m:t>f</m:t>
            </m:r>
            <m:ctrlPr>
              <w:rPr>
                <w:rFonts w:ascii="Cambria Math" w:hAnsi="Cambria Math" w:eastAsia="宋体" w:cs="Times New Roman"/>
                <w:i/>
                <w:color w:val="auto"/>
                <w:sz w:val="18"/>
                <w:szCs w:val="18"/>
              </w:rPr>
            </m:ctrlPr>
          </m:e>
          <m:sub>
            <m:r>
              <m:rPr/>
              <w:rPr>
                <w:rFonts w:ascii="Cambria Math" w:hAnsi="Cambria Math" w:eastAsia="宋体" w:cs="Times New Roman"/>
                <w:color w:val="auto"/>
                <w:sz w:val="18"/>
                <w:szCs w:val="18"/>
              </w:rPr>
              <m:t>fte</m:t>
            </m:r>
            <m:ctrlPr>
              <w:rPr>
                <w:rFonts w:ascii="Cambria Math" w:hAnsi="Cambria Math" w:eastAsia="宋体" w:cs="Times New Roman"/>
                <w:i/>
                <w:color w:val="auto"/>
                <w:sz w:val="18"/>
                <w:szCs w:val="18"/>
              </w:rPr>
            </m:ctrlPr>
          </m:sub>
        </m:sSub>
        <m:r>
          <m:rPr/>
          <w:rPr>
            <w:rFonts w:ascii="Cambria Math" w:hAnsi="Cambria Math" w:eastAsia="宋体" w:cs="Times New Roman"/>
            <w:color w:val="auto"/>
            <w:sz w:val="18"/>
            <w:szCs w:val="18"/>
          </w:rPr>
          <m:t>−</m:t>
        </m:r>
        <m:r>
          <m:rPr>
            <m:sty m:val="p"/>
          </m:rPr>
          <w:rPr>
            <w:rFonts w:hint="eastAsia" w:ascii="Cambria Math" w:hAnsi="Cambria Math" w:eastAsia="宋体" w:cs="宋体"/>
            <w:color w:val="auto"/>
            <w:kern w:val="0"/>
            <w:sz w:val="20"/>
            <w:szCs w:val="20"/>
            <w:lang w:bidi="ar"/>
          </w:rPr>
          <m:t>超高性能混凝土弹性极限抗拉强度</m:t>
        </m:r>
      </m:oMath>
      <w:r>
        <w:rPr>
          <w:rFonts w:hint="eastAsia" w:hAnsi="Cambria Math" w:eastAsia="宋体" w:cs="宋体"/>
          <w:iCs/>
          <w:color w:val="auto"/>
          <w:kern w:val="0"/>
          <w:sz w:val="20"/>
          <w:szCs w:val="20"/>
          <w:lang w:bidi="ar"/>
        </w:rPr>
        <w:t>；</w:t>
      </w:r>
      <m:oMath>
        <m:sSub>
          <m:sSubPr>
            <m:ctrlPr>
              <w:rPr>
                <w:rFonts w:ascii="Cambria Math" w:hAnsi="Cambria Math" w:eastAsia="宋体" w:cs="Times New Roman"/>
                <w:i/>
                <w:color w:val="auto"/>
                <w:sz w:val="18"/>
                <w:szCs w:val="18"/>
              </w:rPr>
            </m:ctrlPr>
          </m:sSubPr>
          <m:e>
            <m:r>
              <m:rPr/>
              <w:rPr>
                <w:rFonts w:ascii="Cambria Math" w:hAnsi="Cambria Math" w:eastAsia="宋体" w:cs="Times New Roman"/>
                <w:color w:val="auto"/>
                <w:sz w:val="18"/>
                <w:szCs w:val="18"/>
              </w:rPr>
              <m:t>f</m:t>
            </m:r>
            <m:ctrlPr>
              <w:rPr>
                <w:rFonts w:ascii="Cambria Math" w:hAnsi="Cambria Math" w:eastAsia="宋体" w:cs="Times New Roman"/>
                <w:i/>
                <w:color w:val="auto"/>
                <w:sz w:val="18"/>
                <w:szCs w:val="18"/>
              </w:rPr>
            </m:ctrlPr>
          </m:e>
          <m:sub>
            <m:r>
              <m:rPr/>
              <w:rPr>
                <w:rFonts w:ascii="Cambria Math" w:hAnsi="Cambria Math" w:eastAsia="宋体" w:cs="Times New Roman"/>
                <w:color w:val="auto"/>
                <w:sz w:val="18"/>
                <w:szCs w:val="18"/>
              </w:rPr>
              <m:t>ftu</m:t>
            </m:r>
            <m:ctrlPr>
              <w:rPr>
                <w:rFonts w:ascii="Cambria Math" w:hAnsi="Cambria Math" w:eastAsia="宋体" w:cs="Times New Roman"/>
                <w:i/>
                <w:color w:val="auto"/>
                <w:sz w:val="18"/>
                <w:szCs w:val="18"/>
              </w:rPr>
            </m:ctrlPr>
          </m:sub>
        </m:sSub>
        <m:r>
          <m:rPr/>
          <w:rPr>
            <w:rFonts w:ascii="Cambria Math" w:hAnsi="Cambria Math" w:eastAsia="宋体" w:cs="Times New Roman"/>
            <w:color w:val="auto"/>
            <w:sz w:val="18"/>
            <w:szCs w:val="18"/>
          </w:rPr>
          <m:t>−</m:t>
        </m:r>
      </m:oMath>
      <w:r>
        <w:rPr>
          <w:rFonts w:hint="eastAsia" w:ascii="宋体" w:hAnsi="宋体" w:eastAsia="宋体" w:cs="宋体"/>
          <w:color w:val="auto"/>
          <w:kern w:val="0"/>
          <w:sz w:val="20"/>
          <w:szCs w:val="20"/>
          <w:lang w:bidi="ar"/>
        </w:rPr>
        <w:t>超高性能混凝土极限抗拉强度。</w:t>
      </w:r>
    </w:p>
    <w:p w14:paraId="51B94A1F">
      <w:pPr>
        <w:pStyle w:val="326"/>
        <w:rPr>
          <w:color w:val="auto"/>
        </w:rPr>
      </w:pPr>
      <w:r>
        <w:rPr>
          <w:b/>
          <w:bCs/>
          <w:color w:val="auto"/>
        </w:rPr>
        <w:t>4.1.5</w:t>
      </w:r>
      <w:r>
        <w:rPr>
          <w:color w:val="auto"/>
        </w:rPr>
        <w:t xml:space="preserve">  </w:t>
      </w:r>
      <w:r>
        <w:rPr>
          <w:rFonts w:hint="eastAsia"/>
          <w:color w:val="auto"/>
        </w:rPr>
        <w:t>超高性能混凝土的弯拉强度等级应根据4</w:t>
      </w:r>
      <w:r>
        <w:rPr>
          <w:color w:val="auto"/>
        </w:rPr>
        <w:t>00</w:t>
      </w:r>
      <w:r>
        <w:rPr>
          <w:rFonts w:hint="eastAsia"/>
          <w:color w:val="auto"/>
        </w:rPr>
        <w:t>mm×</w:t>
      </w:r>
      <w:r>
        <w:rPr>
          <w:color w:val="auto"/>
        </w:rPr>
        <w:t>100</w:t>
      </w:r>
      <w:r>
        <w:rPr>
          <w:rFonts w:hint="eastAsia"/>
          <w:color w:val="auto"/>
        </w:rPr>
        <w:t>mm×</w:t>
      </w:r>
      <w:r>
        <w:rPr>
          <w:color w:val="auto"/>
        </w:rPr>
        <w:t>100</w:t>
      </w:r>
      <w:r>
        <w:rPr>
          <w:rFonts w:hint="eastAsia"/>
          <w:color w:val="auto"/>
        </w:rPr>
        <w:t>mm棱柱体弯拉强度标准值确定，强度等级可划分为U</w:t>
      </w:r>
      <w:r>
        <w:rPr>
          <w:color w:val="auto"/>
        </w:rPr>
        <w:t>F22</w:t>
      </w:r>
      <w:r>
        <w:rPr>
          <w:rFonts w:hint="eastAsia"/>
          <w:color w:val="auto"/>
        </w:rPr>
        <w:t>、</w:t>
      </w:r>
      <w:r>
        <w:rPr>
          <w:color w:val="auto"/>
        </w:rPr>
        <w:t>UF25</w:t>
      </w:r>
      <w:r>
        <w:rPr>
          <w:rFonts w:hint="eastAsia"/>
          <w:color w:val="auto"/>
        </w:rPr>
        <w:t>、</w:t>
      </w:r>
      <w:r>
        <w:rPr>
          <w:color w:val="auto"/>
        </w:rPr>
        <w:t>UF28</w:t>
      </w:r>
      <w:r>
        <w:rPr>
          <w:rFonts w:hint="eastAsia"/>
          <w:color w:val="auto"/>
        </w:rPr>
        <w:t>、</w:t>
      </w:r>
      <w:r>
        <w:rPr>
          <w:color w:val="auto"/>
        </w:rPr>
        <w:t>UF30</w:t>
      </w:r>
      <w:r>
        <w:rPr>
          <w:rFonts w:hint="eastAsia"/>
          <w:color w:val="auto"/>
        </w:rPr>
        <w:t>。</w:t>
      </w:r>
    </w:p>
    <w:p w14:paraId="4C5D73FB">
      <w:pPr>
        <w:pStyle w:val="326"/>
        <w:rPr>
          <w:color w:val="auto"/>
        </w:rPr>
      </w:pPr>
      <w:r>
        <w:rPr>
          <w:rFonts w:hint="eastAsia"/>
          <w:b/>
          <w:bCs/>
          <w:color w:val="auto"/>
        </w:rPr>
        <w:t>4</w:t>
      </w:r>
      <w:r>
        <w:rPr>
          <w:b/>
          <w:bCs/>
          <w:color w:val="auto"/>
        </w:rPr>
        <w:t>.1.6</w:t>
      </w:r>
      <w:r>
        <w:rPr>
          <w:color w:val="auto"/>
        </w:rPr>
        <w:t xml:space="preserve">  </w:t>
      </w:r>
      <w:r>
        <w:rPr>
          <w:rFonts w:hint="eastAsia"/>
          <w:color w:val="auto"/>
        </w:rPr>
        <w:t>超高性能混凝土整体纤维取向系数</w:t>
      </w:r>
      <m:oMath>
        <m:sSub>
          <m:sSubPr>
            <m:ctrlPr>
              <w:rPr>
                <w:rFonts w:ascii="Cambria Math" w:hAnsi="Cambria Math"/>
                <w:color w:val="auto"/>
              </w:rPr>
            </m:ctrlPr>
          </m:sSubPr>
          <m:e>
            <m:r>
              <m:rPr/>
              <w:rPr>
                <w:rFonts w:ascii="Cambria Math" w:hAnsi="Cambria Math"/>
                <w:color w:val="auto"/>
              </w:rPr>
              <m:t>K</m:t>
            </m:r>
            <m:ctrlPr>
              <w:rPr>
                <w:rFonts w:ascii="Cambria Math" w:hAnsi="Cambria Math"/>
                <w:color w:val="auto"/>
              </w:rPr>
            </m:ctrlPr>
          </m:e>
          <m:sub>
            <m:r>
              <m:rPr/>
              <w:rPr>
                <w:rFonts w:hint="eastAsia" w:ascii="Cambria Math" w:hAnsi="Cambria Math"/>
                <w:color w:val="auto"/>
              </w:rPr>
              <m:t>global</m:t>
            </m:r>
            <m:ctrlPr>
              <w:rPr>
                <w:rFonts w:ascii="Cambria Math" w:hAnsi="Cambria Math"/>
                <w:color w:val="auto"/>
              </w:rPr>
            </m:ctrlPr>
          </m:sub>
        </m:sSub>
      </m:oMath>
      <w:r>
        <w:rPr>
          <w:rFonts w:hint="eastAsia"/>
          <w:color w:val="auto"/>
        </w:rPr>
        <w:t>为1</w:t>
      </w:r>
      <w:r>
        <w:rPr>
          <w:color w:val="auto"/>
        </w:rPr>
        <w:t>.25</w:t>
      </w:r>
      <w:r>
        <w:rPr>
          <w:rFonts w:hint="eastAsia"/>
          <w:color w:val="auto"/>
        </w:rPr>
        <w:t>，局部纤维取向系数</w:t>
      </w:r>
      <m:oMath>
        <m:sSub>
          <m:sSubPr>
            <m:ctrlPr>
              <w:rPr>
                <w:rFonts w:ascii="Cambria Math" w:hAnsi="Cambria Math"/>
                <w:color w:val="auto"/>
              </w:rPr>
            </m:ctrlPr>
          </m:sSubPr>
          <m:e>
            <m:r>
              <m:rPr/>
              <w:rPr>
                <w:rFonts w:ascii="Cambria Math" w:hAnsi="Cambria Math"/>
                <w:color w:val="auto"/>
              </w:rPr>
              <m:t>K</m:t>
            </m:r>
            <m:ctrlPr>
              <w:rPr>
                <w:rFonts w:ascii="Cambria Math" w:hAnsi="Cambria Math"/>
                <w:color w:val="auto"/>
              </w:rPr>
            </m:ctrlPr>
          </m:e>
          <m:sub>
            <m:r>
              <m:rPr/>
              <w:rPr>
                <w:rFonts w:hint="eastAsia" w:ascii="Cambria Math" w:hAnsi="Cambria Math"/>
                <w:color w:val="auto"/>
              </w:rPr>
              <m:t>lo</m:t>
            </m:r>
            <m:r>
              <m:rPr/>
              <w:rPr>
                <w:rFonts w:ascii="Cambria Math" w:hAnsi="Cambria Math"/>
                <w:color w:val="auto"/>
              </w:rPr>
              <m:t>c</m:t>
            </m:r>
            <m:r>
              <m:rPr/>
              <w:rPr>
                <w:rFonts w:hint="eastAsia" w:ascii="Cambria Math" w:hAnsi="Cambria Math"/>
                <w:color w:val="auto"/>
              </w:rPr>
              <m:t>al</m:t>
            </m:r>
            <m:ctrlPr>
              <w:rPr>
                <w:rFonts w:ascii="Cambria Math" w:hAnsi="Cambria Math"/>
                <w:color w:val="auto"/>
              </w:rPr>
            </m:ctrlPr>
          </m:sub>
        </m:sSub>
      </m:oMath>
      <w:r>
        <w:rPr>
          <w:rFonts w:hint="eastAsia"/>
          <w:color w:val="auto"/>
        </w:rPr>
        <w:t>为1</w:t>
      </w:r>
      <w:r>
        <w:rPr>
          <w:color w:val="auto"/>
        </w:rPr>
        <w:t>.75</w:t>
      </w:r>
      <w:r>
        <w:rPr>
          <w:rFonts w:hint="eastAsia"/>
          <w:color w:val="auto"/>
        </w:rPr>
        <w:t>。</w:t>
      </w:r>
    </w:p>
    <w:p w14:paraId="38375387">
      <w:pPr>
        <w:pStyle w:val="326"/>
        <w:rPr>
          <w:color w:val="auto"/>
        </w:rPr>
      </w:pPr>
      <w:r>
        <w:rPr>
          <w:rFonts w:hint="eastAsia"/>
          <w:b/>
          <w:bCs/>
          <w:color w:val="auto"/>
        </w:rPr>
        <w:t>4</w:t>
      </w:r>
      <w:r>
        <w:rPr>
          <w:b/>
          <w:bCs/>
          <w:color w:val="auto"/>
        </w:rPr>
        <w:t>.1.7</w:t>
      </w:r>
      <w:r>
        <w:rPr>
          <w:color w:val="auto"/>
        </w:rPr>
        <w:t xml:space="preserve">  </w:t>
      </w:r>
      <w:r>
        <w:rPr>
          <w:rFonts w:hint="eastAsia"/>
          <w:color w:val="auto"/>
        </w:rPr>
        <w:t>超高性能混凝土立方体抗压强度标准值</w:t>
      </w:r>
      <m:oMath>
        <m:sSub>
          <m:sSubPr>
            <m:ctrlPr>
              <w:rPr>
                <w:rFonts w:ascii="Cambria Math" w:hAnsi="Cambria Math" w:cs="Calibri"/>
                <w:color w:val="auto"/>
                <w:sz w:val="18"/>
                <w:szCs w:val="18"/>
              </w:rPr>
            </m:ctrlPr>
          </m:sSubPr>
          <m:e>
            <m:r>
              <m:rPr/>
              <w:rPr>
                <w:rFonts w:ascii="Cambria Math" w:hAnsi="Cambria Math" w:cs="Calibri"/>
                <w:color w:val="auto"/>
                <w:sz w:val="18"/>
                <w:szCs w:val="18"/>
              </w:rPr>
              <m:t>f</m:t>
            </m:r>
            <m:ctrlPr>
              <w:rPr>
                <w:rFonts w:ascii="Cambria Math" w:hAnsi="Cambria Math" w:cs="Calibri"/>
                <w:color w:val="auto"/>
                <w:sz w:val="18"/>
                <w:szCs w:val="18"/>
              </w:rPr>
            </m:ctrlPr>
          </m:e>
          <m:sub>
            <m:r>
              <m:rPr/>
              <w:rPr>
                <w:rFonts w:ascii="Cambria Math" w:hAnsi="Cambria Math" w:cs="Calibri"/>
                <w:color w:val="auto"/>
                <w:sz w:val="18"/>
                <w:szCs w:val="18"/>
              </w:rPr>
              <m:t>f</m:t>
            </m:r>
            <m:r>
              <m:rPr/>
              <w:rPr>
                <w:rFonts w:hint="eastAsia" w:ascii="Cambria Math" w:hAnsi="Cambria Math" w:cs="Calibri"/>
                <w:color w:val="auto"/>
                <w:sz w:val="18"/>
                <w:szCs w:val="18"/>
              </w:rPr>
              <m:t>cu</m:t>
            </m:r>
            <m:r>
              <m:rPr/>
              <w:rPr>
                <w:rFonts w:ascii="Cambria Math" w:hAnsi="Cambria Math" w:cs="Calibri"/>
                <w:color w:val="auto"/>
                <w:sz w:val="18"/>
                <w:szCs w:val="18"/>
              </w:rPr>
              <m:t>,k</m:t>
            </m:r>
            <m:ctrlPr>
              <w:rPr>
                <w:rFonts w:ascii="Cambria Math" w:hAnsi="Cambria Math" w:cs="Calibri"/>
                <w:color w:val="auto"/>
                <w:sz w:val="18"/>
                <w:szCs w:val="18"/>
              </w:rPr>
            </m:ctrlPr>
          </m:sub>
        </m:sSub>
      </m:oMath>
      <w:r>
        <w:rPr>
          <w:rFonts w:hint="eastAsia"/>
          <w:color w:val="auto"/>
        </w:rPr>
        <w:t>、轴心抗压强度标准值</w:t>
      </w:r>
      <m:oMath>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f</m:t>
            </m:r>
            <m:r>
              <m:rPr/>
              <w:rPr>
                <w:rFonts w:hint="eastAsia" w:ascii="Cambria Math" w:hAnsi="Cambria Math"/>
                <w:color w:val="auto"/>
              </w:rPr>
              <m:t>c</m:t>
            </m:r>
            <m:r>
              <m:rPr/>
              <w:rPr>
                <w:rFonts w:ascii="Cambria Math" w:hAnsi="Cambria Math"/>
                <w:color w:val="auto"/>
              </w:rPr>
              <m:t>k</m:t>
            </m:r>
            <m:ctrlPr>
              <w:rPr>
                <w:rFonts w:ascii="Cambria Math" w:hAnsi="Cambria Math"/>
                <w:color w:val="auto"/>
              </w:rPr>
            </m:ctrlPr>
          </m:sub>
        </m:sSub>
      </m:oMath>
      <w:r>
        <w:rPr>
          <w:rFonts w:hint="eastAsia"/>
          <w:color w:val="auto"/>
        </w:rPr>
        <w:t>和轴心抗压强度设计值</w:t>
      </w:r>
      <m:oMath>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f</m:t>
            </m:r>
            <m:r>
              <m:rPr/>
              <w:rPr>
                <w:rFonts w:hint="eastAsia" w:ascii="Cambria Math" w:hAnsi="Cambria Math"/>
                <w:color w:val="auto"/>
              </w:rPr>
              <m:t>cd</m:t>
            </m:r>
            <m:ctrlPr>
              <w:rPr>
                <w:rFonts w:ascii="Cambria Math" w:hAnsi="Cambria Math"/>
                <w:color w:val="auto"/>
              </w:rPr>
            </m:ctrlPr>
          </m:sub>
        </m:sSub>
      </m:oMath>
      <w:r>
        <w:rPr>
          <w:rFonts w:hint="eastAsia"/>
          <w:color w:val="auto"/>
        </w:rPr>
        <w:t>应按表4</w:t>
      </w:r>
      <w:r>
        <w:rPr>
          <w:color w:val="auto"/>
        </w:rPr>
        <w:t>.1.7-1</w:t>
      </w:r>
      <w:r>
        <w:rPr>
          <w:rFonts w:hint="eastAsia"/>
          <w:color w:val="auto"/>
        </w:rPr>
        <w:t>的规定采用，超高性能混凝土轴心抗拉强度标准值</w:t>
      </w:r>
      <m:oMath>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ftk</m:t>
            </m:r>
            <m:ctrlPr>
              <w:rPr>
                <w:rFonts w:ascii="Cambria Math" w:hAnsi="Cambria Math"/>
                <w:color w:val="auto"/>
              </w:rPr>
            </m:ctrlPr>
          </m:sub>
        </m:sSub>
      </m:oMath>
      <w:r>
        <w:rPr>
          <w:rFonts w:hint="eastAsia"/>
          <w:color w:val="auto"/>
        </w:rPr>
        <w:t>和轴心抗拉强度设计值</w:t>
      </w:r>
      <m:oMath>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ft</m:t>
            </m:r>
            <m:r>
              <m:rPr/>
              <w:rPr>
                <w:rFonts w:hint="eastAsia" w:ascii="Cambria Math" w:hAnsi="Cambria Math"/>
                <w:color w:val="auto"/>
              </w:rPr>
              <m:t>d</m:t>
            </m:r>
            <m:ctrlPr>
              <w:rPr>
                <w:rFonts w:ascii="Cambria Math" w:hAnsi="Cambria Math"/>
                <w:color w:val="auto"/>
              </w:rPr>
            </m:ctrlPr>
          </m:sub>
        </m:sSub>
      </m:oMath>
      <w:r>
        <w:rPr>
          <w:rFonts w:hint="eastAsia"/>
          <w:color w:val="auto"/>
        </w:rPr>
        <w:t>应按表4</w:t>
      </w:r>
      <w:r>
        <w:rPr>
          <w:color w:val="auto"/>
        </w:rPr>
        <w:t>.1.7-2</w:t>
      </w:r>
      <w:r>
        <w:rPr>
          <w:rFonts w:hint="eastAsia"/>
          <w:color w:val="auto"/>
        </w:rPr>
        <w:t>的规定采用。</w:t>
      </w:r>
    </w:p>
    <w:p w14:paraId="3D8C38BC">
      <w:pPr>
        <w:spacing w:line="360" w:lineRule="auto"/>
        <w:jc w:val="center"/>
        <w:rPr>
          <w:rFonts w:ascii="Times New Roman" w:hAnsi="Times New Roman" w:eastAsia="黑体" w:cs="Times New Roman"/>
          <w:color w:val="auto"/>
          <w:sz w:val="18"/>
          <w:szCs w:val="20"/>
        </w:rPr>
      </w:pPr>
      <w:r>
        <w:rPr>
          <w:rFonts w:ascii="Times New Roman" w:hAnsi="Times New Roman" w:eastAsia="黑体" w:cs="Times New Roman"/>
          <w:color w:val="auto"/>
          <w:sz w:val="18"/>
          <w:szCs w:val="20"/>
        </w:rPr>
        <w:t>表4.1.7-1 超高性能混凝土轴心抗压强度</w:t>
      </w:r>
    </w:p>
    <w:tbl>
      <w:tblPr>
        <w:tblStyle w:val="382"/>
        <w:tblW w:w="49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687"/>
        <w:gridCol w:w="1687"/>
        <w:gridCol w:w="1688"/>
        <w:gridCol w:w="1688"/>
      </w:tblGrid>
      <w:tr w14:paraId="222F0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99" w:type="pct"/>
            <w:vAlign w:val="center"/>
          </w:tcPr>
          <w:p w14:paraId="47696434">
            <w:pPr>
              <w:jc w:val="center"/>
              <w:rPr>
                <w:rFonts w:ascii="Calibri" w:hAnsi="Calibri" w:eastAsia="宋体" w:cs="Calibri"/>
                <w:color w:val="auto"/>
                <w:sz w:val="18"/>
                <w:szCs w:val="18"/>
              </w:rPr>
            </w:pPr>
            <w:r>
              <w:rPr>
                <w:rFonts w:hint="eastAsia" w:ascii="Calibri" w:hAnsi="Calibri" w:eastAsia="宋体" w:cs="Calibri"/>
                <w:color w:val="auto"/>
                <w:sz w:val="18"/>
                <w:szCs w:val="18"/>
              </w:rPr>
              <w:t>强度等级</w:t>
            </w:r>
          </w:p>
        </w:tc>
        <w:tc>
          <w:tcPr>
            <w:tcW w:w="999" w:type="pct"/>
            <w:vAlign w:val="center"/>
          </w:tcPr>
          <w:p w14:paraId="31360BEA">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UC120</w:t>
            </w:r>
          </w:p>
        </w:tc>
        <w:tc>
          <w:tcPr>
            <w:tcW w:w="999" w:type="pct"/>
            <w:vAlign w:val="center"/>
          </w:tcPr>
          <w:p w14:paraId="0173CE81">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UC140</w:t>
            </w:r>
          </w:p>
        </w:tc>
        <w:tc>
          <w:tcPr>
            <w:tcW w:w="1000" w:type="pct"/>
            <w:vAlign w:val="center"/>
          </w:tcPr>
          <w:p w14:paraId="52C5CAB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UC160</w:t>
            </w:r>
          </w:p>
        </w:tc>
        <w:tc>
          <w:tcPr>
            <w:tcW w:w="1000" w:type="pct"/>
            <w:vAlign w:val="center"/>
          </w:tcPr>
          <w:p w14:paraId="08FE632A">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UC180</w:t>
            </w:r>
          </w:p>
        </w:tc>
      </w:tr>
      <w:tr w14:paraId="04DE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99" w:type="pct"/>
            <w:vAlign w:val="center"/>
          </w:tcPr>
          <w:p w14:paraId="01114264">
            <w:pPr>
              <w:jc w:val="center"/>
              <w:rPr>
                <w:rFonts w:ascii="Times New Roman" w:hAnsi="Times New Roman" w:eastAsia="宋体" w:cs="Times New Roman"/>
                <w:color w:val="auto"/>
                <w:sz w:val="18"/>
                <w:szCs w:val="18"/>
              </w:rPr>
            </w:pPr>
            <w:bookmarkStart w:id="58" w:name="_Hlk169776936"/>
            <m:oMath>
              <m:sSub>
                <m:sSubPr>
                  <m:ctrlPr>
                    <w:rPr>
                      <w:rFonts w:ascii="Cambria Math" w:hAnsi="Cambria Math" w:eastAsia="宋体" w:cs="Calibri"/>
                      <w:color w:val="auto"/>
                      <w:sz w:val="18"/>
                      <w:szCs w:val="18"/>
                    </w:rPr>
                  </m:ctrlPr>
                </m:sSubPr>
                <m:e>
                  <m:r>
                    <m:rPr/>
                    <w:rPr>
                      <w:rFonts w:ascii="Cambria Math" w:hAnsi="Cambria Math" w:eastAsia="宋体" w:cs="Calibri"/>
                      <w:color w:val="auto"/>
                      <w:sz w:val="18"/>
                      <w:szCs w:val="18"/>
                    </w:rPr>
                    <m:t>f</m:t>
                  </m:r>
                  <m:ctrlPr>
                    <w:rPr>
                      <w:rFonts w:ascii="Cambria Math" w:hAnsi="Cambria Math" w:eastAsia="宋体" w:cs="Calibri"/>
                      <w:color w:val="auto"/>
                      <w:sz w:val="18"/>
                      <w:szCs w:val="18"/>
                    </w:rPr>
                  </m:ctrlPr>
                </m:e>
                <m:sub>
                  <m:r>
                    <m:rPr/>
                    <w:rPr>
                      <w:rFonts w:ascii="Cambria Math" w:hAnsi="Cambria Math" w:eastAsia="宋体" w:cs="Calibri"/>
                      <w:color w:val="auto"/>
                      <w:sz w:val="18"/>
                      <w:szCs w:val="18"/>
                    </w:rPr>
                    <m:t>f</m:t>
                  </m:r>
                  <m:r>
                    <m:rPr/>
                    <w:rPr>
                      <w:rFonts w:hint="eastAsia" w:ascii="Cambria Math" w:hAnsi="Cambria Math" w:eastAsia="宋体" w:cs="Calibri"/>
                      <w:color w:val="auto"/>
                      <w:sz w:val="18"/>
                      <w:szCs w:val="18"/>
                    </w:rPr>
                    <m:t>cu</m:t>
                  </m:r>
                  <m:r>
                    <m:rPr/>
                    <w:rPr>
                      <w:rFonts w:ascii="Cambria Math" w:hAnsi="Cambria Math" w:eastAsia="宋体" w:cs="Calibri"/>
                      <w:color w:val="auto"/>
                      <w:sz w:val="18"/>
                      <w:szCs w:val="18"/>
                    </w:rPr>
                    <m:t>,k</m:t>
                  </m:r>
                  <m:ctrlPr>
                    <w:rPr>
                      <w:rFonts w:ascii="Cambria Math" w:hAnsi="Cambria Math" w:eastAsia="宋体" w:cs="Calibri"/>
                      <w:color w:val="auto"/>
                      <w:sz w:val="18"/>
                      <w:szCs w:val="18"/>
                    </w:rPr>
                  </m:ctrlPr>
                </m:sub>
              </m:sSub>
            </m:oMath>
            <w:r>
              <w:rPr>
                <w:rFonts w:hint="eastAsia" w:ascii="Times New Roman" w:hAnsi="Times New Roman" w:eastAsia="宋体" w:cs="Times New Roman"/>
                <w:color w:val="auto"/>
                <w:sz w:val="18"/>
                <w:szCs w:val="18"/>
              </w:rPr>
              <w:t>（</w:t>
            </w:r>
            <w:bookmarkEnd w:id="58"/>
            <w:r>
              <w:rPr>
                <w:rFonts w:hint="eastAsia" w:ascii="Times New Roman" w:hAnsi="Times New Roman" w:eastAsia="宋体" w:cs="Times New Roman"/>
                <w:color w:val="auto"/>
                <w:sz w:val="18"/>
                <w:szCs w:val="18"/>
              </w:rPr>
              <w:t>M</w:t>
            </w:r>
            <w:r>
              <w:rPr>
                <w:rFonts w:ascii="Times New Roman" w:hAnsi="Times New Roman" w:eastAsia="宋体" w:cs="Times New Roman"/>
                <w:color w:val="auto"/>
                <w:sz w:val="18"/>
                <w:szCs w:val="18"/>
              </w:rPr>
              <w:t>P</w:t>
            </w:r>
            <w:r>
              <w:rPr>
                <w:rFonts w:hint="eastAsia" w:ascii="Times New Roman" w:hAnsi="Times New Roman" w:eastAsia="宋体" w:cs="Times New Roman"/>
                <w:color w:val="auto"/>
                <w:sz w:val="18"/>
                <w:szCs w:val="18"/>
              </w:rPr>
              <w:t>a）</w:t>
            </w:r>
          </w:p>
        </w:tc>
        <w:tc>
          <w:tcPr>
            <w:tcW w:w="999" w:type="pct"/>
            <w:vAlign w:val="center"/>
          </w:tcPr>
          <w:p w14:paraId="0E2CB35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120</w:t>
            </w:r>
          </w:p>
        </w:tc>
        <w:tc>
          <w:tcPr>
            <w:tcW w:w="999" w:type="pct"/>
            <w:vAlign w:val="center"/>
          </w:tcPr>
          <w:p w14:paraId="63E8251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140</w:t>
            </w:r>
          </w:p>
        </w:tc>
        <w:tc>
          <w:tcPr>
            <w:tcW w:w="1000" w:type="pct"/>
            <w:vAlign w:val="center"/>
          </w:tcPr>
          <w:p w14:paraId="5BE3893B">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160</w:t>
            </w:r>
          </w:p>
        </w:tc>
        <w:tc>
          <w:tcPr>
            <w:tcW w:w="1000" w:type="pct"/>
            <w:vAlign w:val="center"/>
          </w:tcPr>
          <w:p w14:paraId="4314827C">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180</w:t>
            </w:r>
          </w:p>
        </w:tc>
      </w:tr>
      <w:tr w14:paraId="40AB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99" w:type="pct"/>
            <w:vAlign w:val="center"/>
          </w:tcPr>
          <w:p w14:paraId="6F468403">
            <w:pPr>
              <w:jc w:val="center"/>
              <w:rPr>
                <w:rFonts w:ascii="Times New Roman" w:hAnsi="Times New Roman" w:eastAsia="宋体" w:cs="Times New Roman"/>
                <w:color w:val="auto"/>
                <w:sz w:val="18"/>
                <w:szCs w:val="18"/>
              </w:rPr>
            </w:pPr>
            <m:oMath>
              <m:sSub>
                <m:sSubPr>
                  <m:ctrlPr>
                    <w:rPr>
                      <w:rFonts w:ascii="Cambria Math" w:hAnsi="Cambria Math" w:eastAsia="宋体" w:cs="Calibri"/>
                      <w:color w:val="auto"/>
                      <w:sz w:val="18"/>
                      <w:szCs w:val="18"/>
                    </w:rPr>
                  </m:ctrlPr>
                </m:sSubPr>
                <m:e>
                  <m:r>
                    <m:rPr/>
                    <w:rPr>
                      <w:rFonts w:ascii="Cambria Math" w:hAnsi="Cambria Math" w:eastAsia="宋体" w:cs="Calibri"/>
                      <w:color w:val="auto"/>
                      <w:sz w:val="18"/>
                      <w:szCs w:val="18"/>
                    </w:rPr>
                    <m:t>f</m:t>
                  </m:r>
                  <m:ctrlPr>
                    <w:rPr>
                      <w:rFonts w:ascii="Cambria Math" w:hAnsi="Cambria Math" w:eastAsia="宋体" w:cs="Calibri"/>
                      <w:color w:val="auto"/>
                      <w:sz w:val="18"/>
                      <w:szCs w:val="18"/>
                    </w:rPr>
                  </m:ctrlPr>
                </m:e>
                <m:sub>
                  <m:r>
                    <m:rPr/>
                    <w:rPr>
                      <w:rFonts w:ascii="Cambria Math" w:hAnsi="Cambria Math" w:eastAsia="宋体" w:cs="Calibri"/>
                      <w:color w:val="auto"/>
                      <w:sz w:val="18"/>
                      <w:szCs w:val="18"/>
                    </w:rPr>
                    <m:t>f</m:t>
                  </m:r>
                  <m:r>
                    <m:rPr/>
                    <w:rPr>
                      <w:rFonts w:hint="eastAsia" w:ascii="Cambria Math" w:hAnsi="Cambria Math" w:eastAsia="宋体" w:cs="Calibri"/>
                      <w:color w:val="auto"/>
                      <w:sz w:val="18"/>
                      <w:szCs w:val="18"/>
                    </w:rPr>
                    <m:t>c</m:t>
                  </m:r>
                  <m:r>
                    <m:rPr/>
                    <w:rPr>
                      <w:rFonts w:ascii="Cambria Math" w:hAnsi="Cambria Math" w:eastAsia="宋体" w:cs="Calibri"/>
                      <w:color w:val="auto"/>
                      <w:sz w:val="18"/>
                      <w:szCs w:val="18"/>
                    </w:rPr>
                    <m:t>k</m:t>
                  </m:r>
                  <m:ctrlPr>
                    <w:rPr>
                      <w:rFonts w:ascii="Cambria Math" w:hAnsi="Cambria Math" w:eastAsia="宋体" w:cs="Calibri"/>
                      <w:color w:val="auto"/>
                      <w:sz w:val="18"/>
                      <w:szCs w:val="18"/>
                    </w:rPr>
                  </m:ctrlPr>
                </m:sub>
              </m:sSub>
            </m:oMath>
            <w:r>
              <w:rPr>
                <w:rFonts w:hint="eastAsia" w:ascii="Times New Roman" w:hAnsi="Times New Roman" w:eastAsia="宋体" w:cs="Times New Roman"/>
                <w:color w:val="auto"/>
                <w:sz w:val="18"/>
                <w:szCs w:val="18"/>
              </w:rPr>
              <w:t>（M</w:t>
            </w:r>
            <w:r>
              <w:rPr>
                <w:rFonts w:ascii="Times New Roman" w:hAnsi="Times New Roman" w:eastAsia="宋体" w:cs="Times New Roman"/>
                <w:color w:val="auto"/>
                <w:sz w:val="18"/>
                <w:szCs w:val="18"/>
              </w:rPr>
              <w:t>P</w:t>
            </w:r>
            <w:r>
              <w:rPr>
                <w:rFonts w:hint="eastAsia" w:ascii="Times New Roman" w:hAnsi="Times New Roman" w:eastAsia="宋体" w:cs="Times New Roman"/>
                <w:color w:val="auto"/>
                <w:sz w:val="18"/>
                <w:szCs w:val="18"/>
              </w:rPr>
              <w:t>a）</w:t>
            </w:r>
          </w:p>
        </w:tc>
        <w:tc>
          <w:tcPr>
            <w:tcW w:w="999" w:type="pct"/>
            <w:vAlign w:val="center"/>
          </w:tcPr>
          <w:p w14:paraId="7F434C04">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84</w:t>
            </w:r>
          </w:p>
        </w:tc>
        <w:tc>
          <w:tcPr>
            <w:tcW w:w="999" w:type="pct"/>
            <w:vAlign w:val="center"/>
          </w:tcPr>
          <w:p w14:paraId="53C82911">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98</w:t>
            </w:r>
          </w:p>
        </w:tc>
        <w:tc>
          <w:tcPr>
            <w:tcW w:w="1000" w:type="pct"/>
            <w:vAlign w:val="center"/>
          </w:tcPr>
          <w:p w14:paraId="40DC5581">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112</w:t>
            </w:r>
          </w:p>
        </w:tc>
        <w:tc>
          <w:tcPr>
            <w:tcW w:w="1000" w:type="pct"/>
            <w:vAlign w:val="center"/>
          </w:tcPr>
          <w:p w14:paraId="5FC9180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126</w:t>
            </w:r>
          </w:p>
        </w:tc>
      </w:tr>
      <w:tr w14:paraId="7B12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999" w:type="pct"/>
            <w:vAlign w:val="center"/>
          </w:tcPr>
          <w:p w14:paraId="071DAF12">
            <w:pPr>
              <w:jc w:val="center"/>
              <w:rPr>
                <w:rFonts w:ascii="Times New Roman" w:hAnsi="Times New Roman" w:eastAsia="宋体" w:cs="Times New Roman"/>
                <w:color w:val="auto"/>
                <w:sz w:val="18"/>
                <w:szCs w:val="18"/>
              </w:rPr>
            </w:pPr>
            <m:oMath>
              <m:sSub>
                <m:sSubPr>
                  <m:ctrlPr>
                    <w:rPr>
                      <w:rFonts w:ascii="Cambria Math" w:hAnsi="Cambria Math" w:eastAsia="宋体" w:cs="Calibri"/>
                      <w:color w:val="auto"/>
                      <w:sz w:val="18"/>
                      <w:szCs w:val="18"/>
                    </w:rPr>
                  </m:ctrlPr>
                </m:sSubPr>
                <m:e>
                  <m:r>
                    <m:rPr/>
                    <w:rPr>
                      <w:rFonts w:ascii="Cambria Math" w:hAnsi="Cambria Math" w:eastAsia="宋体" w:cs="Calibri"/>
                      <w:color w:val="auto"/>
                      <w:sz w:val="18"/>
                      <w:szCs w:val="18"/>
                    </w:rPr>
                    <m:t>f</m:t>
                  </m:r>
                  <m:ctrlPr>
                    <w:rPr>
                      <w:rFonts w:ascii="Cambria Math" w:hAnsi="Cambria Math" w:eastAsia="宋体" w:cs="Calibri"/>
                      <w:color w:val="auto"/>
                      <w:sz w:val="18"/>
                      <w:szCs w:val="18"/>
                    </w:rPr>
                  </m:ctrlPr>
                </m:e>
                <m:sub>
                  <m:r>
                    <m:rPr/>
                    <w:rPr>
                      <w:rFonts w:ascii="Cambria Math" w:hAnsi="Cambria Math" w:eastAsia="宋体" w:cs="Calibri"/>
                      <w:color w:val="auto"/>
                      <w:sz w:val="18"/>
                      <w:szCs w:val="18"/>
                    </w:rPr>
                    <m:t>f</m:t>
                  </m:r>
                  <m:r>
                    <m:rPr/>
                    <w:rPr>
                      <w:rFonts w:hint="eastAsia" w:ascii="Cambria Math" w:hAnsi="Cambria Math" w:eastAsia="宋体" w:cs="Calibri"/>
                      <w:color w:val="auto"/>
                      <w:sz w:val="18"/>
                      <w:szCs w:val="18"/>
                    </w:rPr>
                    <m:t>cd</m:t>
                  </m:r>
                  <m:ctrlPr>
                    <w:rPr>
                      <w:rFonts w:ascii="Cambria Math" w:hAnsi="Cambria Math" w:eastAsia="宋体" w:cs="Calibri"/>
                      <w:color w:val="auto"/>
                      <w:sz w:val="18"/>
                      <w:szCs w:val="18"/>
                    </w:rPr>
                  </m:ctrlPr>
                </m:sub>
              </m:sSub>
            </m:oMath>
            <w:r>
              <w:rPr>
                <w:rFonts w:hint="eastAsia" w:ascii="Times New Roman" w:hAnsi="Times New Roman" w:eastAsia="宋体" w:cs="Times New Roman"/>
                <w:color w:val="auto"/>
                <w:sz w:val="18"/>
                <w:szCs w:val="18"/>
              </w:rPr>
              <w:t>（M</w:t>
            </w:r>
            <w:r>
              <w:rPr>
                <w:rFonts w:ascii="Times New Roman" w:hAnsi="Times New Roman" w:eastAsia="宋体" w:cs="Times New Roman"/>
                <w:color w:val="auto"/>
                <w:sz w:val="18"/>
                <w:szCs w:val="18"/>
              </w:rPr>
              <w:t>P</w:t>
            </w:r>
            <w:r>
              <w:rPr>
                <w:rFonts w:hint="eastAsia" w:ascii="Times New Roman" w:hAnsi="Times New Roman" w:eastAsia="宋体" w:cs="Times New Roman"/>
                <w:color w:val="auto"/>
                <w:sz w:val="18"/>
                <w:szCs w:val="18"/>
              </w:rPr>
              <w:t>a）</w:t>
            </w:r>
          </w:p>
        </w:tc>
        <w:tc>
          <w:tcPr>
            <w:tcW w:w="999" w:type="pct"/>
            <w:vAlign w:val="center"/>
          </w:tcPr>
          <w:p w14:paraId="18D1F0A0">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58</w:t>
            </w:r>
          </w:p>
        </w:tc>
        <w:tc>
          <w:tcPr>
            <w:tcW w:w="999" w:type="pct"/>
            <w:vAlign w:val="center"/>
          </w:tcPr>
          <w:p w14:paraId="4908EE9C">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68</w:t>
            </w:r>
          </w:p>
        </w:tc>
        <w:tc>
          <w:tcPr>
            <w:tcW w:w="1000" w:type="pct"/>
            <w:vAlign w:val="center"/>
          </w:tcPr>
          <w:p w14:paraId="76B6B142">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77</w:t>
            </w:r>
          </w:p>
        </w:tc>
        <w:tc>
          <w:tcPr>
            <w:tcW w:w="1000" w:type="pct"/>
            <w:vAlign w:val="center"/>
          </w:tcPr>
          <w:p w14:paraId="59BB21F8">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87</w:t>
            </w:r>
          </w:p>
        </w:tc>
      </w:tr>
    </w:tbl>
    <w:p w14:paraId="22992830">
      <w:pPr>
        <w:spacing w:line="360" w:lineRule="auto"/>
        <w:jc w:val="center"/>
        <w:rPr>
          <w:rFonts w:ascii="Times New Roman" w:hAnsi="Times New Roman" w:eastAsia="黑体" w:cs="Times New Roman"/>
          <w:color w:val="auto"/>
          <w:sz w:val="18"/>
          <w:szCs w:val="20"/>
        </w:rPr>
      </w:pPr>
    </w:p>
    <w:p w14:paraId="68A7887C">
      <w:pPr>
        <w:pStyle w:val="28"/>
        <w:rPr>
          <w:color w:val="auto"/>
        </w:rPr>
      </w:pPr>
    </w:p>
    <w:p w14:paraId="7E2BEF16">
      <w:pPr>
        <w:spacing w:line="360" w:lineRule="auto"/>
        <w:jc w:val="center"/>
        <w:rPr>
          <w:rFonts w:ascii="Times New Roman" w:hAnsi="Times New Roman" w:eastAsia="黑体" w:cs="Times New Roman"/>
          <w:color w:val="auto"/>
          <w:sz w:val="18"/>
          <w:szCs w:val="20"/>
        </w:rPr>
      </w:pPr>
      <w:r>
        <w:rPr>
          <w:rFonts w:ascii="Times New Roman" w:hAnsi="Times New Roman" w:eastAsia="黑体" w:cs="Times New Roman"/>
          <w:color w:val="auto"/>
          <w:sz w:val="18"/>
          <w:szCs w:val="20"/>
        </w:rPr>
        <w:t>表4.1.7-2 超高性能混凝土轴心抗拉强度</w:t>
      </w:r>
    </w:p>
    <w:tbl>
      <w:tblPr>
        <w:tblStyle w:val="382"/>
        <w:tblW w:w="49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687"/>
        <w:gridCol w:w="1687"/>
        <w:gridCol w:w="1688"/>
        <w:gridCol w:w="1688"/>
      </w:tblGrid>
      <w:tr w14:paraId="79BE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99" w:type="pct"/>
            <w:vAlign w:val="center"/>
          </w:tcPr>
          <w:p w14:paraId="76800A5D">
            <w:pPr>
              <w:jc w:val="center"/>
              <w:rPr>
                <w:rFonts w:ascii="Calibri" w:hAnsi="Calibri" w:eastAsia="宋体" w:cs="Calibri"/>
                <w:color w:val="auto"/>
                <w:sz w:val="18"/>
                <w:szCs w:val="18"/>
              </w:rPr>
            </w:pPr>
            <w:r>
              <w:rPr>
                <w:rFonts w:hint="eastAsia" w:ascii="Calibri" w:hAnsi="Calibri" w:eastAsia="宋体" w:cs="Calibri"/>
                <w:color w:val="auto"/>
                <w:sz w:val="18"/>
                <w:szCs w:val="18"/>
              </w:rPr>
              <w:t>强度等级</w:t>
            </w:r>
          </w:p>
        </w:tc>
        <w:tc>
          <w:tcPr>
            <w:tcW w:w="999" w:type="pct"/>
            <w:vAlign w:val="center"/>
          </w:tcPr>
          <w:p w14:paraId="291A76DD">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UT6</w:t>
            </w:r>
          </w:p>
        </w:tc>
        <w:tc>
          <w:tcPr>
            <w:tcW w:w="999" w:type="pct"/>
            <w:vAlign w:val="center"/>
          </w:tcPr>
          <w:p w14:paraId="774ED778">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UT7</w:t>
            </w:r>
          </w:p>
        </w:tc>
        <w:tc>
          <w:tcPr>
            <w:tcW w:w="1000" w:type="pct"/>
            <w:vAlign w:val="center"/>
          </w:tcPr>
          <w:p w14:paraId="26AD18F9">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UT8</w:t>
            </w:r>
          </w:p>
        </w:tc>
        <w:tc>
          <w:tcPr>
            <w:tcW w:w="1000" w:type="pct"/>
            <w:vAlign w:val="center"/>
          </w:tcPr>
          <w:p w14:paraId="59A3BE08">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UT9</w:t>
            </w:r>
          </w:p>
        </w:tc>
      </w:tr>
      <w:tr w14:paraId="36351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99" w:type="pct"/>
            <w:vAlign w:val="center"/>
          </w:tcPr>
          <w:p w14:paraId="0B272378">
            <w:pPr>
              <w:jc w:val="center"/>
              <w:rPr>
                <w:rFonts w:ascii="Times New Roman" w:hAnsi="Times New Roman" w:eastAsia="宋体" w:cs="Times New Roman"/>
                <w:color w:val="auto"/>
                <w:sz w:val="18"/>
                <w:szCs w:val="18"/>
              </w:rPr>
            </w:pPr>
            <m:oMath>
              <m:sSub>
                <m:sSubPr>
                  <m:ctrlPr>
                    <w:rPr>
                      <w:rFonts w:ascii="Cambria Math" w:hAnsi="Cambria Math" w:eastAsia="宋体" w:cs="Calibri"/>
                      <w:color w:val="auto"/>
                      <w:sz w:val="18"/>
                      <w:szCs w:val="18"/>
                    </w:rPr>
                  </m:ctrlPr>
                </m:sSubPr>
                <m:e>
                  <m:r>
                    <m:rPr/>
                    <w:rPr>
                      <w:rFonts w:ascii="Cambria Math" w:hAnsi="Cambria Math" w:eastAsia="宋体" w:cs="Calibri"/>
                      <w:color w:val="auto"/>
                      <w:sz w:val="18"/>
                      <w:szCs w:val="18"/>
                    </w:rPr>
                    <m:t>f</m:t>
                  </m:r>
                  <m:ctrlPr>
                    <w:rPr>
                      <w:rFonts w:ascii="Cambria Math" w:hAnsi="Cambria Math" w:eastAsia="宋体" w:cs="Calibri"/>
                      <w:color w:val="auto"/>
                      <w:sz w:val="18"/>
                      <w:szCs w:val="18"/>
                    </w:rPr>
                  </m:ctrlPr>
                </m:e>
                <m:sub>
                  <m:r>
                    <m:rPr/>
                    <w:rPr>
                      <w:rFonts w:ascii="Cambria Math" w:hAnsi="Cambria Math" w:eastAsia="宋体" w:cs="Calibri"/>
                      <w:color w:val="auto"/>
                      <w:sz w:val="18"/>
                      <w:szCs w:val="18"/>
                    </w:rPr>
                    <m:t>f</m:t>
                  </m:r>
                  <m:r>
                    <m:rPr/>
                    <w:rPr>
                      <w:rFonts w:hint="eastAsia" w:ascii="Cambria Math" w:hAnsi="Cambria Math" w:eastAsia="宋体" w:cs="Calibri"/>
                      <w:color w:val="auto"/>
                      <w:sz w:val="18"/>
                      <w:szCs w:val="18"/>
                    </w:rPr>
                    <m:t>tk</m:t>
                  </m:r>
                  <m:ctrlPr>
                    <w:rPr>
                      <w:rFonts w:ascii="Cambria Math" w:hAnsi="Cambria Math" w:eastAsia="宋体" w:cs="Calibri"/>
                      <w:color w:val="auto"/>
                      <w:sz w:val="18"/>
                      <w:szCs w:val="18"/>
                    </w:rPr>
                  </m:ctrlPr>
                </m:sub>
              </m:sSub>
            </m:oMath>
            <w:r>
              <w:rPr>
                <w:rFonts w:hint="eastAsia" w:ascii="Times New Roman" w:hAnsi="Times New Roman" w:eastAsia="宋体" w:cs="Times New Roman"/>
                <w:color w:val="auto"/>
                <w:sz w:val="18"/>
                <w:szCs w:val="18"/>
              </w:rPr>
              <w:t>（M</w:t>
            </w:r>
            <w:r>
              <w:rPr>
                <w:rFonts w:ascii="Times New Roman" w:hAnsi="Times New Roman" w:eastAsia="宋体" w:cs="Times New Roman"/>
                <w:color w:val="auto"/>
                <w:sz w:val="18"/>
                <w:szCs w:val="18"/>
              </w:rPr>
              <w:t>P</w:t>
            </w:r>
            <w:r>
              <w:rPr>
                <w:rFonts w:hint="eastAsia" w:ascii="Times New Roman" w:hAnsi="Times New Roman" w:eastAsia="宋体" w:cs="Times New Roman"/>
                <w:color w:val="auto"/>
                <w:sz w:val="18"/>
                <w:szCs w:val="18"/>
              </w:rPr>
              <w:t>a）</w:t>
            </w:r>
          </w:p>
        </w:tc>
        <w:tc>
          <w:tcPr>
            <w:tcW w:w="999" w:type="pct"/>
            <w:vAlign w:val="center"/>
          </w:tcPr>
          <w:p w14:paraId="77886504">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w:t>
            </w:r>
          </w:p>
        </w:tc>
        <w:tc>
          <w:tcPr>
            <w:tcW w:w="999" w:type="pct"/>
            <w:vAlign w:val="center"/>
          </w:tcPr>
          <w:p w14:paraId="4698540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7</w:t>
            </w:r>
          </w:p>
        </w:tc>
        <w:tc>
          <w:tcPr>
            <w:tcW w:w="1000" w:type="pct"/>
            <w:vAlign w:val="center"/>
          </w:tcPr>
          <w:p w14:paraId="5CDC3089">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8</w:t>
            </w:r>
          </w:p>
        </w:tc>
        <w:tc>
          <w:tcPr>
            <w:tcW w:w="1000" w:type="pct"/>
            <w:vAlign w:val="center"/>
          </w:tcPr>
          <w:p w14:paraId="063EE71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9</w:t>
            </w:r>
          </w:p>
        </w:tc>
      </w:tr>
      <w:tr w14:paraId="30596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99" w:type="pct"/>
            <w:vAlign w:val="center"/>
          </w:tcPr>
          <w:p w14:paraId="2E3C02FB">
            <w:pPr>
              <w:jc w:val="center"/>
              <w:rPr>
                <w:rFonts w:ascii="Times New Roman" w:hAnsi="Times New Roman" w:eastAsia="宋体" w:cs="Times New Roman"/>
                <w:color w:val="auto"/>
                <w:sz w:val="18"/>
                <w:szCs w:val="18"/>
              </w:rPr>
            </w:pPr>
            <m:oMath>
              <m:sSub>
                <m:sSubPr>
                  <m:ctrlPr>
                    <w:rPr>
                      <w:rFonts w:ascii="Cambria Math" w:hAnsi="Cambria Math" w:eastAsia="宋体" w:cs="Calibri"/>
                      <w:color w:val="auto"/>
                      <w:sz w:val="18"/>
                      <w:szCs w:val="18"/>
                    </w:rPr>
                  </m:ctrlPr>
                </m:sSubPr>
                <m:e>
                  <m:r>
                    <m:rPr/>
                    <w:rPr>
                      <w:rFonts w:ascii="Cambria Math" w:hAnsi="Cambria Math" w:eastAsia="宋体" w:cs="Calibri"/>
                      <w:color w:val="auto"/>
                      <w:sz w:val="18"/>
                      <w:szCs w:val="18"/>
                    </w:rPr>
                    <m:t>f</m:t>
                  </m:r>
                  <m:ctrlPr>
                    <w:rPr>
                      <w:rFonts w:ascii="Cambria Math" w:hAnsi="Cambria Math" w:eastAsia="宋体" w:cs="Calibri"/>
                      <w:color w:val="auto"/>
                      <w:sz w:val="18"/>
                      <w:szCs w:val="18"/>
                    </w:rPr>
                  </m:ctrlPr>
                </m:e>
                <m:sub>
                  <m:r>
                    <m:rPr/>
                    <w:rPr>
                      <w:rFonts w:ascii="Cambria Math" w:hAnsi="Cambria Math" w:eastAsia="宋体" w:cs="Calibri"/>
                      <w:color w:val="auto"/>
                      <w:sz w:val="18"/>
                      <w:szCs w:val="18"/>
                    </w:rPr>
                    <m:t>f</m:t>
                  </m:r>
                  <m:r>
                    <m:rPr/>
                    <w:rPr>
                      <w:rFonts w:hint="eastAsia" w:ascii="Cambria Math" w:hAnsi="Cambria Math" w:eastAsia="宋体" w:cs="Calibri"/>
                      <w:color w:val="auto"/>
                      <w:sz w:val="18"/>
                      <w:szCs w:val="18"/>
                    </w:rPr>
                    <m:t>td</m:t>
                  </m:r>
                  <m:ctrlPr>
                    <w:rPr>
                      <w:rFonts w:ascii="Cambria Math" w:hAnsi="Cambria Math" w:eastAsia="宋体" w:cs="Calibri"/>
                      <w:color w:val="auto"/>
                      <w:sz w:val="18"/>
                      <w:szCs w:val="18"/>
                    </w:rPr>
                  </m:ctrlPr>
                </m:sub>
              </m:sSub>
            </m:oMath>
            <w:r>
              <w:rPr>
                <w:rFonts w:hint="eastAsia" w:ascii="Times New Roman" w:hAnsi="Times New Roman" w:eastAsia="宋体" w:cs="Times New Roman"/>
                <w:color w:val="auto"/>
                <w:sz w:val="18"/>
                <w:szCs w:val="18"/>
              </w:rPr>
              <w:t>（M</w:t>
            </w:r>
            <w:r>
              <w:rPr>
                <w:rFonts w:ascii="Times New Roman" w:hAnsi="Times New Roman" w:eastAsia="宋体" w:cs="Times New Roman"/>
                <w:color w:val="auto"/>
                <w:sz w:val="18"/>
                <w:szCs w:val="18"/>
              </w:rPr>
              <w:t>P</w:t>
            </w:r>
            <w:r>
              <w:rPr>
                <w:rFonts w:hint="eastAsia" w:ascii="Times New Roman" w:hAnsi="Times New Roman" w:eastAsia="宋体" w:cs="Times New Roman"/>
                <w:color w:val="auto"/>
                <w:sz w:val="18"/>
                <w:szCs w:val="18"/>
              </w:rPr>
              <w:t>a）</w:t>
            </w:r>
          </w:p>
        </w:tc>
        <w:tc>
          <w:tcPr>
            <w:tcW w:w="999" w:type="pct"/>
            <w:vAlign w:val="center"/>
          </w:tcPr>
          <w:p w14:paraId="4F4B1DD7">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4.1/K</w:t>
            </w:r>
          </w:p>
        </w:tc>
        <w:tc>
          <w:tcPr>
            <w:tcW w:w="999" w:type="pct"/>
            <w:vAlign w:val="center"/>
          </w:tcPr>
          <w:p w14:paraId="0FC4A5F6">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4.8/K</w:t>
            </w:r>
          </w:p>
        </w:tc>
        <w:tc>
          <w:tcPr>
            <w:tcW w:w="1000" w:type="pct"/>
            <w:vAlign w:val="center"/>
          </w:tcPr>
          <w:p w14:paraId="061F9494">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5.5/K</w:t>
            </w:r>
          </w:p>
        </w:tc>
        <w:tc>
          <w:tcPr>
            <w:tcW w:w="1000" w:type="pct"/>
            <w:vAlign w:val="center"/>
          </w:tcPr>
          <w:p w14:paraId="0493ACD0">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6.2/K</w:t>
            </w:r>
          </w:p>
        </w:tc>
      </w:tr>
    </w:tbl>
    <w:p w14:paraId="6FC9D782">
      <w:pPr>
        <w:spacing w:line="360" w:lineRule="auto"/>
        <w:rPr>
          <w:rFonts w:ascii="Times New Roman" w:hAnsi="Times New Roman" w:eastAsia="宋体" w:cs="Times New Roman"/>
          <w:color w:val="auto"/>
          <w:sz w:val="18"/>
          <w:szCs w:val="18"/>
        </w:rPr>
      </w:pPr>
      <w:r>
        <w:rPr>
          <w:rFonts w:hint="eastAsia" w:ascii="Times New Roman" w:hAnsi="Times New Roman" w:eastAsia="宋体" w:cs="Times New Roman"/>
          <w:b/>
          <w:bCs/>
          <w:color w:val="auto"/>
          <w:sz w:val="18"/>
          <w:szCs w:val="18"/>
        </w:rPr>
        <w:t>注：</w:t>
      </w:r>
      <w:r>
        <w:rPr>
          <w:rFonts w:ascii="Times New Roman" w:hAnsi="Times New Roman" w:eastAsia="华文仿宋" w:cs="Times New Roman"/>
          <w:color w:val="auto"/>
          <w:sz w:val="18"/>
          <w:szCs w:val="18"/>
        </w:rPr>
        <w:t>K为纤维取向系数，应按本规程第4.1.6条规定取值</w:t>
      </w:r>
      <w:r>
        <w:rPr>
          <w:rFonts w:ascii="Times New Roman" w:hAnsi="Times New Roman" w:eastAsia="宋体" w:cs="Times New Roman"/>
          <w:color w:val="auto"/>
          <w:sz w:val="18"/>
          <w:szCs w:val="18"/>
        </w:rPr>
        <w:t>。</w:t>
      </w:r>
    </w:p>
    <w:p w14:paraId="2D5D8A4B">
      <w:pPr>
        <w:pStyle w:val="326"/>
        <w:rPr>
          <w:color w:val="auto"/>
          <w:szCs w:val="21"/>
        </w:rPr>
      </w:pPr>
      <w:r>
        <w:rPr>
          <w:rFonts w:hint="eastAsia"/>
          <w:b/>
          <w:bCs/>
          <w:color w:val="auto"/>
        </w:rPr>
        <w:t>4</w:t>
      </w:r>
      <w:r>
        <w:rPr>
          <w:b/>
          <w:bCs/>
          <w:color w:val="auto"/>
        </w:rPr>
        <w:t>.1</w:t>
      </w:r>
      <w:r>
        <w:rPr>
          <w:rFonts w:hint="eastAsia"/>
          <w:b/>
          <w:bCs/>
          <w:color w:val="auto"/>
        </w:rPr>
        <w:t>.8</w:t>
      </w:r>
      <w:r>
        <w:rPr>
          <w:color w:val="auto"/>
          <w:szCs w:val="21"/>
        </w:rPr>
        <w:t xml:space="preserve">  </w:t>
      </w:r>
      <w:r>
        <w:rPr>
          <w:rFonts w:hint="eastAsia"/>
          <w:color w:val="auto"/>
          <w:szCs w:val="21"/>
        </w:rPr>
        <w:t>超高性能混凝土弹性模量</w:t>
      </w:r>
      <m:oMath>
        <m:sSub>
          <m:sSubPr>
            <m:ctrlPr>
              <w:rPr>
                <w:rFonts w:ascii="Cambria Math" w:hAnsi="Cambria Math"/>
                <w:color w:val="auto"/>
                <w:szCs w:val="21"/>
              </w:rPr>
            </m:ctrlPr>
          </m:sSubPr>
          <m:e>
            <m:r>
              <m:rPr/>
              <w:rPr>
                <w:rFonts w:ascii="Cambria Math" w:hAnsi="Cambria Math"/>
                <w:color w:val="auto"/>
                <w:szCs w:val="21"/>
              </w:rPr>
              <m:t>E</m:t>
            </m:r>
            <m:ctrlPr>
              <w:rPr>
                <w:rFonts w:ascii="Cambria Math" w:hAnsi="Cambria Math"/>
                <w:color w:val="auto"/>
                <w:szCs w:val="21"/>
              </w:rPr>
            </m:ctrlPr>
          </m:e>
          <m:sub>
            <m:r>
              <m:rPr/>
              <w:rPr>
                <w:rFonts w:hint="eastAsia" w:ascii="Cambria Math" w:hAnsi="Cambria Math"/>
                <w:color w:val="auto"/>
                <w:szCs w:val="21"/>
              </w:rPr>
              <m:t>c</m:t>
            </m:r>
            <m:ctrlPr>
              <w:rPr>
                <w:rFonts w:ascii="Cambria Math" w:hAnsi="Cambria Math"/>
                <w:color w:val="auto"/>
                <w:szCs w:val="21"/>
              </w:rPr>
            </m:ctrlPr>
          </m:sub>
        </m:sSub>
      </m:oMath>
      <w:r>
        <w:rPr>
          <w:rFonts w:hint="eastAsia"/>
          <w:color w:val="auto"/>
          <w:szCs w:val="21"/>
        </w:rPr>
        <w:t>宜根据现行国家标准《活性粉末混凝土》G</w:t>
      </w:r>
      <w:r>
        <w:rPr>
          <w:color w:val="auto"/>
          <w:szCs w:val="21"/>
        </w:rPr>
        <w:t>B/T 31387</w:t>
      </w:r>
      <w:r>
        <w:rPr>
          <w:rFonts w:hint="eastAsia"/>
          <w:color w:val="auto"/>
          <w:szCs w:val="21"/>
        </w:rPr>
        <w:t>的规定进行测试。需要进行结构预测或计算分析时，超高性能混凝土弹性模量</w:t>
      </w:r>
      <m:oMath>
        <m:sSub>
          <m:sSubPr>
            <m:ctrlPr>
              <w:rPr>
                <w:rFonts w:ascii="Cambria Math" w:hAnsi="Cambria Math"/>
                <w:color w:val="auto"/>
                <w:szCs w:val="21"/>
              </w:rPr>
            </m:ctrlPr>
          </m:sSubPr>
          <m:e>
            <m:r>
              <m:rPr/>
              <w:rPr>
                <w:rFonts w:ascii="Cambria Math" w:hAnsi="Cambria Math"/>
                <w:color w:val="auto"/>
                <w:szCs w:val="21"/>
              </w:rPr>
              <m:t>E</m:t>
            </m:r>
            <m:ctrlPr>
              <w:rPr>
                <w:rFonts w:ascii="Cambria Math" w:hAnsi="Cambria Math"/>
                <w:color w:val="auto"/>
                <w:szCs w:val="21"/>
              </w:rPr>
            </m:ctrlPr>
          </m:e>
          <m:sub>
            <m:r>
              <m:rPr/>
              <w:rPr>
                <w:rFonts w:ascii="Cambria Math" w:hAnsi="Cambria Math"/>
                <w:color w:val="auto"/>
                <w:szCs w:val="21"/>
              </w:rPr>
              <m:t>f</m:t>
            </m:r>
            <m:r>
              <m:rPr/>
              <w:rPr>
                <w:rFonts w:hint="eastAsia" w:ascii="Cambria Math" w:hAnsi="Cambria Math"/>
                <w:color w:val="auto"/>
                <w:szCs w:val="21"/>
              </w:rPr>
              <m:t>c</m:t>
            </m:r>
            <m:ctrlPr>
              <w:rPr>
                <w:rFonts w:ascii="Cambria Math" w:hAnsi="Cambria Math"/>
                <w:color w:val="auto"/>
                <w:szCs w:val="21"/>
              </w:rPr>
            </m:ctrlPr>
          </m:sub>
        </m:sSub>
      </m:oMath>
      <w:r>
        <w:rPr>
          <w:rFonts w:hint="eastAsia"/>
          <w:color w:val="auto"/>
          <w:szCs w:val="21"/>
        </w:rPr>
        <w:t>可按表4</w:t>
      </w:r>
      <w:r>
        <w:rPr>
          <w:color w:val="auto"/>
          <w:szCs w:val="21"/>
        </w:rPr>
        <w:t>.1.8</w:t>
      </w:r>
      <w:r>
        <w:rPr>
          <w:rFonts w:hint="eastAsia"/>
          <w:color w:val="auto"/>
          <w:szCs w:val="21"/>
        </w:rPr>
        <w:t>的规定采用。</w:t>
      </w:r>
    </w:p>
    <w:p w14:paraId="788F20A8">
      <w:pPr>
        <w:spacing w:line="360" w:lineRule="auto"/>
        <w:jc w:val="center"/>
        <w:rPr>
          <w:rFonts w:ascii="Times New Roman" w:hAnsi="Times New Roman" w:eastAsia="黑体" w:cs="Times New Roman"/>
          <w:color w:val="auto"/>
          <w:sz w:val="18"/>
          <w:szCs w:val="20"/>
        </w:rPr>
      </w:pPr>
      <w:r>
        <w:rPr>
          <w:rFonts w:ascii="Times New Roman" w:hAnsi="Times New Roman" w:eastAsia="黑体" w:cs="Times New Roman"/>
          <w:color w:val="auto"/>
          <w:sz w:val="18"/>
          <w:szCs w:val="20"/>
        </w:rPr>
        <w:t>表4.1.8 超高性能混凝土弹性模量</w:t>
      </w:r>
    </w:p>
    <w:tbl>
      <w:tblPr>
        <w:tblStyle w:val="382"/>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6"/>
        <w:gridCol w:w="1619"/>
        <w:gridCol w:w="1619"/>
        <w:gridCol w:w="1619"/>
        <w:gridCol w:w="1617"/>
      </w:tblGrid>
      <w:tr w14:paraId="4435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192" w:type="pct"/>
            <w:vAlign w:val="center"/>
          </w:tcPr>
          <w:p w14:paraId="25E4BCD4">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强度等级</w:t>
            </w:r>
          </w:p>
        </w:tc>
        <w:tc>
          <w:tcPr>
            <w:tcW w:w="952" w:type="pct"/>
            <w:vAlign w:val="center"/>
          </w:tcPr>
          <w:p w14:paraId="532CC4CA">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UC120</w:t>
            </w:r>
          </w:p>
        </w:tc>
        <w:tc>
          <w:tcPr>
            <w:tcW w:w="952" w:type="pct"/>
            <w:vAlign w:val="center"/>
          </w:tcPr>
          <w:p w14:paraId="778666ED">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UC140</w:t>
            </w:r>
          </w:p>
        </w:tc>
        <w:tc>
          <w:tcPr>
            <w:tcW w:w="952" w:type="pct"/>
            <w:vAlign w:val="center"/>
          </w:tcPr>
          <w:p w14:paraId="7A27815D">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UC160</w:t>
            </w:r>
          </w:p>
        </w:tc>
        <w:tc>
          <w:tcPr>
            <w:tcW w:w="951" w:type="pct"/>
            <w:vAlign w:val="center"/>
          </w:tcPr>
          <w:p w14:paraId="589AC2F2">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UC180</w:t>
            </w:r>
          </w:p>
        </w:tc>
      </w:tr>
      <w:tr w14:paraId="18454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92" w:type="pct"/>
            <w:vAlign w:val="center"/>
          </w:tcPr>
          <w:p w14:paraId="59A0BB0A">
            <w:pPr>
              <w:jc w:val="center"/>
              <w:rPr>
                <w:rFonts w:ascii="Times New Roman" w:hAnsi="Times New Roman" w:eastAsia="宋体" w:cs="Times New Roman"/>
                <w:color w:val="auto"/>
                <w:sz w:val="18"/>
                <w:szCs w:val="18"/>
              </w:rPr>
            </w:pPr>
            <m:oMath>
              <m:sSub>
                <m:sSubPr>
                  <m:ctrlPr>
                    <w:rPr>
                      <w:rFonts w:ascii="Cambria Math" w:hAnsi="Cambria Math" w:eastAsia="宋体" w:cs="Times New Roman"/>
                      <w:color w:val="auto"/>
                      <w:sz w:val="18"/>
                      <w:szCs w:val="18"/>
                    </w:rPr>
                  </m:ctrlPr>
                </m:sSubPr>
                <m:e>
                  <m:r>
                    <m:rPr/>
                    <w:rPr>
                      <w:rFonts w:ascii="Cambria Math" w:hAnsi="Cambria Math" w:eastAsia="宋体" w:cs="Times New Roman"/>
                      <w:color w:val="auto"/>
                      <w:sz w:val="18"/>
                      <w:szCs w:val="18"/>
                    </w:rPr>
                    <m:t>E</m:t>
                  </m:r>
                  <m:ctrlPr>
                    <w:rPr>
                      <w:rFonts w:ascii="Cambria Math" w:hAnsi="Cambria Math" w:eastAsia="宋体" w:cs="Times New Roman"/>
                      <w:color w:val="auto"/>
                      <w:sz w:val="18"/>
                      <w:szCs w:val="18"/>
                    </w:rPr>
                  </m:ctrlPr>
                </m:e>
                <m:sub>
                  <m:r>
                    <m:rPr/>
                    <w:rPr>
                      <w:rFonts w:ascii="Cambria Math" w:hAnsi="Cambria Math" w:eastAsia="宋体" w:cs="Times New Roman"/>
                      <w:color w:val="auto"/>
                      <w:sz w:val="18"/>
                      <w:szCs w:val="18"/>
                    </w:rPr>
                    <m:t>f</m:t>
                  </m:r>
                  <m:r>
                    <m:rPr/>
                    <w:rPr>
                      <w:rFonts w:hint="eastAsia" w:ascii="Cambria Math" w:hAnsi="Cambria Math" w:eastAsia="宋体" w:cs="Times New Roman"/>
                      <w:color w:val="auto"/>
                      <w:sz w:val="18"/>
                      <w:szCs w:val="18"/>
                    </w:rPr>
                    <m:t>c</m:t>
                  </m:r>
                  <m:ctrlPr>
                    <w:rPr>
                      <w:rFonts w:ascii="Cambria Math" w:hAnsi="Cambria Math" w:eastAsia="宋体" w:cs="Times New Roman"/>
                      <w:color w:val="auto"/>
                      <w:sz w:val="18"/>
                      <w:szCs w:val="18"/>
                    </w:rPr>
                  </m:ctrlPr>
                </m:sub>
              </m:sSub>
            </m:oMath>
            <w:r>
              <w:rPr>
                <w:rFonts w:hint="eastAsia" w:ascii="Times New Roman" w:hAnsi="Times New Roman" w:eastAsia="宋体" w:cs="Times New Roman"/>
                <w:color w:val="auto"/>
                <w:sz w:val="18"/>
                <w:szCs w:val="18"/>
              </w:rPr>
              <w:t>（×1</w:t>
            </w:r>
            <w:r>
              <w:rPr>
                <w:rFonts w:ascii="Times New Roman" w:hAnsi="Times New Roman" w:eastAsia="宋体" w:cs="Times New Roman"/>
                <w:color w:val="auto"/>
                <w:sz w:val="18"/>
                <w:szCs w:val="18"/>
              </w:rPr>
              <w:t>0</w:t>
            </w:r>
            <w:r>
              <w:rPr>
                <w:rFonts w:ascii="Times New Roman" w:hAnsi="Times New Roman" w:eastAsia="宋体" w:cs="Times New Roman"/>
                <w:color w:val="auto"/>
                <w:sz w:val="18"/>
                <w:szCs w:val="18"/>
                <w:vertAlign w:val="superscript"/>
              </w:rPr>
              <w:t>3</w:t>
            </w:r>
            <w:r>
              <w:rPr>
                <w:rFonts w:ascii="Times New Roman" w:hAnsi="Times New Roman" w:eastAsia="宋体" w:cs="Times New Roman"/>
                <w:color w:val="auto"/>
                <w:sz w:val="18"/>
                <w:szCs w:val="18"/>
              </w:rPr>
              <w:t>N/</w:t>
            </w:r>
            <w:r>
              <w:rPr>
                <w:rFonts w:hint="eastAsia" w:ascii="Times New Roman" w:hAnsi="Times New Roman" w:eastAsia="宋体" w:cs="Times New Roman"/>
                <w:color w:val="auto"/>
                <w:sz w:val="18"/>
                <w:szCs w:val="18"/>
              </w:rPr>
              <w:t>mm</w:t>
            </w:r>
            <w:r>
              <w:rPr>
                <w:rFonts w:ascii="Times New Roman" w:hAnsi="Times New Roman" w:eastAsia="宋体" w:cs="Times New Roman"/>
                <w:color w:val="auto"/>
                <w:sz w:val="18"/>
                <w:szCs w:val="18"/>
                <w:vertAlign w:val="superscript"/>
              </w:rPr>
              <w:t>2</w:t>
            </w:r>
            <w:r>
              <w:rPr>
                <w:rFonts w:hint="eastAsia" w:ascii="Times New Roman" w:hAnsi="Times New Roman" w:eastAsia="宋体" w:cs="Times New Roman"/>
                <w:color w:val="auto"/>
                <w:sz w:val="18"/>
                <w:szCs w:val="18"/>
              </w:rPr>
              <w:t>）</w:t>
            </w:r>
          </w:p>
        </w:tc>
        <w:tc>
          <w:tcPr>
            <w:tcW w:w="952" w:type="pct"/>
            <w:vAlign w:val="center"/>
          </w:tcPr>
          <w:p w14:paraId="06345344">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41.9</w:t>
            </w:r>
          </w:p>
        </w:tc>
        <w:tc>
          <w:tcPr>
            <w:tcW w:w="952" w:type="pct"/>
            <w:vAlign w:val="center"/>
          </w:tcPr>
          <w:p w14:paraId="206B0902">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44.3</w:t>
            </w:r>
          </w:p>
        </w:tc>
        <w:tc>
          <w:tcPr>
            <w:tcW w:w="952" w:type="pct"/>
            <w:vAlign w:val="center"/>
          </w:tcPr>
          <w:p w14:paraId="45455922">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46.2</w:t>
            </w:r>
          </w:p>
        </w:tc>
        <w:tc>
          <w:tcPr>
            <w:tcW w:w="951" w:type="pct"/>
            <w:vAlign w:val="center"/>
          </w:tcPr>
          <w:p w14:paraId="10794B2A">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47.9</w:t>
            </w:r>
          </w:p>
        </w:tc>
      </w:tr>
    </w:tbl>
    <w:p w14:paraId="35BF8B8D">
      <w:pPr>
        <w:pStyle w:val="326"/>
        <w:rPr>
          <w:color w:val="auto"/>
          <w:szCs w:val="21"/>
        </w:rPr>
      </w:pPr>
      <w:r>
        <w:rPr>
          <w:rFonts w:hint="eastAsia"/>
          <w:b/>
          <w:bCs/>
          <w:color w:val="auto"/>
        </w:rPr>
        <w:t>4</w:t>
      </w:r>
      <w:r>
        <w:rPr>
          <w:b/>
          <w:bCs/>
          <w:color w:val="auto"/>
        </w:rPr>
        <w:t>.1.9</w:t>
      </w:r>
      <w:r>
        <w:rPr>
          <w:color w:val="auto"/>
          <w:szCs w:val="21"/>
        </w:rPr>
        <w:t xml:space="preserve">  </w:t>
      </w:r>
      <w:r>
        <w:rPr>
          <w:rFonts w:hint="eastAsia"/>
          <w:color w:val="auto"/>
          <w:szCs w:val="21"/>
        </w:rPr>
        <w:t>钢筋超高性能混凝土容重取值不宜小于2</w:t>
      </w:r>
      <w:r>
        <w:rPr>
          <w:color w:val="auto"/>
          <w:szCs w:val="21"/>
        </w:rPr>
        <w:t>7</w:t>
      </w:r>
      <w:r>
        <w:rPr>
          <w:rFonts w:hint="eastAsia"/>
          <w:color w:val="auto"/>
          <w:szCs w:val="21"/>
        </w:rPr>
        <w:t>k</w:t>
      </w:r>
      <w:r>
        <w:rPr>
          <w:color w:val="auto"/>
          <w:szCs w:val="21"/>
        </w:rPr>
        <w:t>N</w:t>
      </w:r>
      <w:r>
        <w:rPr>
          <w:rFonts w:hint="eastAsia"/>
          <w:color w:val="auto"/>
          <w:szCs w:val="21"/>
        </w:rPr>
        <w:t>/</w:t>
      </w:r>
      <w:r>
        <w:rPr>
          <w:color w:val="auto"/>
          <w:szCs w:val="21"/>
        </w:rPr>
        <w:t>m</w:t>
      </w:r>
      <w:r>
        <w:rPr>
          <w:color w:val="auto"/>
          <w:szCs w:val="21"/>
          <w:vertAlign w:val="superscript"/>
        </w:rPr>
        <w:t>3</w:t>
      </w:r>
      <w:r>
        <w:rPr>
          <w:rFonts w:hint="eastAsia"/>
          <w:color w:val="auto"/>
          <w:szCs w:val="21"/>
        </w:rPr>
        <w:t>。</w:t>
      </w:r>
    </w:p>
    <w:p w14:paraId="1059824F">
      <w:pPr>
        <w:pStyle w:val="326"/>
        <w:rPr>
          <w:color w:val="auto"/>
          <w:szCs w:val="21"/>
        </w:rPr>
      </w:pPr>
      <w:r>
        <w:rPr>
          <w:b/>
          <w:bCs/>
          <w:color w:val="auto"/>
        </w:rPr>
        <w:t>4.1.10</w:t>
      </w:r>
      <w:r>
        <w:rPr>
          <w:color w:val="auto"/>
          <w:szCs w:val="21"/>
        </w:rPr>
        <w:t xml:space="preserve">  </w:t>
      </w:r>
      <w:r>
        <w:rPr>
          <w:rFonts w:hint="eastAsia"/>
          <w:color w:val="auto"/>
          <w:szCs w:val="21"/>
        </w:rPr>
        <w:t>超高性能混凝土泊松比</w:t>
      </w:r>
      <m:oMath>
        <m:sSub>
          <m:sSubPr>
            <m:ctrlPr>
              <w:rPr>
                <w:rFonts w:ascii="Cambria Math" w:hAnsi="Cambria Math"/>
                <w:color w:val="auto"/>
                <w:szCs w:val="21"/>
              </w:rPr>
            </m:ctrlPr>
          </m:sSubPr>
          <m:e>
            <m:r>
              <m:rPr/>
              <w:rPr>
                <w:rFonts w:ascii="Cambria Math" w:hAnsi="Cambria Math"/>
                <w:color w:val="auto"/>
                <w:szCs w:val="21"/>
              </w:rPr>
              <m:t>μ</m:t>
            </m:r>
            <m:ctrlPr>
              <w:rPr>
                <w:rFonts w:ascii="Cambria Math" w:hAnsi="Cambria Math"/>
                <w:color w:val="auto"/>
                <w:szCs w:val="21"/>
              </w:rPr>
            </m:ctrlPr>
          </m:e>
          <m:sub>
            <m:r>
              <m:rPr/>
              <w:rPr>
                <w:rFonts w:hint="eastAsia" w:ascii="Cambria Math" w:hAnsi="Cambria Math"/>
                <w:color w:val="auto"/>
                <w:szCs w:val="21"/>
              </w:rPr>
              <m:t>c</m:t>
            </m:r>
            <m:ctrlPr>
              <w:rPr>
                <w:rFonts w:ascii="Cambria Math" w:hAnsi="Cambria Math"/>
                <w:color w:val="auto"/>
                <w:szCs w:val="21"/>
              </w:rPr>
            </m:ctrlPr>
          </m:sub>
        </m:sSub>
      </m:oMath>
      <w:r>
        <w:rPr>
          <w:rFonts w:hint="eastAsia"/>
          <w:color w:val="auto"/>
          <w:szCs w:val="21"/>
        </w:rPr>
        <w:t>可取0</w:t>
      </w:r>
      <w:r>
        <w:rPr>
          <w:color w:val="auto"/>
          <w:szCs w:val="21"/>
        </w:rPr>
        <w:t>.2</w:t>
      </w:r>
      <w:r>
        <w:rPr>
          <w:rFonts w:hint="eastAsia"/>
          <w:color w:val="auto"/>
          <w:szCs w:val="21"/>
        </w:rPr>
        <w:t>，超高性能混凝土温度线膨胀系数</w:t>
      </w:r>
      <m:oMath>
        <m:sSub>
          <m:sSubPr>
            <m:ctrlPr>
              <w:rPr>
                <w:rFonts w:ascii="Cambria Math" w:hAnsi="Cambria Math"/>
                <w:color w:val="auto"/>
                <w:szCs w:val="21"/>
              </w:rPr>
            </m:ctrlPr>
          </m:sSubPr>
          <m:e>
            <m:r>
              <m:rPr/>
              <w:rPr>
                <w:rFonts w:ascii="Cambria Math" w:hAnsi="Cambria Math"/>
                <w:color w:val="auto"/>
                <w:szCs w:val="21"/>
              </w:rPr>
              <m:t>α</m:t>
            </m:r>
            <m:ctrlPr>
              <w:rPr>
                <w:rFonts w:ascii="Cambria Math" w:hAnsi="Cambria Math"/>
                <w:color w:val="auto"/>
                <w:szCs w:val="21"/>
              </w:rPr>
            </m:ctrlPr>
          </m:e>
          <m:sub>
            <m:r>
              <m:rPr/>
              <w:rPr>
                <w:rFonts w:hint="eastAsia" w:ascii="Cambria Math" w:hAnsi="Cambria Math"/>
                <w:color w:val="auto"/>
                <w:szCs w:val="21"/>
              </w:rPr>
              <m:t>c</m:t>
            </m:r>
            <m:ctrlPr>
              <w:rPr>
                <w:rFonts w:ascii="Cambria Math" w:hAnsi="Cambria Math"/>
                <w:color w:val="auto"/>
                <w:szCs w:val="21"/>
              </w:rPr>
            </m:ctrlPr>
          </m:sub>
        </m:sSub>
      </m:oMath>
      <w:r>
        <w:rPr>
          <w:rFonts w:hint="eastAsia"/>
          <w:color w:val="auto"/>
          <w:szCs w:val="21"/>
        </w:rPr>
        <w:t>可取1</w:t>
      </w:r>
      <w:r>
        <w:rPr>
          <w:color w:val="auto"/>
          <w:szCs w:val="21"/>
        </w:rPr>
        <w:t>.1</w:t>
      </w:r>
      <w:r>
        <w:rPr>
          <w:rFonts w:hint="eastAsia"/>
          <w:color w:val="auto"/>
          <w:szCs w:val="21"/>
        </w:rPr>
        <w:t>×</w:t>
      </w:r>
      <w:r>
        <w:rPr>
          <w:color w:val="auto"/>
          <w:szCs w:val="21"/>
        </w:rPr>
        <w:t>10</w:t>
      </w:r>
      <w:r>
        <w:rPr>
          <w:color w:val="auto"/>
          <w:szCs w:val="21"/>
          <w:vertAlign w:val="superscript"/>
        </w:rPr>
        <w:t>-5</w:t>
      </w:r>
      <w:r>
        <w:rPr>
          <w:color w:val="auto"/>
          <w:szCs w:val="21"/>
        </w:rPr>
        <w:t>/</w:t>
      </w:r>
      <w:r>
        <w:rPr>
          <w:rFonts w:hint="eastAsia"/>
          <w:color w:val="auto"/>
          <w:szCs w:val="21"/>
        </w:rPr>
        <w:t>℃。</w:t>
      </w:r>
    </w:p>
    <w:p w14:paraId="54E8BB42">
      <w:pPr>
        <w:pStyle w:val="326"/>
        <w:rPr>
          <w:color w:val="auto"/>
          <w:szCs w:val="21"/>
        </w:rPr>
      </w:pPr>
      <w:r>
        <w:rPr>
          <w:rFonts w:hint="eastAsia"/>
          <w:b/>
          <w:bCs/>
          <w:color w:val="auto"/>
        </w:rPr>
        <w:t>4</w:t>
      </w:r>
      <w:r>
        <w:rPr>
          <w:b/>
          <w:bCs/>
          <w:color w:val="auto"/>
        </w:rPr>
        <w:t>.1.11</w:t>
      </w:r>
      <w:r>
        <w:rPr>
          <w:color w:val="auto"/>
          <w:szCs w:val="21"/>
        </w:rPr>
        <w:t xml:space="preserve">  </w:t>
      </w:r>
      <w:r>
        <w:rPr>
          <w:rFonts w:hint="eastAsia"/>
          <w:color w:val="auto"/>
          <w:szCs w:val="21"/>
        </w:rPr>
        <w:t>超高性能混凝土坍落扩展度宜大于600mm。</w:t>
      </w:r>
    </w:p>
    <w:p w14:paraId="7F64B368">
      <w:pPr>
        <w:pStyle w:val="326"/>
        <w:rPr>
          <w:color w:val="auto"/>
          <w:szCs w:val="21"/>
        </w:rPr>
      </w:pPr>
      <w:r>
        <w:rPr>
          <w:rFonts w:hint="eastAsia"/>
          <w:b/>
          <w:bCs/>
          <w:color w:val="auto"/>
        </w:rPr>
        <w:t>4</w:t>
      </w:r>
      <w:r>
        <w:rPr>
          <w:b/>
          <w:bCs/>
          <w:color w:val="auto"/>
        </w:rPr>
        <w:t>.1.12</w:t>
      </w:r>
      <w:r>
        <w:rPr>
          <w:color w:val="auto"/>
          <w:szCs w:val="21"/>
        </w:rPr>
        <w:t xml:space="preserve">  </w:t>
      </w:r>
      <w:r>
        <w:rPr>
          <w:rFonts w:hint="eastAsia"/>
          <w:color w:val="auto"/>
          <w:szCs w:val="21"/>
        </w:rPr>
        <w:t>超高性能混凝土的收缩应变终极值可取零，经过蒸汽养护后，徐变系数终极值可取0</w:t>
      </w:r>
      <w:r>
        <w:rPr>
          <w:color w:val="auto"/>
          <w:szCs w:val="21"/>
        </w:rPr>
        <w:t>.2</w:t>
      </w:r>
      <w:r>
        <w:rPr>
          <w:rFonts w:hint="eastAsia"/>
          <w:color w:val="auto"/>
          <w:szCs w:val="21"/>
        </w:rPr>
        <w:t>。</w:t>
      </w:r>
    </w:p>
    <w:p w14:paraId="55439437">
      <w:pPr>
        <w:pStyle w:val="3"/>
        <w:rPr>
          <w:color w:val="auto"/>
        </w:rPr>
      </w:pPr>
      <w:bookmarkStart w:id="59" w:name="_Toc14393"/>
      <w:bookmarkStart w:id="60" w:name="_Toc15977"/>
      <w:bookmarkStart w:id="61" w:name="_Toc4055"/>
      <w:r>
        <w:rPr>
          <w:rFonts w:hint="eastAsia"/>
          <w:color w:val="auto"/>
        </w:rPr>
        <w:t>4</w:t>
      </w:r>
      <w:r>
        <w:rPr>
          <w:color w:val="auto"/>
        </w:rPr>
        <w:t xml:space="preserve">.2  </w:t>
      </w:r>
      <w:r>
        <w:rPr>
          <w:rFonts w:hint="eastAsia"/>
          <w:color w:val="auto"/>
        </w:rPr>
        <w:t>其他材料</w:t>
      </w:r>
      <w:bookmarkEnd w:id="59"/>
      <w:bookmarkEnd w:id="60"/>
      <w:bookmarkEnd w:id="61"/>
    </w:p>
    <w:p w14:paraId="1C99F081">
      <w:pPr>
        <w:numPr>
          <w:ilvl w:val="2"/>
          <w:numId w:val="0"/>
        </w:numPr>
        <w:spacing w:line="360" w:lineRule="auto"/>
        <w:outlineLvl w:val="2"/>
        <w:rPr>
          <w:rFonts w:ascii="Times New Roman" w:hAnsi="Times New Roman" w:eastAsia="宋体" w:cs="Times New Roman"/>
          <w:color w:val="auto"/>
          <w:szCs w:val="21"/>
        </w:rPr>
      </w:pPr>
      <w:r>
        <w:rPr>
          <w:rFonts w:ascii="Times New Roman" w:hAnsi="Times New Roman" w:eastAsia="宋体" w:cs="Times New Roman"/>
          <w:b/>
          <w:color w:val="auto"/>
          <w:szCs w:val="21"/>
        </w:rPr>
        <w:t xml:space="preserve">4.2.1  </w:t>
      </w:r>
      <w:r>
        <w:rPr>
          <w:rFonts w:hint="eastAsia" w:ascii="Times New Roman" w:hAnsi="Times New Roman" w:eastAsia="宋体" w:cs="Times New Roman"/>
          <w:color w:val="auto"/>
          <w:szCs w:val="21"/>
        </w:rPr>
        <w:t>普通混凝土的相关设计指标应按现行行业标准</w:t>
      </w:r>
      <w:r>
        <w:rPr>
          <w:rFonts w:hint="eastAsia" w:ascii="Times New Roman" w:hAnsi="Times New Roman" w:eastAsia="宋体" w:cs="Times New Roman"/>
          <w:color w:val="auto"/>
        </w:rPr>
        <w:t>《公路钢筋混凝土及预应力混凝土桥涵设计规范》JTG 3362</w:t>
      </w:r>
      <w:r>
        <w:rPr>
          <w:rFonts w:hint="eastAsia" w:ascii="Times New Roman" w:hAnsi="Times New Roman" w:eastAsia="宋体" w:cs="Times New Roman"/>
          <w:color w:val="auto"/>
          <w:szCs w:val="21"/>
        </w:rPr>
        <w:t>的规定取用。</w:t>
      </w:r>
    </w:p>
    <w:p w14:paraId="58AC3544">
      <w:pPr>
        <w:numPr>
          <w:ilvl w:val="2"/>
          <w:numId w:val="0"/>
        </w:numPr>
        <w:spacing w:line="360" w:lineRule="auto"/>
        <w:outlineLvl w:val="2"/>
        <w:rPr>
          <w:rFonts w:ascii="Times New Roman" w:hAnsi="Times New Roman" w:eastAsia="宋体" w:cs="Times New Roman"/>
          <w:color w:val="auto"/>
          <w:szCs w:val="21"/>
        </w:rPr>
      </w:pPr>
      <w:r>
        <w:rPr>
          <w:rFonts w:ascii="Times New Roman" w:hAnsi="Times New Roman" w:eastAsia="宋体" w:cs="Times New Roman"/>
          <w:b/>
          <w:color w:val="auto"/>
          <w:szCs w:val="21"/>
        </w:rPr>
        <w:t xml:space="preserve">4.2.2  </w:t>
      </w:r>
      <w:r>
        <w:rPr>
          <w:rFonts w:hint="eastAsia" w:ascii="Times New Roman" w:hAnsi="Times New Roman" w:eastAsia="宋体" w:cs="Times New Roman"/>
          <w:color w:val="auto"/>
          <w:szCs w:val="21"/>
        </w:rPr>
        <w:t>普通钢筋的相关设计指标应按现行行业标准</w:t>
      </w:r>
      <w:r>
        <w:rPr>
          <w:rFonts w:hint="eastAsia" w:ascii="Times New Roman" w:hAnsi="Times New Roman" w:eastAsia="宋体" w:cs="Times New Roman"/>
          <w:color w:val="auto"/>
        </w:rPr>
        <w:t>《公路钢筋混凝土及预应力混凝土桥涵设计规范》JTG 3362</w:t>
      </w:r>
      <w:r>
        <w:rPr>
          <w:rFonts w:hint="eastAsia" w:ascii="Times New Roman" w:hAnsi="Times New Roman" w:eastAsia="宋体" w:cs="Times New Roman"/>
          <w:color w:val="auto"/>
          <w:szCs w:val="21"/>
        </w:rPr>
        <w:t>的规定取用。</w:t>
      </w:r>
    </w:p>
    <w:p w14:paraId="61845894">
      <w:pPr>
        <w:rPr>
          <w:rFonts w:ascii="Times New Roman" w:hAnsi="Times New Roman" w:eastAsia="宋体" w:cs="Times New Roman"/>
          <w:color w:val="auto"/>
          <w:szCs w:val="21"/>
        </w:rPr>
      </w:pPr>
      <w:r>
        <w:rPr>
          <w:rFonts w:hint="eastAsia" w:ascii="Times New Roman" w:hAnsi="Times New Roman" w:eastAsia="宋体" w:cs="Times New Roman"/>
          <w:color w:val="auto"/>
          <w:szCs w:val="21"/>
        </w:rPr>
        <w:br w:type="page"/>
      </w:r>
    </w:p>
    <w:p w14:paraId="2D470EAB">
      <w:pPr>
        <w:pStyle w:val="2"/>
        <w:spacing w:before="312" w:after="312"/>
        <w:ind w:left="425" w:hanging="425"/>
        <w:rPr>
          <w:color w:val="auto"/>
        </w:rPr>
      </w:pPr>
      <w:bookmarkStart w:id="62" w:name="_Toc18429"/>
      <w:bookmarkStart w:id="63" w:name="_Toc3217"/>
      <w:bookmarkStart w:id="64" w:name="_Toc29057"/>
      <w:r>
        <w:rPr>
          <w:rFonts w:hint="eastAsia"/>
          <w:color w:val="auto"/>
        </w:rPr>
        <w:t>5  持久状况承载能力极限状态计算</w:t>
      </w:r>
      <w:bookmarkEnd w:id="62"/>
      <w:bookmarkEnd w:id="63"/>
      <w:bookmarkEnd w:id="64"/>
    </w:p>
    <w:p w14:paraId="1A0A74FD">
      <w:pPr>
        <w:pStyle w:val="3"/>
        <w:numPr>
          <w:ilvl w:val="1"/>
          <w:numId w:val="0"/>
        </w:numPr>
        <w:ind w:left="567" w:hanging="567"/>
        <w:rPr>
          <w:color w:val="auto"/>
        </w:rPr>
      </w:pPr>
      <w:bookmarkStart w:id="65" w:name="_Toc22709"/>
      <w:bookmarkStart w:id="66" w:name="_Toc15869"/>
      <w:bookmarkStart w:id="67" w:name="_Toc17465"/>
      <w:r>
        <w:rPr>
          <w:rFonts w:hint="eastAsia"/>
          <w:color w:val="auto"/>
        </w:rPr>
        <w:t>5.1  一般规定</w:t>
      </w:r>
      <w:bookmarkEnd w:id="65"/>
      <w:bookmarkEnd w:id="66"/>
      <w:bookmarkEnd w:id="67"/>
    </w:p>
    <w:p w14:paraId="1E36D099">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color w:val="auto"/>
          <w:szCs w:val="21"/>
        </w:rPr>
        <w:t xml:space="preserve">5.1.1  </w:t>
      </w:r>
      <w:r>
        <w:rPr>
          <w:rFonts w:hint="eastAsia" w:ascii="Times New Roman" w:hAnsi="Times New Roman" w:eastAsia="宋体"/>
          <w:color w:val="auto"/>
          <w:szCs w:val="21"/>
        </w:rPr>
        <w:t>超高性能混凝土－普通混凝土组合式盖板结构的持久状况设计应按承载能力极限状态的要求，对盖板结构进行承载能力计算；在进行承载能力极限状态计算时，作用效应应采用其基本组合设计值；当盖板结构覆有填土时，汽车荷载应按现行行业标准《城市桥梁设计规范（</w:t>
      </w:r>
      <w:r>
        <w:rPr>
          <w:rFonts w:ascii="Times New Roman" w:hAnsi="Times New Roman" w:eastAsia="宋体"/>
          <w:color w:val="auto"/>
          <w:szCs w:val="21"/>
        </w:rPr>
        <w:t>2019年版）》CJJ 11-2011</w:t>
      </w:r>
      <w:r>
        <w:rPr>
          <w:rFonts w:hint="eastAsia" w:ascii="Times New Roman" w:hAnsi="Times New Roman" w:eastAsia="宋体"/>
          <w:color w:val="auto"/>
          <w:szCs w:val="21"/>
        </w:rPr>
        <w:t>的规定进行等效。</w:t>
      </w:r>
    </w:p>
    <w:p w14:paraId="37ED4A62">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color w:val="auto"/>
          <w:szCs w:val="21"/>
        </w:rPr>
        <w:t xml:space="preserve">5.1.2  </w:t>
      </w:r>
      <w:r>
        <w:rPr>
          <w:rFonts w:hint="eastAsia" w:ascii="Times New Roman" w:hAnsi="Times New Roman" w:eastAsia="宋体"/>
          <w:color w:val="auto"/>
          <w:szCs w:val="21"/>
        </w:rPr>
        <w:t>超高性能混凝土-普通混凝土组合式盖板结构正截面承载力应按下列基本假定进行计算：</w:t>
      </w:r>
    </w:p>
    <w:p w14:paraId="254B7269">
      <w:pPr>
        <w:spacing w:line="360" w:lineRule="auto"/>
        <w:ind w:firstLine="422" w:firstLineChars="200"/>
        <w:rPr>
          <w:rFonts w:ascii="Times New Roman" w:hAnsi="Times New Roman" w:eastAsia="宋体"/>
          <w:color w:val="auto"/>
          <w:szCs w:val="21"/>
        </w:rPr>
      </w:pPr>
      <w:r>
        <w:rPr>
          <w:rFonts w:hint="eastAsia" w:ascii="Times New Roman" w:hAnsi="Times New Roman" w:eastAsia="宋体"/>
          <w:b/>
          <w:color w:val="auto"/>
          <w:szCs w:val="21"/>
        </w:rPr>
        <w:t>1</w:t>
      </w:r>
      <w:r>
        <w:rPr>
          <w:rFonts w:hint="eastAsia" w:ascii="Times New Roman" w:hAnsi="Times New Roman" w:eastAsia="宋体"/>
          <w:color w:val="auto"/>
          <w:szCs w:val="21"/>
        </w:rPr>
        <w:t xml:space="preserve"> 结构弯曲后，其截面仍保持为平面，即符合平截面假定。 </w:t>
      </w:r>
    </w:p>
    <w:p w14:paraId="5A70F3B2">
      <w:pPr>
        <w:spacing w:line="360" w:lineRule="auto"/>
        <w:ind w:firstLine="422" w:firstLineChars="200"/>
        <w:rPr>
          <w:rFonts w:ascii="Times New Roman" w:hAnsi="Times New Roman" w:eastAsia="宋体"/>
          <w:color w:val="auto"/>
          <w:szCs w:val="21"/>
        </w:rPr>
      </w:pPr>
      <w:r>
        <w:rPr>
          <w:rFonts w:hint="eastAsia" w:ascii="Times New Roman" w:hAnsi="Times New Roman" w:eastAsia="宋体"/>
          <w:b/>
          <w:color w:val="auto"/>
          <w:szCs w:val="21"/>
        </w:rPr>
        <w:t>2</w:t>
      </w:r>
      <w:r>
        <w:rPr>
          <w:rFonts w:hint="eastAsia" w:ascii="Times New Roman" w:hAnsi="Times New Roman" w:eastAsia="宋体"/>
          <w:color w:val="auto"/>
          <w:szCs w:val="21"/>
        </w:rPr>
        <w:t xml:space="preserve"> 普通混凝土与超高性能混凝土之间设置有界面抗剪钢筋，具有可靠连接，忽略相对滑移，共同承担作用。</w:t>
      </w:r>
    </w:p>
    <w:p w14:paraId="3A41CD6E">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color w:val="auto"/>
          <w:szCs w:val="21"/>
        </w:rPr>
        <w:t xml:space="preserve">5.1.3  </w:t>
      </w:r>
      <w:r>
        <w:rPr>
          <w:rFonts w:hint="eastAsia" w:ascii="Times New Roman" w:hAnsi="Times New Roman" w:eastAsia="宋体"/>
          <w:color w:val="auto"/>
          <w:szCs w:val="21"/>
        </w:rPr>
        <w:t>结构正截面受压区可全部按普通混凝土计算，其压应力分布等效为矩形分布。</w:t>
      </w:r>
    </w:p>
    <w:p w14:paraId="0972BFAB">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color w:val="auto"/>
          <w:szCs w:val="21"/>
        </w:rPr>
        <w:t xml:space="preserve">5.1.4  </w:t>
      </w:r>
      <w:r>
        <w:rPr>
          <w:rFonts w:hint="eastAsia" w:ascii="Times New Roman" w:hAnsi="Times New Roman" w:eastAsia="宋体"/>
          <w:color w:val="auto"/>
          <w:szCs w:val="21"/>
        </w:rPr>
        <w:t>盖板结构正截面受拉区拉应力计算应符合下列规定：</w:t>
      </w:r>
    </w:p>
    <w:p w14:paraId="122FBA45">
      <w:pPr>
        <w:spacing w:line="360" w:lineRule="auto"/>
        <w:ind w:firstLine="422" w:firstLineChars="200"/>
        <w:rPr>
          <w:rFonts w:ascii="Times New Roman" w:hAnsi="Times New Roman" w:eastAsia="宋体"/>
          <w:color w:val="auto"/>
          <w:szCs w:val="21"/>
        </w:rPr>
      </w:pPr>
      <w:r>
        <w:rPr>
          <w:rFonts w:hint="eastAsia" w:ascii="Times New Roman" w:hAnsi="Times New Roman" w:eastAsia="宋体"/>
          <w:b/>
          <w:color w:val="auto"/>
          <w:szCs w:val="21"/>
        </w:rPr>
        <w:t>1</w:t>
      </w:r>
      <w:r>
        <w:rPr>
          <w:rFonts w:hint="eastAsia" w:ascii="Times New Roman" w:hAnsi="Times New Roman" w:eastAsia="宋体"/>
          <w:color w:val="auto"/>
          <w:szCs w:val="21"/>
        </w:rPr>
        <w:t xml:space="preserve"> 受拉区普通混凝土的抗拉强度不予考虑。</w:t>
      </w:r>
    </w:p>
    <w:p w14:paraId="4C09B6EB">
      <w:pPr>
        <w:spacing w:line="360" w:lineRule="auto"/>
        <w:ind w:firstLine="422" w:firstLineChars="200"/>
        <w:rPr>
          <w:rFonts w:ascii="Times New Roman" w:hAnsi="Times New Roman" w:eastAsia="宋体"/>
          <w:color w:val="auto"/>
          <w:szCs w:val="21"/>
        </w:rPr>
      </w:pPr>
      <w:r>
        <w:rPr>
          <w:rFonts w:hint="eastAsia" w:ascii="Times New Roman" w:hAnsi="Times New Roman" w:eastAsia="宋体"/>
          <w:b/>
          <w:color w:val="auto"/>
          <w:szCs w:val="21"/>
        </w:rPr>
        <w:t>2</w:t>
      </w:r>
      <w:r>
        <w:rPr>
          <w:rFonts w:hint="eastAsia" w:ascii="Times New Roman" w:hAnsi="Times New Roman" w:eastAsia="宋体"/>
          <w:color w:val="auto"/>
          <w:szCs w:val="21"/>
        </w:rPr>
        <w:t xml:space="preserve"> 正截面受拉区超高性能混凝土的应力图可简化为等效的矩形应力图，等效矩形应力图的抗拉强度可取0.5倍抗拉强度设计值</w:t>
      </w:r>
      <m:oMath>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ftd</m:t>
            </m:r>
            <m:ctrlPr>
              <w:rPr>
                <w:rFonts w:ascii="Cambria Math" w:hAnsi="Cambria Math"/>
                <w:color w:val="auto"/>
              </w:rPr>
            </m:ctrlPr>
          </m:sub>
        </m:sSub>
      </m:oMath>
      <w:r>
        <w:rPr>
          <w:rFonts w:hint="eastAsia" w:ascii="Times New Roman" w:hAnsi="Times New Roman" w:eastAsia="宋体"/>
          <w:color w:val="auto"/>
          <w:szCs w:val="21"/>
        </w:rPr>
        <w:t>，其矩形高度</w:t>
      </w:r>
      <m:oMath>
        <m:sSub>
          <m:sSubPr>
            <m:ctrlPr>
              <w:rPr>
                <w:rFonts w:ascii="Cambria Math" w:hAnsi="Cambria Math"/>
                <w:color w:val="auto"/>
              </w:rPr>
            </m:ctrlPr>
          </m:sSubPr>
          <m:e>
            <m:r>
              <m:rPr/>
              <w:rPr>
                <w:rFonts w:ascii="Cambria Math" w:hAnsi="Cambria Math"/>
                <w:color w:val="auto"/>
              </w:rPr>
              <m:t>x</m:t>
            </m:r>
            <m:ctrlPr>
              <w:rPr>
                <w:rFonts w:ascii="Cambria Math" w:hAnsi="Cambria Math"/>
                <w:color w:val="auto"/>
              </w:rPr>
            </m:ctrlPr>
          </m:e>
          <m:sub>
            <m:r>
              <m:rPr/>
              <w:rPr>
                <w:rFonts w:ascii="Cambria Math" w:hAnsi="Cambria Math"/>
                <w:color w:val="auto"/>
              </w:rPr>
              <m:t>t</m:t>
            </m:r>
            <m:ctrlPr>
              <w:rPr>
                <w:rFonts w:ascii="Cambria Math" w:hAnsi="Cambria Math"/>
                <w:color w:val="auto"/>
              </w:rPr>
            </m:ctrlPr>
          </m:sub>
        </m:sSub>
      </m:oMath>
      <w:r>
        <w:rPr>
          <w:rFonts w:hint="eastAsia" w:ascii="Times New Roman" w:hAnsi="Times New Roman" w:eastAsia="宋体"/>
          <w:color w:val="auto"/>
          <w:szCs w:val="21"/>
        </w:rPr>
        <w:t>可按下列公式计算。</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55"/>
        <w:gridCol w:w="1386"/>
        <w:gridCol w:w="2840"/>
        <w:gridCol w:w="2841"/>
      </w:tblGrid>
      <w:tr w14:paraId="0E312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7" w:type="pct"/>
            <w:gridSpan w:val="2"/>
            <w:vAlign w:val="center"/>
          </w:tcPr>
          <w:p w14:paraId="2BBB24A6">
            <w:pPr>
              <w:spacing w:line="360" w:lineRule="auto"/>
              <w:rPr>
                <w:rFonts w:hint="eastAsia" w:ascii="等线" w:hAnsi="等线" w:eastAsia="等线" w:cs="Times New Roman"/>
                <w:color w:val="auto"/>
                <w:szCs w:val="21"/>
              </w:rPr>
            </w:pPr>
          </w:p>
        </w:tc>
        <w:tc>
          <w:tcPr>
            <w:tcW w:w="1666" w:type="pct"/>
            <w:vAlign w:val="center"/>
          </w:tcPr>
          <w:p w14:paraId="4579AE86">
            <w:pPr>
              <w:spacing w:line="360" w:lineRule="auto"/>
              <w:jc w:val="center"/>
              <w:rPr>
                <w:rFonts w:ascii="Times New Roman" w:hAnsi="Times New Roman" w:eastAsia="宋体"/>
                <w:color w:val="auto"/>
                <w:szCs w:val="21"/>
              </w:rPr>
            </w:pPr>
            <m:oMathPara>
              <m:oMath>
                <m:sSub>
                  <m:sSubPr>
                    <m:ctrlPr>
                      <w:rPr>
                        <w:rFonts w:ascii="Cambria Math" w:hAnsi="Cambria Math"/>
                        <w:color w:val="auto"/>
                      </w:rPr>
                    </m:ctrlPr>
                  </m:sSubPr>
                  <m:e>
                    <m:r>
                      <m:rPr/>
                      <w:rPr>
                        <w:rFonts w:ascii="Cambria Math" w:hAnsi="Cambria Math"/>
                        <w:color w:val="auto"/>
                      </w:rPr>
                      <m:t>x</m:t>
                    </m:r>
                    <m:ctrlPr>
                      <w:rPr>
                        <w:rFonts w:ascii="Cambria Math" w:hAnsi="Cambria Math"/>
                        <w:color w:val="auto"/>
                      </w:rPr>
                    </m:ctrlPr>
                  </m:e>
                  <m:sub>
                    <m:r>
                      <m:rPr/>
                      <w:rPr>
                        <w:rFonts w:ascii="Cambria Math" w:hAnsi="Cambria Math"/>
                        <w:color w:val="auto"/>
                      </w:rPr>
                      <m:t>t</m:t>
                    </m:r>
                    <m:ctrlPr>
                      <w:rPr>
                        <w:rFonts w:ascii="Cambria Math" w:hAnsi="Cambria Math"/>
                        <w:color w:val="auto"/>
                      </w:rPr>
                    </m:ctrlPr>
                  </m:sub>
                </m:sSub>
                <m:r>
                  <m:rPr/>
                  <w:rPr>
                    <w:rFonts w:ascii="Cambria Math" w:hAnsi="Cambria Math"/>
                    <w:color w:val="auto"/>
                  </w:rPr>
                  <m:t>=ℎ−</m:t>
                </m:r>
                <m:sSub>
                  <m:sSubPr>
                    <m:ctrlPr>
                      <w:rPr>
                        <w:rFonts w:ascii="Cambria Math" w:hAnsi="Cambria Math"/>
                        <w:i/>
                        <w:color w:val="auto"/>
                      </w:rPr>
                    </m:ctrlPr>
                  </m:sSubPr>
                  <m:e>
                    <m:r>
                      <m:rPr/>
                      <w:rPr>
                        <w:rFonts w:ascii="Cambria Math" w:hAnsi="Cambria Math"/>
                        <w:color w:val="auto"/>
                      </w:rPr>
                      <m:t>x</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oMath>
            </m:oMathPara>
          </w:p>
        </w:tc>
        <w:tc>
          <w:tcPr>
            <w:tcW w:w="1667" w:type="pct"/>
            <w:vAlign w:val="center"/>
          </w:tcPr>
          <w:p w14:paraId="682929B0">
            <w:pPr>
              <w:spacing w:line="360" w:lineRule="auto"/>
              <w:jc w:val="right"/>
              <w:rPr>
                <w:rFonts w:ascii="Times New Roman" w:hAnsi="Times New Roman" w:eastAsia="宋体"/>
                <w:color w:val="auto"/>
                <w:szCs w:val="21"/>
              </w:rPr>
            </w:pPr>
            <w:r>
              <w:rPr>
                <w:rFonts w:ascii="Times New Roman" w:hAnsi="Times New Roman" w:eastAsia="宋体"/>
                <w:color w:val="auto"/>
                <w:szCs w:val="21"/>
              </w:rPr>
              <w:t>(5.1.5)</w:t>
            </w:r>
          </w:p>
        </w:tc>
      </w:tr>
      <w:tr w14:paraId="4C16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0F4DF4C2">
            <w:pPr>
              <w:wordWrap w:val="0"/>
              <w:spacing w:line="360" w:lineRule="auto"/>
              <w:jc w:val="right"/>
              <w:rPr>
                <w:rFonts w:ascii="Times New Roman" w:hAnsi="Times New Roman" w:eastAsia="宋体"/>
                <w:color w:val="auto"/>
                <w:szCs w:val="21"/>
              </w:rPr>
            </w:pPr>
            <w:r>
              <w:rPr>
                <w:rFonts w:hint="eastAsia" w:ascii="Times New Roman" w:hAnsi="Times New Roman" w:eastAsia="宋体"/>
                <w:color w:val="auto"/>
                <w:szCs w:val="21"/>
              </w:rPr>
              <w:t xml:space="preserve">式中： </w:t>
            </w:r>
            <w:r>
              <w:rPr>
                <w:rFonts w:ascii="Times New Roman" w:hAnsi="Times New Roman" w:eastAsia="宋体"/>
                <w:color w:val="auto"/>
                <w:szCs w:val="21"/>
              </w:rPr>
              <w:t xml:space="preserve">   h</w:t>
            </w:r>
          </w:p>
        </w:tc>
        <w:tc>
          <w:tcPr>
            <w:tcW w:w="4146" w:type="pct"/>
            <w:gridSpan w:val="3"/>
            <w:tcBorders>
              <w:top w:val="nil"/>
              <w:left w:val="nil"/>
              <w:bottom w:val="nil"/>
              <w:right w:val="nil"/>
            </w:tcBorders>
          </w:tcPr>
          <w:p w14:paraId="3CB37830">
            <w:pPr>
              <w:spacing w:line="360" w:lineRule="auto"/>
              <w:rPr>
                <w:rFonts w:ascii="Times New Roman" w:hAnsi="Times New Roman" w:eastAsia="宋体"/>
                <w:color w:val="auto"/>
                <w:szCs w:val="21"/>
              </w:rPr>
            </w:pPr>
            <w:r>
              <w:rPr>
                <w:rFonts w:hint="eastAsia" w:ascii="Times New Roman" w:hAnsi="Times New Roman" w:eastAsia="宋体"/>
                <w:color w:val="auto"/>
                <w:szCs w:val="21"/>
              </w:rPr>
              <w:t>——截面高度（mm）；</w:t>
            </w:r>
          </w:p>
        </w:tc>
      </w:tr>
      <w:tr w14:paraId="624ED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1D3A78AE">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x</m:t>
                    </m:r>
                    <m:ctrlPr>
                      <w:rPr>
                        <w:rFonts w:ascii="Cambria Math" w:hAnsi="Cambria Math"/>
                        <w:color w:val="auto"/>
                      </w:rPr>
                    </m:ctrlPr>
                  </m:e>
                  <m:sub>
                    <m:r>
                      <m:rPr/>
                      <w:rPr>
                        <w:rFonts w:ascii="Cambria Math" w:hAnsi="Cambria Math"/>
                        <w:color w:val="auto"/>
                      </w:rPr>
                      <m:t>0</m:t>
                    </m:r>
                    <m:ctrlPr>
                      <w:rPr>
                        <w:rFonts w:ascii="Cambria Math" w:hAnsi="Cambria Math"/>
                        <w:color w:val="auto"/>
                      </w:rPr>
                    </m:ctrlPr>
                  </m:sub>
                </m:sSub>
              </m:oMath>
            </m:oMathPara>
          </w:p>
        </w:tc>
        <w:tc>
          <w:tcPr>
            <w:tcW w:w="4146" w:type="pct"/>
            <w:gridSpan w:val="3"/>
            <w:tcBorders>
              <w:top w:val="nil"/>
              <w:left w:val="nil"/>
              <w:bottom w:val="nil"/>
              <w:right w:val="nil"/>
            </w:tcBorders>
          </w:tcPr>
          <w:p w14:paraId="673473E4">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——受压区高度（mm）。</w:t>
            </w:r>
          </w:p>
        </w:tc>
      </w:tr>
    </w:tbl>
    <w:p w14:paraId="0501E41F">
      <w:pPr>
        <w:pStyle w:val="3"/>
        <w:rPr>
          <w:color w:val="auto"/>
        </w:rPr>
      </w:pPr>
      <w:bookmarkStart w:id="68" w:name="_Toc20928"/>
      <w:bookmarkStart w:id="69" w:name="_Toc5007"/>
      <w:bookmarkStart w:id="70" w:name="_Toc18687"/>
      <w:r>
        <w:rPr>
          <w:rFonts w:hint="eastAsia"/>
          <w:color w:val="auto"/>
        </w:rPr>
        <w:t>5.2  梁板正截面抗弯承载力计算</w:t>
      </w:r>
      <w:bookmarkEnd w:id="68"/>
      <w:bookmarkEnd w:id="69"/>
      <w:bookmarkEnd w:id="70"/>
    </w:p>
    <w:p w14:paraId="34993E6C">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color w:val="auto"/>
          <w:szCs w:val="21"/>
        </w:rPr>
        <w:t xml:space="preserve">5.2.1  </w:t>
      </w:r>
      <w:r>
        <w:rPr>
          <w:rFonts w:hint="eastAsia" w:ascii="Times New Roman" w:hAnsi="Times New Roman" w:eastAsia="宋体"/>
          <w:color w:val="auto"/>
          <w:szCs w:val="21"/>
        </w:rPr>
        <w:t>超高性能混凝土－普通混凝土组合式盖板结构的正截面相对界限受压区高度</w:t>
      </w:r>
      <m:oMath>
        <m:sSub>
          <m:sSubPr>
            <m:ctrlPr>
              <w:rPr>
                <w:rFonts w:ascii="Cambria Math" w:hAnsi="Cambria Math"/>
                <w:color w:val="auto"/>
              </w:rPr>
            </m:ctrlPr>
          </m:sSubPr>
          <m:e>
            <m:r>
              <m:rPr/>
              <w:rPr>
                <w:rFonts w:ascii="Cambria Math" w:hAnsi="Cambria Math"/>
                <w:color w:val="auto"/>
              </w:rPr>
              <m:t>ξ</m:t>
            </m:r>
            <m:ctrlPr>
              <w:rPr>
                <w:rFonts w:ascii="Cambria Math" w:hAnsi="Cambria Math"/>
                <w:color w:val="auto"/>
              </w:rPr>
            </m:ctrlPr>
          </m:e>
          <m:sub>
            <m:r>
              <m:rPr/>
              <w:rPr>
                <w:rFonts w:ascii="Cambria Math" w:hAnsi="Cambria Math"/>
                <w:color w:val="auto"/>
              </w:rPr>
              <m:t>b</m:t>
            </m:r>
            <m:ctrlPr>
              <w:rPr>
                <w:rFonts w:ascii="Cambria Math" w:hAnsi="Cambria Math"/>
                <w:color w:val="auto"/>
              </w:rPr>
            </m:ctrlPr>
          </m:sub>
        </m:sSub>
      </m:oMath>
      <w:r>
        <w:rPr>
          <w:rFonts w:hint="eastAsia" w:ascii="Times New Roman" w:hAnsi="Times New Roman" w:eastAsia="宋体"/>
          <w:color w:val="auto"/>
          <w:szCs w:val="21"/>
        </w:rPr>
        <w:t>应按下列公式计算：</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55"/>
        <w:gridCol w:w="1386"/>
        <w:gridCol w:w="2840"/>
        <w:gridCol w:w="2841"/>
      </w:tblGrid>
      <w:tr w14:paraId="7CCB4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7" w:type="pct"/>
            <w:gridSpan w:val="2"/>
            <w:vAlign w:val="center"/>
          </w:tcPr>
          <w:p w14:paraId="75FC81CF">
            <w:pPr>
              <w:spacing w:line="360" w:lineRule="auto"/>
              <w:rPr>
                <w:rFonts w:hint="eastAsia" w:ascii="等线" w:hAnsi="等线" w:eastAsia="等线" w:cs="Times New Roman"/>
                <w:color w:val="auto"/>
                <w:szCs w:val="21"/>
              </w:rPr>
            </w:pPr>
          </w:p>
        </w:tc>
        <w:tc>
          <w:tcPr>
            <w:tcW w:w="1666" w:type="pct"/>
            <w:vAlign w:val="center"/>
          </w:tcPr>
          <w:p w14:paraId="730CD476">
            <w:pPr>
              <w:spacing w:line="360" w:lineRule="auto"/>
              <w:jc w:val="center"/>
              <w:rPr>
                <w:rFonts w:ascii="Times New Roman" w:hAnsi="Times New Roman" w:eastAsia="宋体"/>
                <w:color w:val="auto"/>
                <w:szCs w:val="21"/>
              </w:rPr>
            </w:pPr>
            <m:oMathPara>
              <m:oMath>
                <m:sSub>
                  <m:sSubPr>
                    <m:ctrlPr>
                      <w:rPr>
                        <w:rFonts w:ascii="Cambria Math" w:hAnsi="Cambria Math"/>
                        <w:color w:val="auto"/>
                      </w:rPr>
                    </m:ctrlPr>
                  </m:sSubPr>
                  <m:e>
                    <m:r>
                      <m:rPr/>
                      <w:rPr>
                        <w:rFonts w:ascii="Cambria Math" w:hAnsi="Cambria Math"/>
                        <w:color w:val="auto"/>
                      </w:rPr>
                      <m:t>ξ</m:t>
                    </m:r>
                    <m:ctrlPr>
                      <w:rPr>
                        <w:rFonts w:ascii="Cambria Math" w:hAnsi="Cambria Math"/>
                        <w:color w:val="auto"/>
                      </w:rPr>
                    </m:ctrlPr>
                  </m:e>
                  <m:sub>
                    <m:r>
                      <m:rPr/>
                      <w:rPr>
                        <w:rFonts w:ascii="Cambria Math" w:hAnsi="Cambria Math"/>
                        <w:color w:val="auto"/>
                      </w:rPr>
                      <m:t>b</m:t>
                    </m:r>
                    <m:ctrlPr>
                      <w:rPr>
                        <w:rFonts w:ascii="Cambria Math" w:hAnsi="Cambria Math"/>
                        <w:color w:val="auto"/>
                      </w:rPr>
                    </m:ctrlPr>
                  </m:sub>
                </m:sSub>
                <m:r>
                  <m:rPr/>
                  <w:rPr>
                    <w:rFonts w:ascii="Cambria Math" w:hAnsi="Cambria Math"/>
                    <w:color w:val="auto"/>
                  </w:rPr>
                  <m:t>=</m:t>
                </m:r>
                <m:f>
                  <m:fPr>
                    <m:ctrlPr>
                      <w:rPr>
                        <w:rFonts w:ascii="Cambria Math" w:hAnsi="Cambria Math"/>
                        <w:i/>
                        <w:color w:val="auto"/>
                      </w:rPr>
                    </m:ctrlPr>
                  </m:fPr>
                  <m:num>
                    <m:r>
                      <m:rPr/>
                      <w:rPr>
                        <w:rFonts w:ascii="Cambria Math" w:hAnsi="Cambria Math"/>
                        <w:color w:val="auto"/>
                      </w:rPr>
                      <m:t>β</m:t>
                    </m:r>
                    <m:ctrlPr>
                      <w:rPr>
                        <w:rFonts w:ascii="Cambria Math" w:hAnsi="Cambria Math"/>
                        <w:i/>
                        <w:color w:val="auto"/>
                      </w:rPr>
                    </m:ctrlPr>
                  </m:num>
                  <m:den>
                    <m:r>
                      <m:rPr/>
                      <w:rPr>
                        <w:rFonts w:ascii="Cambria Math" w:hAnsi="Cambria Math"/>
                        <w:color w:val="auto"/>
                      </w:rPr>
                      <m:t>1+</m:t>
                    </m:r>
                    <m:f>
                      <m:fPr>
                        <m:ctrlPr>
                          <w:rPr>
                            <w:rFonts w:ascii="Cambria Math" w:hAnsi="Cambria Math"/>
                            <w:i/>
                            <w:color w:val="auto"/>
                          </w:rPr>
                        </m:ctrlPr>
                      </m:fPr>
                      <m:num>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sd</m:t>
                            </m:r>
                            <m:ctrlPr>
                              <w:rPr>
                                <w:rFonts w:ascii="Cambria Math" w:hAnsi="Cambria Math"/>
                                <w:i/>
                                <w:color w:val="auto"/>
                              </w:rPr>
                            </m:ctrlPr>
                          </m:sub>
                        </m:sSub>
                        <m:ctrlPr>
                          <w:rPr>
                            <w:rFonts w:ascii="Cambria Math" w:hAnsi="Cambria Math"/>
                            <w:i/>
                            <w:color w:val="auto"/>
                          </w:rPr>
                        </m:ctrlPr>
                      </m:num>
                      <m:den>
                        <m:sSub>
                          <m:sSubPr>
                            <m:ctrlPr>
                              <w:rPr>
                                <w:rFonts w:ascii="Cambria Math" w:hAnsi="Cambria Math"/>
                                <w:i/>
                                <w:color w:val="auto"/>
                              </w:rPr>
                            </m:ctrlPr>
                          </m:sSubPr>
                          <m:e>
                            <m:r>
                              <m:rPr/>
                              <w:rPr>
                                <w:rFonts w:ascii="Cambria Math" w:hAnsi="Cambria Math"/>
                                <w:color w:val="auto"/>
                              </w:rPr>
                              <m:t>E</m:t>
                            </m:r>
                            <m:ctrlPr>
                              <w:rPr>
                                <w:rFonts w:ascii="Cambria Math" w:hAnsi="Cambria Math"/>
                                <w:i/>
                                <w:color w:val="auto"/>
                              </w:rPr>
                            </m:ctrlPr>
                          </m:e>
                          <m:sub>
                            <m:r>
                              <m:rPr/>
                              <w:rPr>
                                <w:rFonts w:ascii="Cambria Math" w:hAnsi="Cambria Math"/>
                                <w:color w:val="auto"/>
                              </w:rPr>
                              <m:t>s</m:t>
                            </m:r>
                            <m:ctrlPr>
                              <w:rPr>
                                <w:rFonts w:ascii="Cambria Math" w:hAnsi="Cambria Math"/>
                                <w:i/>
                                <w:color w:val="auto"/>
                              </w:rPr>
                            </m:ctrlPr>
                          </m:sub>
                        </m:sSub>
                        <m:sSub>
                          <m:sSubPr>
                            <m:ctrlPr>
                              <w:rPr>
                                <w:rFonts w:ascii="Cambria Math" w:hAnsi="Cambria Math"/>
                                <w:i/>
                                <w:color w:val="auto"/>
                              </w:rPr>
                            </m:ctrlPr>
                          </m:sSubPr>
                          <m:e>
                            <m:r>
                              <m:rPr/>
                              <w:rPr>
                                <w:rFonts w:ascii="Cambria Math" w:hAnsi="Cambria Math"/>
                                <w:color w:val="auto"/>
                              </w:rPr>
                              <m:t>ε</m:t>
                            </m:r>
                            <m:ctrlPr>
                              <w:rPr>
                                <w:rFonts w:ascii="Cambria Math" w:hAnsi="Cambria Math"/>
                                <w:i/>
                                <w:color w:val="auto"/>
                              </w:rPr>
                            </m:ctrlPr>
                          </m:e>
                          <m:sub>
                            <m:r>
                              <m:rPr/>
                              <w:rPr>
                                <w:rFonts w:ascii="Cambria Math" w:hAnsi="Cambria Math"/>
                                <w:color w:val="auto"/>
                              </w:rPr>
                              <m:t>cu</m:t>
                            </m:r>
                            <m:ctrlPr>
                              <w:rPr>
                                <w:rFonts w:ascii="Cambria Math" w:hAnsi="Cambria Math"/>
                                <w:i/>
                                <w:color w:val="auto"/>
                              </w:rPr>
                            </m:ctrlPr>
                          </m:sub>
                        </m:sSub>
                        <m:ctrlPr>
                          <w:rPr>
                            <w:rFonts w:ascii="Cambria Math" w:hAnsi="Cambria Math"/>
                            <w:i/>
                            <w:color w:val="auto"/>
                          </w:rPr>
                        </m:ctrlPr>
                      </m:den>
                    </m:f>
                    <m:ctrlPr>
                      <w:rPr>
                        <w:rFonts w:ascii="Cambria Math" w:hAnsi="Cambria Math"/>
                        <w:i/>
                        <w:color w:val="auto"/>
                      </w:rPr>
                    </m:ctrlPr>
                  </m:den>
                </m:f>
              </m:oMath>
            </m:oMathPara>
          </w:p>
        </w:tc>
        <w:tc>
          <w:tcPr>
            <w:tcW w:w="1667" w:type="pct"/>
            <w:vAlign w:val="center"/>
          </w:tcPr>
          <w:p w14:paraId="4E3FB338">
            <w:pPr>
              <w:spacing w:line="360" w:lineRule="auto"/>
              <w:jc w:val="right"/>
              <w:rPr>
                <w:rFonts w:ascii="Times New Roman" w:hAnsi="Times New Roman" w:eastAsia="宋体"/>
                <w:color w:val="auto"/>
                <w:szCs w:val="21"/>
              </w:rPr>
            </w:pPr>
            <w:r>
              <w:rPr>
                <w:rFonts w:ascii="Times New Roman" w:hAnsi="Times New Roman" w:eastAsia="宋体"/>
                <w:color w:val="auto"/>
                <w:szCs w:val="21"/>
              </w:rPr>
              <w:t>(5.2.1)</w:t>
            </w:r>
          </w:p>
        </w:tc>
      </w:tr>
      <w:tr w14:paraId="4F2F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1E0A23A9">
            <w:pPr>
              <w:wordWrap w:val="0"/>
              <w:spacing w:line="360" w:lineRule="auto"/>
              <w:jc w:val="right"/>
              <w:rPr>
                <w:rFonts w:ascii="Times New Roman" w:hAnsi="Times New Roman" w:eastAsia="宋体"/>
                <w:color w:val="auto"/>
                <w:szCs w:val="21"/>
              </w:rPr>
            </w:pPr>
            <w:r>
              <w:rPr>
                <w:rFonts w:hint="eastAsia" w:ascii="Times New Roman" w:hAnsi="Times New Roman" w:eastAsia="宋体"/>
                <w:color w:val="auto"/>
                <w:szCs w:val="21"/>
              </w:rPr>
              <w:t xml:space="preserve">式中： </w:t>
            </w:r>
            <w:r>
              <w:rPr>
                <w:rFonts w:ascii="Times New Roman" w:hAnsi="Times New Roman" w:eastAsia="宋体"/>
                <w:color w:val="auto"/>
                <w:szCs w:val="21"/>
              </w:rPr>
              <w:t xml:space="preserve">   </w:t>
            </w:r>
            <w:r>
              <w:rPr>
                <w:rFonts w:ascii="Times New Roman" w:hAnsi="Times New Roman" w:eastAsia="宋体" w:cs="Times New Roman"/>
                <w:color w:val="auto"/>
                <w:szCs w:val="21"/>
              </w:rPr>
              <w:t>β</w:t>
            </w:r>
          </w:p>
        </w:tc>
        <w:tc>
          <w:tcPr>
            <w:tcW w:w="4146" w:type="pct"/>
            <w:gridSpan w:val="3"/>
            <w:tcBorders>
              <w:top w:val="nil"/>
              <w:left w:val="nil"/>
              <w:bottom w:val="nil"/>
              <w:right w:val="nil"/>
            </w:tcBorders>
          </w:tcPr>
          <w:p w14:paraId="0606D540">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——组合式盖板结构受压区矩形应力图高度与实际受压区高度的比值，按现行标准《公路钢筋混凝土及预应力混凝土桥涵设计规范》JTG 3362的规定取值；</w:t>
            </w:r>
          </w:p>
        </w:tc>
      </w:tr>
      <w:tr w14:paraId="69A08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757F51D9">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sd</m:t>
                    </m:r>
                    <m:ctrlPr>
                      <w:rPr>
                        <w:rFonts w:ascii="Cambria Math" w:hAnsi="Cambria Math"/>
                        <w:color w:val="auto"/>
                      </w:rPr>
                    </m:ctrlPr>
                  </m:sub>
                </m:sSub>
              </m:oMath>
            </m:oMathPara>
          </w:p>
        </w:tc>
        <w:tc>
          <w:tcPr>
            <w:tcW w:w="4146" w:type="pct"/>
            <w:gridSpan w:val="3"/>
            <w:tcBorders>
              <w:top w:val="nil"/>
              <w:left w:val="nil"/>
              <w:bottom w:val="nil"/>
              <w:right w:val="nil"/>
            </w:tcBorders>
          </w:tcPr>
          <w:p w14:paraId="3073E838">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——普通钢筋的抗拉强度设计值（N/mm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w:t>
            </w:r>
          </w:p>
        </w:tc>
      </w:tr>
      <w:tr w14:paraId="0EB05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4E3D0B43">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ε</m:t>
                    </m:r>
                    <m:ctrlPr>
                      <w:rPr>
                        <w:rFonts w:ascii="Cambria Math" w:hAnsi="Cambria Math"/>
                        <w:color w:val="auto"/>
                      </w:rPr>
                    </m:ctrlPr>
                  </m:e>
                  <m:sub>
                    <m:r>
                      <m:rPr/>
                      <w:rPr>
                        <w:rFonts w:ascii="Cambria Math" w:hAnsi="Cambria Math"/>
                        <w:color w:val="auto"/>
                      </w:rPr>
                      <m:t>cu</m:t>
                    </m:r>
                    <m:ctrlPr>
                      <w:rPr>
                        <w:rFonts w:ascii="Cambria Math" w:hAnsi="Cambria Math"/>
                        <w:color w:val="auto"/>
                      </w:rPr>
                    </m:ctrlPr>
                  </m:sub>
                </m:sSub>
              </m:oMath>
            </m:oMathPara>
          </w:p>
        </w:tc>
        <w:tc>
          <w:tcPr>
            <w:tcW w:w="4146" w:type="pct"/>
            <w:gridSpan w:val="3"/>
            <w:tcBorders>
              <w:top w:val="nil"/>
              <w:left w:val="nil"/>
              <w:bottom w:val="nil"/>
              <w:right w:val="nil"/>
            </w:tcBorders>
          </w:tcPr>
          <w:p w14:paraId="16E5F337">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——组合式盖板结构受压边缘普通混凝土极限压应变，按现行标准《公路钢筋混凝土及预应力混凝土桥涵设计规范》JTG 3362的规定取值。</w:t>
            </w:r>
          </w:p>
        </w:tc>
      </w:tr>
    </w:tbl>
    <w:p w14:paraId="1D3B6698">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color w:val="auto"/>
          <w:szCs w:val="21"/>
        </w:rPr>
        <w:t xml:space="preserve">5.2.2  </w:t>
      </w:r>
      <w:r>
        <w:rPr>
          <w:rFonts w:hint="eastAsia" w:ascii="Times New Roman" w:hAnsi="Times New Roman" w:eastAsia="宋体"/>
          <w:color w:val="auto"/>
          <w:szCs w:val="21"/>
        </w:rPr>
        <w:t>超高性能混凝土－普通混凝土组合式盖板结构正截面抗弯承载力验算应按下列公式计算：</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55"/>
        <w:gridCol w:w="1386"/>
        <w:gridCol w:w="2840"/>
        <w:gridCol w:w="2841"/>
      </w:tblGrid>
      <w:tr w14:paraId="431A3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7" w:type="pct"/>
            <w:gridSpan w:val="2"/>
            <w:vAlign w:val="center"/>
          </w:tcPr>
          <w:p w14:paraId="0ADBA6E5">
            <w:pPr>
              <w:spacing w:line="360" w:lineRule="auto"/>
              <w:rPr>
                <w:rFonts w:hint="eastAsia" w:ascii="等线" w:hAnsi="等线" w:eastAsia="等线" w:cs="Times New Roman"/>
                <w:color w:val="auto"/>
                <w:szCs w:val="21"/>
              </w:rPr>
            </w:pPr>
          </w:p>
        </w:tc>
        <w:tc>
          <w:tcPr>
            <w:tcW w:w="1666" w:type="pct"/>
            <w:vAlign w:val="center"/>
          </w:tcPr>
          <w:p w14:paraId="279E5238">
            <w:pPr>
              <w:spacing w:line="360" w:lineRule="auto"/>
              <w:jc w:val="center"/>
              <w:rPr>
                <w:rFonts w:ascii="Times New Roman" w:hAnsi="Times New Roman" w:eastAsia="宋体"/>
                <w:color w:val="auto"/>
                <w:szCs w:val="21"/>
              </w:rPr>
            </w:pPr>
            <m:oMathPara>
              <m:oMath>
                <m:sSub>
                  <m:sSubPr>
                    <m:ctrlPr>
                      <w:rPr>
                        <w:rFonts w:ascii="Cambria Math" w:hAnsi="Cambria Math"/>
                        <w:i/>
                        <w:color w:val="auto"/>
                      </w:rPr>
                    </m:ctrlPr>
                  </m:sSubPr>
                  <m:e>
                    <m:r>
                      <m:rPr/>
                      <w:rPr>
                        <w:rFonts w:ascii="Cambria Math" w:hAnsi="Cambria Math"/>
                        <w:color w:val="auto"/>
                      </w:rPr>
                      <m:t>γ</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sSub>
                  <m:sSubPr>
                    <m:ctrlPr>
                      <w:rPr>
                        <w:rFonts w:ascii="Cambria Math" w:hAnsi="Cambria Math"/>
                        <w:color w:val="auto"/>
                      </w:rPr>
                    </m:ctrlPr>
                  </m:sSubPr>
                  <m:e>
                    <m:r>
                      <m:rPr/>
                      <w:rPr>
                        <w:rFonts w:ascii="Cambria Math" w:hAnsi="Cambria Math"/>
                        <w:color w:val="auto"/>
                      </w:rPr>
                      <m:t>M</m:t>
                    </m:r>
                    <m:ctrlPr>
                      <w:rPr>
                        <w:rFonts w:ascii="Cambria Math" w:hAnsi="Cambria Math"/>
                        <w:color w:val="auto"/>
                      </w:rPr>
                    </m:ctrlPr>
                  </m:e>
                  <m:sub>
                    <m:r>
                      <m:rPr/>
                      <w:rPr>
                        <w:rFonts w:hint="eastAsia" w:ascii="Cambria Math" w:hAnsi="Cambria Math"/>
                        <w:color w:val="auto"/>
                      </w:rPr>
                      <m:t>d</m:t>
                    </m:r>
                    <m:ctrlPr>
                      <w:rPr>
                        <w:rFonts w:ascii="Cambria Math" w:hAnsi="Cambria Math"/>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M</m:t>
                    </m:r>
                    <m:ctrlPr>
                      <w:rPr>
                        <w:rFonts w:ascii="Cambria Math" w:hAnsi="Cambria Math"/>
                        <w:i/>
                        <w:color w:val="auto"/>
                      </w:rPr>
                    </m:ctrlPr>
                  </m:e>
                  <m:sub>
                    <m:r>
                      <m:rPr/>
                      <w:rPr>
                        <w:rFonts w:ascii="Cambria Math" w:hAnsi="Cambria Math"/>
                        <w:color w:val="auto"/>
                      </w:rPr>
                      <m:t>u</m:t>
                    </m:r>
                    <m:ctrlPr>
                      <w:rPr>
                        <w:rFonts w:ascii="Cambria Math" w:hAnsi="Cambria Math"/>
                        <w:i/>
                        <w:color w:val="auto"/>
                      </w:rPr>
                    </m:ctrlPr>
                  </m:sub>
                </m:sSub>
              </m:oMath>
            </m:oMathPara>
          </w:p>
        </w:tc>
        <w:tc>
          <w:tcPr>
            <w:tcW w:w="1667" w:type="pct"/>
            <w:vAlign w:val="center"/>
          </w:tcPr>
          <w:p w14:paraId="7FC4FC91">
            <w:pPr>
              <w:spacing w:line="360" w:lineRule="auto"/>
              <w:jc w:val="right"/>
              <w:rPr>
                <w:rFonts w:ascii="Times New Roman" w:hAnsi="Times New Roman" w:eastAsia="宋体"/>
                <w:color w:val="auto"/>
                <w:szCs w:val="21"/>
              </w:rPr>
            </w:pPr>
            <w:r>
              <w:rPr>
                <w:rFonts w:ascii="Times New Roman" w:hAnsi="Times New Roman" w:eastAsia="宋体"/>
                <w:color w:val="auto"/>
                <w:szCs w:val="21"/>
              </w:rPr>
              <w:t>(5.2.2)</w:t>
            </w:r>
          </w:p>
        </w:tc>
      </w:tr>
      <w:tr w14:paraId="26BE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60018FCC">
            <w:pPr>
              <w:wordWrap w:val="0"/>
              <w:spacing w:line="360" w:lineRule="auto"/>
              <w:jc w:val="right"/>
              <w:rPr>
                <w:rFonts w:ascii="Times New Roman" w:hAnsi="Times New Roman" w:eastAsia="宋体"/>
                <w:color w:val="auto"/>
                <w:szCs w:val="21"/>
              </w:rPr>
            </w:pPr>
            <w:r>
              <w:rPr>
                <w:rFonts w:hint="eastAsia" w:ascii="Times New Roman" w:hAnsi="Times New Roman" w:eastAsia="宋体"/>
                <w:color w:val="auto"/>
                <w:szCs w:val="21"/>
              </w:rPr>
              <w:t xml:space="preserve">式中： </w:t>
            </w:r>
            <w:r>
              <w:rPr>
                <w:rFonts w:ascii="Times New Roman" w:hAnsi="Times New Roman" w:eastAsia="宋体"/>
                <w:color w:val="auto"/>
                <w:szCs w:val="21"/>
              </w:rPr>
              <w:t xml:space="preserve">  </w:t>
            </w:r>
            <m:oMath>
              <m:sSub>
                <m:sSubPr>
                  <m:ctrlPr>
                    <w:rPr>
                      <w:rFonts w:ascii="Cambria Math" w:hAnsi="Cambria Math"/>
                      <w:color w:val="auto"/>
                    </w:rPr>
                  </m:ctrlPr>
                </m:sSubPr>
                <m:e>
                  <m:r>
                    <m:rPr/>
                    <w:rPr>
                      <w:rFonts w:ascii="Cambria Math" w:hAnsi="Cambria Math"/>
                      <w:color w:val="auto"/>
                    </w:rPr>
                    <m:t>γ</m:t>
                  </m:r>
                  <m:ctrlPr>
                    <w:rPr>
                      <w:rFonts w:ascii="Cambria Math" w:hAnsi="Cambria Math"/>
                      <w:color w:val="auto"/>
                    </w:rPr>
                  </m:ctrlPr>
                </m:e>
                <m:sub>
                  <m:r>
                    <m:rPr/>
                    <w:rPr>
                      <w:rFonts w:ascii="Cambria Math" w:hAnsi="Cambria Math"/>
                      <w:color w:val="auto"/>
                    </w:rPr>
                    <m:t>0</m:t>
                  </m:r>
                  <m:ctrlPr>
                    <w:rPr>
                      <w:rFonts w:ascii="Cambria Math" w:hAnsi="Cambria Math"/>
                      <w:color w:val="auto"/>
                    </w:rPr>
                  </m:ctrlPr>
                </m:sub>
              </m:sSub>
            </m:oMath>
          </w:p>
        </w:tc>
        <w:tc>
          <w:tcPr>
            <w:tcW w:w="4146" w:type="pct"/>
            <w:gridSpan w:val="3"/>
            <w:tcBorders>
              <w:top w:val="nil"/>
              <w:left w:val="nil"/>
              <w:bottom w:val="nil"/>
              <w:right w:val="nil"/>
            </w:tcBorders>
          </w:tcPr>
          <w:p w14:paraId="36F66CF6">
            <w:pPr>
              <w:spacing w:line="360" w:lineRule="auto"/>
              <w:rPr>
                <w:rFonts w:ascii="Times New Roman" w:hAnsi="Times New Roman" w:eastAsia="宋体"/>
                <w:color w:val="auto"/>
                <w:szCs w:val="21"/>
              </w:rPr>
            </w:pPr>
            <w:r>
              <w:rPr>
                <w:rFonts w:hint="eastAsia" w:ascii="Times New Roman" w:hAnsi="Times New Roman" w:eastAsia="宋体"/>
                <w:color w:val="auto"/>
                <w:szCs w:val="21"/>
              </w:rPr>
              <w:t>——结构重要性系数，按重要小桥取1.1；</w:t>
            </w:r>
          </w:p>
        </w:tc>
      </w:tr>
      <w:tr w14:paraId="1708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051ADA3A">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M</m:t>
                    </m:r>
                    <m:ctrlPr>
                      <w:rPr>
                        <w:rFonts w:ascii="Cambria Math" w:hAnsi="Cambria Math"/>
                        <w:color w:val="auto"/>
                      </w:rPr>
                    </m:ctrlPr>
                  </m:e>
                  <m:sub>
                    <m:r>
                      <m:rPr/>
                      <w:rPr>
                        <w:rFonts w:ascii="Cambria Math" w:hAnsi="Cambria Math"/>
                        <w:color w:val="auto"/>
                      </w:rPr>
                      <m:t>d</m:t>
                    </m:r>
                    <m:ctrlPr>
                      <w:rPr>
                        <w:rFonts w:ascii="Cambria Math" w:hAnsi="Cambria Math"/>
                        <w:color w:val="auto"/>
                      </w:rPr>
                    </m:ctrlPr>
                  </m:sub>
                </m:sSub>
              </m:oMath>
            </m:oMathPara>
          </w:p>
        </w:tc>
        <w:tc>
          <w:tcPr>
            <w:tcW w:w="4146" w:type="pct"/>
            <w:gridSpan w:val="3"/>
            <w:tcBorders>
              <w:top w:val="nil"/>
              <w:left w:val="nil"/>
              <w:bottom w:val="nil"/>
              <w:right w:val="nil"/>
            </w:tcBorders>
          </w:tcPr>
          <w:p w14:paraId="72328443">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——弯矩设计值（N·m）；</w:t>
            </w:r>
          </w:p>
        </w:tc>
      </w:tr>
      <w:tr w14:paraId="78F3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4C092FA0">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M</m:t>
                    </m:r>
                    <m:ctrlPr>
                      <w:rPr>
                        <w:rFonts w:ascii="Cambria Math" w:hAnsi="Cambria Math"/>
                        <w:color w:val="auto"/>
                      </w:rPr>
                    </m:ctrlPr>
                  </m:e>
                  <m:sub>
                    <m:r>
                      <m:rPr/>
                      <w:rPr>
                        <w:rFonts w:ascii="Cambria Math" w:hAnsi="Cambria Math"/>
                        <w:color w:val="auto"/>
                      </w:rPr>
                      <m:t>u</m:t>
                    </m:r>
                    <m:ctrlPr>
                      <w:rPr>
                        <w:rFonts w:ascii="Cambria Math" w:hAnsi="Cambria Math"/>
                        <w:color w:val="auto"/>
                      </w:rPr>
                    </m:ctrlPr>
                  </m:sub>
                </m:sSub>
              </m:oMath>
            </m:oMathPara>
          </w:p>
        </w:tc>
        <w:tc>
          <w:tcPr>
            <w:tcW w:w="4146" w:type="pct"/>
            <w:gridSpan w:val="3"/>
            <w:tcBorders>
              <w:top w:val="nil"/>
              <w:left w:val="nil"/>
              <w:bottom w:val="nil"/>
              <w:right w:val="nil"/>
            </w:tcBorders>
          </w:tcPr>
          <w:p w14:paraId="1774DA9B">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——正截面抗弯承载力，应按本规程第5.2.3条规定计算（N·m）。</w:t>
            </w:r>
          </w:p>
        </w:tc>
      </w:tr>
    </w:tbl>
    <w:p w14:paraId="2108FFDA">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color w:val="auto"/>
          <w:szCs w:val="21"/>
        </w:rPr>
        <w:t>5.2.3</w:t>
      </w:r>
      <w:r>
        <w:rPr>
          <w:rFonts w:ascii="Times New Roman" w:hAnsi="Times New Roman" w:eastAsia="宋体"/>
          <w:b/>
          <w:color w:val="auto"/>
          <w:szCs w:val="21"/>
        </w:rPr>
        <w:t xml:space="preserve">  </w:t>
      </w:r>
      <w:r>
        <w:rPr>
          <w:rFonts w:hint="eastAsia" w:ascii="Times New Roman" w:hAnsi="Times New Roman" w:eastAsia="宋体"/>
          <w:color w:val="auto"/>
          <w:szCs w:val="21"/>
        </w:rPr>
        <w:t>倒“T”形超高性能混凝土-普通混凝土组合式盖板结构受弯构件，其正截面抗弯承载力计算应按下列规定进行计算（图5.2.3）：</w:t>
      </w:r>
    </w:p>
    <w:p w14:paraId="714C04F7">
      <w:pPr>
        <w:spacing w:line="360" w:lineRule="auto"/>
        <w:ind w:firstLine="422" w:firstLineChars="200"/>
        <w:rPr>
          <w:rFonts w:ascii="Times New Roman" w:hAnsi="Times New Roman" w:eastAsia="宋体"/>
          <w:color w:val="auto"/>
          <w:szCs w:val="21"/>
        </w:rPr>
      </w:pPr>
      <w:r>
        <w:rPr>
          <w:rFonts w:hint="eastAsia" w:ascii="Times New Roman" w:hAnsi="Times New Roman" w:eastAsia="宋体"/>
          <w:b/>
          <w:color w:val="auto"/>
          <w:szCs w:val="21"/>
        </w:rPr>
        <w:t>1</w:t>
      </w:r>
      <w:r>
        <w:rPr>
          <w:rFonts w:hint="eastAsia" w:ascii="Times New Roman" w:hAnsi="Times New Roman" w:eastAsia="宋体"/>
          <w:color w:val="auto"/>
          <w:szCs w:val="21"/>
        </w:rPr>
        <w:t xml:space="preserve"> 当符合下列条件时，中性轴位于普通混凝土内：</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
        <w:gridCol w:w="6773"/>
        <w:gridCol w:w="1026"/>
      </w:tblGrid>
      <w:tr w14:paraId="5FBFB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4" w:type="pct"/>
            <w:vAlign w:val="center"/>
          </w:tcPr>
          <w:p w14:paraId="0C676F78">
            <w:pPr>
              <w:spacing w:line="360" w:lineRule="auto"/>
              <w:rPr>
                <w:rFonts w:hint="eastAsia" w:ascii="等线" w:hAnsi="等线" w:eastAsia="等线" w:cs="Times New Roman"/>
                <w:color w:val="auto"/>
                <w:szCs w:val="21"/>
              </w:rPr>
            </w:pPr>
          </w:p>
        </w:tc>
        <w:tc>
          <w:tcPr>
            <w:tcW w:w="3974" w:type="pct"/>
            <w:vAlign w:val="center"/>
          </w:tcPr>
          <w:p w14:paraId="772C0C42">
            <w:pPr>
              <w:spacing w:line="360" w:lineRule="auto"/>
              <w:jc w:val="center"/>
              <w:rPr>
                <w:rFonts w:ascii="Times New Roman" w:hAnsi="Times New Roman" w:eastAsia="宋体"/>
                <w:color w:val="auto"/>
                <w:szCs w:val="21"/>
              </w:rPr>
            </w:pPr>
            <m:oMathPara>
              <m:oMath>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cd</m:t>
                    </m:r>
                    <m:ctrlPr>
                      <w:rPr>
                        <w:rFonts w:ascii="Cambria Math" w:hAnsi="Cambria Math"/>
                        <w:color w:val="auto"/>
                      </w:rPr>
                    </m:ctrlPr>
                  </m:sub>
                </m:sSub>
                <m:r>
                  <m:rPr/>
                  <w:rPr>
                    <w:rFonts w:ascii="Cambria Math" w:hAnsi="Cambria Math"/>
                    <w:color w:val="auto"/>
                  </w:rPr>
                  <m:t>bβ</m:t>
                </m:r>
                <m:d>
                  <m:dPr>
                    <m:ctrlPr>
                      <w:rPr>
                        <w:rFonts w:ascii="Cambria Math" w:hAnsi="Cambria Math"/>
                        <w:i/>
                        <w:color w:val="auto"/>
                      </w:rPr>
                    </m:ctrlPr>
                  </m:dPr>
                  <m:e>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1</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3</m:t>
                        </m:r>
                        <m:ctrlPr>
                          <w:rPr>
                            <w:rFonts w:ascii="Cambria Math" w:hAnsi="Cambria Math"/>
                            <w:i/>
                            <w:color w:val="auto"/>
                          </w:rPr>
                        </m:ctrlPr>
                      </m:sub>
                    </m:sSub>
                    <m:ctrlPr>
                      <w:rPr>
                        <w:rFonts w:ascii="Cambria Math" w:hAnsi="Cambria Math"/>
                        <w:i/>
                        <w:color w:val="auto"/>
                      </w:rPr>
                    </m:ctrlPr>
                  </m:e>
                </m:d>
                <m:r>
                  <m:rPr/>
                  <w:rPr>
                    <w:rFonts w:ascii="Cambria Math" w:hAnsi="Cambria Math"/>
                    <w:color w:val="auto"/>
                  </w:rPr>
                  <m:t>&gt;0.5</m:t>
                </m:r>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ftd</m:t>
                    </m:r>
                    <m:ctrlPr>
                      <w:rPr>
                        <w:rFonts w:ascii="Cambria Math" w:hAnsi="Cambria Math"/>
                        <w:i/>
                        <w:color w:val="auto"/>
                      </w:rPr>
                    </m:ctrlPr>
                  </m:sub>
                </m:sSub>
                <m:d>
                  <m:dPr>
                    <m:ctrlPr>
                      <w:rPr>
                        <w:rFonts w:ascii="Cambria Math" w:hAnsi="Cambria Math"/>
                        <w:i/>
                        <w:color w:val="auto"/>
                      </w:rPr>
                    </m:ctrlPr>
                  </m:dPr>
                  <m:e>
                    <m:r>
                      <m:rPr/>
                      <w:rPr>
                        <w:rFonts w:ascii="Cambria Math" w:hAnsi="Cambria Math"/>
                        <w:color w:val="auto"/>
                      </w:rPr>
                      <m:t>b</m:t>
                    </m:r>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2</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b</m:t>
                        </m:r>
                        <m:ctrlPr>
                          <w:rPr>
                            <w:rFonts w:ascii="Cambria Math" w:hAnsi="Cambria Math"/>
                            <w:i/>
                            <w:color w:val="auto"/>
                          </w:rPr>
                        </m:ctrlPr>
                      </m:e>
                      <m:sub>
                        <m:r>
                          <m:rPr/>
                          <w:rPr>
                            <w:rFonts w:ascii="Cambria Math" w:hAnsi="Cambria Math"/>
                            <w:color w:val="auto"/>
                          </w:rPr>
                          <m:t>f</m:t>
                        </m:r>
                        <m:ctrlPr>
                          <w:rPr>
                            <w:rFonts w:ascii="Cambria Math" w:hAnsi="Cambria Math"/>
                            <w:i/>
                            <w:color w:val="auto"/>
                          </w:rPr>
                        </m:ctrlPr>
                      </m:sub>
                    </m:sSub>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3</m:t>
                        </m:r>
                        <m:ctrlPr>
                          <w:rPr>
                            <w:rFonts w:ascii="Cambria Math" w:hAnsi="Cambria Math"/>
                            <w:i/>
                            <w:color w:val="auto"/>
                          </w:rPr>
                        </m:ctrlPr>
                      </m:sub>
                    </m:sSub>
                    <m:ctrlPr>
                      <w:rPr>
                        <w:rFonts w:ascii="Cambria Math" w:hAnsi="Cambria Math"/>
                        <w:i/>
                        <w:color w:val="auto"/>
                      </w:rPr>
                    </m:ctrlPr>
                  </m:e>
                </m:d>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sd1</m:t>
                    </m:r>
                    <m:ctrlPr>
                      <w:rPr>
                        <w:rFonts w:ascii="Cambria Math" w:hAnsi="Cambria Math"/>
                        <w:i/>
                        <w:color w:val="auto"/>
                      </w:rPr>
                    </m:ctrlPr>
                  </m:sub>
                </m:sSub>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sc</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sd2</m:t>
                    </m:r>
                    <m:ctrlPr>
                      <w:rPr>
                        <w:rFonts w:ascii="Cambria Math" w:hAnsi="Cambria Math"/>
                        <w:i/>
                        <w:color w:val="auto"/>
                      </w:rPr>
                    </m:ctrlPr>
                  </m:sub>
                </m:sSub>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su</m:t>
                    </m:r>
                    <m:ctrlPr>
                      <w:rPr>
                        <w:rFonts w:ascii="Cambria Math" w:hAnsi="Cambria Math"/>
                        <w:i/>
                        <w:color w:val="auto"/>
                      </w:rPr>
                    </m:ctrlPr>
                  </m:sub>
                </m:sSub>
              </m:oMath>
            </m:oMathPara>
          </w:p>
        </w:tc>
        <w:tc>
          <w:tcPr>
            <w:tcW w:w="602" w:type="pct"/>
            <w:vAlign w:val="center"/>
          </w:tcPr>
          <w:p w14:paraId="6FDF2C9F">
            <w:pPr>
              <w:spacing w:line="360" w:lineRule="auto"/>
              <w:jc w:val="right"/>
              <w:rPr>
                <w:rFonts w:ascii="Times New Roman" w:hAnsi="Times New Roman" w:eastAsia="宋体"/>
                <w:color w:val="auto"/>
                <w:szCs w:val="21"/>
              </w:rPr>
            </w:pPr>
            <w:r>
              <w:rPr>
                <w:rFonts w:ascii="Times New Roman" w:hAnsi="Times New Roman" w:eastAsia="宋体"/>
                <w:color w:val="auto"/>
                <w:szCs w:val="21"/>
              </w:rPr>
              <w:t>(5.2.3-1)</w:t>
            </w:r>
          </w:p>
        </w:tc>
      </w:tr>
      <w:tr w14:paraId="7D595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vAlign w:val="center"/>
          </w:tcPr>
          <w:p w14:paraId="590DB158">
            <w:pPr>
              <w:jc w:val="center"/>
              <w:rPr>
                <w:rFonts w:ascii="Times New Roman" w:hAnsi="Times New Roman" w:eastAsia="宋体"/>
                <w:color w:val="auto"/>
                <w:szCs w:val="21"/>
              </w:rPr>
            </w:pPr>
            <w:r>
              <w:rPr>
                <w:rFonts w:ascii="Times New Roman" w:hAnsi="Times New Roman" w:eastAsia="黑体" w:cs="Times New Roman"/>
                <w:color w:val="auto"/>
                <w:szCs w:val="21"/>
              </w:rPr>
              <w:object>
                <v:shape id="_x0000_i1126" o:spt="75" type="#_x0000_t75" style="height:107.65pt;width:357.1pt;" o:ole="t" filled="f" o:preferrelative="t" stroked="f" coordsize="21600,21600">
                  <v:path/>
                  <v:fill on="f" focussize="0,0"/>
                  <v:stroke on="f" joinstyle="miter"/>
                  <v:imagedata r:id="rId210" croptop="1164f" cropbottom="1012f" o:title=""/>
                  <o:lock v:ext="edit" aspectratio="t"/>
                  <w10:wrap type="none"/>
                  <w10:anchorlock/>
                </v:shape>
                <o:OLEObject Type="Embed" ProgID="Visio.Drawing.15" ShapeID="_x0000_i1126" DrawAspect="Content" ObjectID="_1468075826" r:id="rId209">
                  <o:LockedField>false</o:LockedField>
                </o:OLEObject>
              </w:object>
            </w:r>
          </w:p>
        </w:tc>
      </w:tr>
      <w:tr w14:paraId="17F40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vAlign w:val="center"/>
          </w:tcPr>
          <w:p w14:paraId="680DAD3D">
            <w:pPr>
              <w:jc w:val="center"/>
              <w:rPr>
                <w:rFonts w:ascii="Times New Roman" w:hAnsi="Times New Roman" w:eastAsia="黑体" w:cs="Times New Roman"/>
                <w:color w:val="auto"/>
              </w:rPr>
            </w:pPr>
            <m:oMathPara>
              <m:oMath>
                <m:r>
                  <m:rPr>
                    <m:sty m:val="p"/>
                  </m:rPr>
                  <w:rPr>
                    <w:rFonts w:ascii="Cambria Math" w:hAnsi="Cambria Math" w:eastAsia="宋体"/>
                    <w:color w:val="auto"/>
                    <w:szCs w:val="21"/>
                  </w:rPr>
                  <m:t xml:space="preserve">(a) </m:t>
                </m:r>
                <m:r>
                  <m:rPr/>
                  <w:rPr>
                    <w:rFonts w:ascii="Cambria Math" w:hAnsi="Cambria Math"/>
                    <w:color w:val="auto"/>
                  </w:rPr>
                  <m:t>x</m:t>
                </m:r>
                <m:r>
                  <m:rPr>
                    <m:sty m:val="p"/>
                  </m:rPr>
                  <w:rPr>
                    <w:rFonts w:ascii="Cambria Math" w:hAnsi="Cambria Math"/>
                    <w:color w:val="auto"/>
                  </w:rPr>
                  <m:t>&lt;</m:t>
                </m:r>
                <m:sSub>
                  <m:sSubPr>
                    <m:ctrlPr>
                      <w:rPr>
                        <w:rFonts w:ascii="Cambria Math" w:hAnsi="Cambria Math"/>
                        <w:color w:val="auto"/>
                      </w:rPr>
                    </m:ctrlPr>
                  </m:sSubPr>
                  <m:e>
                    <m:r>
                      <m:rPr/>
                      <w:rPr>
                        <w:rFonts w:ascii="Cambria Math" w:hAnsi="Cambria Math"/>
                        <w:color w:val="auto"/>
                      </w:rPr>
                      <m:t>ℎ</m:t>
                    </m:r>
                    <m:ctrlPr>
                      <w:rPr>
                        <w:rFonts w:ascii="Cambria Math" w:hAnsi="Cambria Math"/>
                        <w:color w:val="auto"/>
                      </w:rPr>
                    </m:ctrlPr>
                  </m:e>
                  <m:sub>
                    <m:r>
                      <m:rPr/>
                      <w:rPr>
                        <w:rFonts w:ascii="Cambria Math" w:hAnsi="Cambria Math"/>
                        <w:color w:val="auto"/>
                      </w:rPr>
                      <m:t>1</m:t>
                    </m:r>
                    <m:ctrlPr>
                      <w:rPr>
                        <w:rFonts w:ascii="Cambria Math" w:hAnsi="Cambria Math"/>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3</m:t>
                    </m:r>
                    <m:ctrlPr>
                      <w:rPr>
                        <w:rFonts w:ascii="Cambria Math" w:hAnsi="Cambria Math"/>
                        <w:i/>
                        <w:color w:val="auto"/>
                      </w:rPr>
                    </m:ctrlPr>
                  </m:sub>
                </m:sSub>
              </m:oMath>
            </m:oMathPara>
          </w:p>
          <w:p w14:paraId="6FBBF006">
            <w:pPr>
              <w:jc w:val="center"/>
              <w:rPr>
                <w:rStyle w:val="383"/>
                <w:rFonts w:hint="default"/>
                <w:color w:val="auto"/>
              </w:rPr>
            </w:pPr>
            <w:r>
              <w:rPr>
                <w:rFonts w:ascii="Times New Roman" w:hAnsi="Times New Roman" w:eastAsia="黑体" w:cs="Times New Roman"/>
                <w:color w:val="auto"/>
                <w:szCs w:val="21"/>
              </w:rPr>
              <w:object>
                <v:shape id="_x0000_i1127" o:spt="75" type="#_x0000_t75" style="height:107.65pt;width:357.1pt;" o:ole="t" filled="f" o:preferrelative="t" stroked="f" coordsize="21600,21600">
                  <v:path/>
                  <v:fill on="f" focussize="0,0"/>
                  <v:stroke on="f" joinstyle="miter"/>
                  <v:imagedata r:id="rId212" croptop="1164f" cropbottom="1012f" o:title=""/>
                  <o:lock v:ext="edit" aspectratio="t"/>
                  <w10:wrap type="none"/>
                  <w10:anchorlock/>
                </v:shape>
                <o:OLEObject Type="Embed" ProgID="Visio.Drawing.15" ShapeID="_x0000_i1127" DrawAspect="Content" ObjectID="_1468075827" r:id="rId211">
                  <o:LockedField>false</o:LockedField>
                </o:OLEObject>
              </w:object>
            </w:r>
          </w:p>
        </w:tc>
      </w:tr>
      <w:tr w14:paraId="47611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vAlign w:val="center"/>
          </w:tcPr>
          <w:p w14:paraId="06E9835C">
            <w:pPr>
              <w:jc w:val="center"/>
              <w:rPr>
                <w:rStyle w:val="383"/>
                <w:rFonts w:hint="default"/>
                <w:color w:val="auto"/>
              </w:rPr>
            </w:pPr>
            <w:r>
              <w:rPr>
                <w:rFonts w:ascii="Times New Roman" w:hAnsi="Times New Roman" w:eastAsia="宋体"/>
                <w:color w:val="auto"/>
                <w:szCs w:val="21"/>
              </w:rPr>
              <w:t xml:space="preserve">(b) </w:t>
            </w:r>
            <m:oMath>
              <m:r>
                <m:rPr/>
                <w:rPr>
                  <w:rFonts w:ascii="Cambria Math" w:hAnsi="Cambria Math"/>
                  <w:color w:val="auto"/>
                </w:rPr>
                <m:t>x</m:t>
              </m:r>
              <m:r>
                <m:rPr>
                  <m:sty m:val="p"/>
                </m:rPr>
                <w:rPr>
                  <w:rFonts w:ascii="Cambria Math" w:hAnsi="Cambria Math"/>
                  <w:color w:val="auto"/>
                </w:rPr>
                <m:t>≥</m:t>
              </m:r>
              <m:sSub>
                <m:sSubPr>
                  <m:ctrlPr>
                    <w:rPr>
                      <w:rFonts w:ascii="Cambria Math" w:hAnsi="Cambria Math"/>
                      <w:color w:val="auto"/>
                    </w:rPr>
                  </m:ctrlPr>
                </m:sSubPr>
                <m:e>
                  <m:r>
                    <m:rPr/>
                    <w:rPr>
                      <w:rFonts w:ascii="Cambria Math" w:hAnsi="Cambria Math"/>
                      <w:color w:val="auto"/>
                    </w:rPr>
                    <m:t>ℎ</m:t>
                  </m:r>
                  <m:ctrlPr>
                    <w:rPr>
                      <w:rFonts w:ascii="Cambria Math" w:hAnsi="Cambria Math"/>
                      <w:color w:val="auto"/>
                    </w:rPr>
                  </m:ctrlPr>
                </m:e>
                <m:sub>
                  <m:r>
                    <m:rPr/>
                    <w:rPr>
                      <w:rFonts w:ascii="Cambria Math" w:hAnsi="Cambria Math"/>
                      <w:color w:val="auto"/>
                    </w:rPr>
                    <m:t>1</m:t>
                  </m:r>
                  <m:ctrlPr>
                    <w:rPr>
                      <w:rFonts w:ascii="Cambria Math" w:hAnsi="Cambria Math"/>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3</m:t>
                  </m:r>
                  <m:ctrlPr>
                    <w:rPr>
                      <w:rFonts w:ascii="Cambria Math" w:hAnsi="Cambria Math"/>
                      <w:i/>
                      <w:color w:val="auto"/>
                    </w:rPr>
                  </m:ctrlPr>
                </m:sub>
              </m:sSub>
            </m:oMath>
          </w:p>
        </w:tc>
      </w:tr>
    </w:tbl>
    <w:p w14:paraId="7208D2F1">
      <w:pPr>
        <w:spacing w:line="360" w:lineRule="auto"/>
        <w:jc w:val="center"/>
        <w:rPr>
          <w:rFonts w:ascii="Times New Roman" w:hAnsi="Times New Roman" w:eastAsia="黑体" w:cs="Times New Roman"/>
          <w:color w:val="auto"/>
          <w:sz w:val="18"/>
          <w:szCs w:val="20"/>
        </w:rPr>
      </w:pPr>
      <w:r>
        <w:rPr>
          <w:rFonts w:ascii="Times New Roman" w:hAnsi="Times New Roman" w:eastAsia="黑体" w:cs="Times New Roman"/>
          <w:color w:val="auto"/>
          <w:sz w:val="18"/>
          <w:szCs w:val="20"/>
        </w:rPr>
        <w:t>图5.2.3 倒“T”形盖板结构正截面承载力计算图示</w:t>
      </w:r>
    </w:p>
    <w:p w14:paraId="57914AC1">
      <w:pPr>
        <w:spacing w:line="360" w:lineRule="auto"/>
        <w:ind w:firstLine="420" w:firstLineChars="200"/>
        <w:rPr>
          <w:rFonts w:ascii="Times New Roman" w:hAnsi="Times New Roman" w:eastAsia="宋体"/>
          <w:color w:val="auto"/>
          <w:szCs w:val="21"/>
        </w:rPr>
      </w:pPr>
      <w:r>
        <w:rPr>
          <w:rFonts w:hint="eastAsia" w:ascii="Times New Roman" w:hAnsi="Times New Roman" w:eastAsia="宋体"/>
          <w:color w:val="auto"/>
          <w:szCs w:val="21"/>
        </w:rPr>
        <w:t>其正截面抗弯承载力应按下列公式计算：</w:t>
      </w:r>
    </w:p>
    <w:tbl>
      <w:tblPr>
        <w:tblStyle w:val="46"/>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23"/>
        <w:gridCol w:w="1099"/>
      </w:tblGrid>
      <w:tr w14:paraId="38C8C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55" w:type="pct"/>
            <w:vAlign w:val="center"/>
          </w:tcPr>
          <w:p w14:paraId="7BEDBAD5">
            <w:pPr>
              <w:spacing w:line="360" w:lineRule="auto"/>
              <w:jc w:val="center"/>
              <w:rPr>
                <w:rFonts w:ascii="Times New Roman" w:hAnsi="Times New Roman" w:eastAsia="宋体"/>
                <w:color w:val="auto"/>
                <w:szCs w:val="21"/>
              </w:rPr>
            </w:pPr>
            <m:oMathPara>
              <m:oMath>
                <m:sSub>
                  <m:sSubPr>
                    <m:ctrlPr>
                      <w:rPr>
                        <w:rFonts w:ascii="Cambria Math" w:hAnsi="Cambria Math"/>
                        <w:color w:val="auto"/>
                      </w:rPr>
                    </m:ctrlPr>
                  </m:sSubPr>
                  <m:e>
                    <m:r>
                      <m:rPr/>
                      <w:rPr>
                        <w:rFonts w:ascii="Cambria Math" w:hAnsi="Cambria Math"/>
                        <w:color w:val="auto"/>
                      </w:rPr>
                      <m:t>M</m:t>
                    </m:r>
                    <m:ctrlPr>
                      <w:rPr>
                        <w:rFonts w:ascii="Cambria Math" w:hAnsi="Cambria Math"/>
                        <w:color w:val="auto"/>
                      </w:rPr>
                    </m:ctrlPr>
                  </m:e>
                  <m:sub>
                    <m:r>
                      <m:rPr/>
                      <w:rPr>
                        <w:rFonts w:ascii="Cambria Math" w:hAnsi="Cambria Math"/>
                        <w:color w:val="auto"/>
                      </w:rPr>
                      <m:t>u</m:t>
                    </m:r>
                    <m:ctrlPr>
                      <w:rPr>
                        <w:rFonts w:ascii="Cambria Math" w:hAnsi="Cambria Math"/>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cd</m:t>
                    </m:r>
                    <m:ctrlPr>
                      <w:rPr>
                        <w:rFonts w:ascii="Cambria Math" w:hAnsi="Cambria Math"/>
                        <w:i/>
                        <w:color w:val="auto"/>
                      </w:rPr>
                    </m:ctrlPr>
                  </m:sub>
                </m:sSub>
                <m:r>
                  <m:rPr/>
                  <w:rPr>
                    <w:rFonts w:ascii="Cambria Math" w:hAnsi="Cambria Math"/>
                    <w:color w:val="auto"/>
                  </w:rPr>
                  <m:t>bx</m:t>
                </m:r>
                <m:d>
                  <m:dPr>
                    <m:ctrlPr>
                      <w:rPr>
                        <w:rFonts w:ascii="Cambria Math" w:hAnsi="Cambria Math"/>
                        <w:i/>
                        <w:color w:val="auto"/>
                      </w:rPr>
                    </m:ctrlPr>
                  </m:dPr>
                  <m:e>
                    <m:r>
                      <m:rPr/>
                      <w:rPr>
                        <w:rFonts w:ascii="Cambria Math" w:hAnsi="Cambria Math"/>
                        <w:color w:val="auto"/>
                      </w:rPr>
                      <m:t>ℎ−</m:t>
                    </m:r>
                    <m:f>
                      <m:fPr>
                        <m:ctrlPr>
                          <w:rPr>
                            <w:rFonts w:ascii="Cambria Math" w:hAnsi="Cambria Math"/>
                            <w:i/>
                            <w:color w:val="auto"/>
                          </w:rPr>
                        </m:ctrlPr>
                      </m:fPr>
                      <m:num>
                        <m:r>
                          <m:rPr/>
                          <w:rPr>
                            <w:rFonts w:ascii="Cambria Math" w:hAnsi="Cambria Math"/>
                            <w:color w:val="auto"/>
                          </w:rPr>
                          <m:t>x</m:t>
                        </m:r>
                        <m:ctrlPr>
                          <w:rPr>
                            <w:rFonts w:ascii="Cambria Math" w:hAnsi="Cambria Math"/>
                            <w:i/>
                            <w:color w:val="auto"/>
                          </w:rPr>
                        </m:ctrlPr>
                      </m:num>
                      <m:den>
                        <m:r>
                          <m:rPr/>
                          <w:rPr>
                            <w:rFonts w:ascii="Cambria Math" w:hAnsi="Cambria Math"/>
                            <w:color w:val="auto"/>
                          </w:rPr>
                          <m:t>2</m:t>
                        </m:r>
                        <m:ctrlPr>
                          <w:rPr>
                            <w:rFonts w:ascii="Cambria Math" w:hAnsi="Cambria Math"/>
                            <w:i/>
                            <w:color w:val="auto"/>
                          </w:rPr>
                        </m:ctrlPr>
                      </m:den>
                    </m:f>
                    <m:ctrlPr>
                      <w:rPr>
                        <w:rFonts w:ascii="Cambria Math" w:hAnsi="Cambria Math"/>
                        <w:i/>
                        <w:color w:val="auto"/>
                      </w:rPr>
                    </m:ctrlPr>
                  </m:e>
                </m:d>
                <m:r>
                  <m:rPr/>
                  <w:rPr>
                    <w:rFonts w:ascii="Cambria Math" w:hAnsi="Cambria Math"/>
                    <w:color w:val="auto"/>
                  </w:rPr>
                  <m:t>−0.25</m:t>
                </m:r>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ftd</m:t>
                    </m:r>
                    <m:ctrlPr>
                      <w:rPr>
                        <w:rFonts w:ascii="Cambria Math" w:hAnsi="Cambria Math"/>
                        <w:i/>
                        <w:color w:val="auto"/>
                      </w:rPr>
                    </m:ctrlPr>
                  </m:sub>
                </m:sSub>
                <m:r>
                  <m:rPr/>
                  <w:rPr>
                    <w:rFonts w:ascii="Cambria Math" w:hAnsi="Cambria Math"/>
                    <w:color w:val="auto"/>
                  </w:rPr>
                  <m:t>b</m:t>
                </m:r>
                <m:sSubSup>
                  <m:sSubSupPr>
                    <m:ctrlPr>
                      <w:rPr>
                        <w:rFonts w:ascii="Cambria Math" w:hAnsi="Cambria Math"/>
                        <w:color w:val="auto"/>
                      </w:rPr>
                    </m:ctrlPr>
                  </m:sSubSupPr>
                  <m:e>
                    <m:r>
                      <m:rPr/>
                      <w:rPr>
                        <w:rFonts w:ascii="Cambria Math" w:hAnsi="Cambria Math"/>
                        <w:color w:val="auto"/>
                      </w:rPr>
                      <m:t>ℎ</m:t>
                    </m:r>
                    <m:ctrlPr>
                      <w:rPr>
                        <w:rFonts w:ascii="Cambria Math" w:hAnsi="Cambria Math"/>
                        <w:color w:val="auto"/>
                      </w:rPr>
                    </m:ctrlPr>
                  </m:e>
                  <m:sub>
                    <m:r>
                      <m:rPr/>
                      <w:rPr>
                        <w:rFonts w:ascii="Cambria Math" w:hAnsi="Cambria Math"/>
                        <w:color w:val="auto"/>
                      </w:rPr>
                      <m:t>2</m:t>
                    </m:r>
                    <m:ctrlPr>
                      <w:rPr>
                        <w:rFonts w:ascii="Cambria Math" w:hAnsi="Cambria Math"/>
                        <w:color w:val="auto"/>
                      </w:rPr>
                    </m:ctrlPr>
                  </m:sub>
                  <m:sup>
                    <m:r>
                      <m:rPr/>
                      <w:rPr>
                        <w:rFonts w:ascii="Cambria Math" w:hAnsi="Cambria Math"/>
                        <w:color w:val="auto"/>
                      </w:rPr>
                      <m:t>2</m:t>
                    </m:r>
                    <m:ctrlPr>
                      <w:rPr>
                        <w:rFonts w:ascii="Cambria Math" w:hAnsi="Cambria Math"/>
                        <w:color w:val="auto"/>
                      </w:rPr>
                    </m:ctrlPr>
                  </m:sup>
                </m:sSubSup>
                <m:r>
                  <m:rPr/>
                  <w:rPr>
                    <w:rFonts w:ascii="Cambria Math" w:hAnsi="Cambria Math"/>
                    <w:color w:val="auto"/>
                  </w:rPr>
                  <m:t>−0.5</m:t>
                </m:r>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ftd</m:t>
                    </m:r>
                    <m:ctrlPr>
                      <w:rPr>
                        <w:rFonts w:ascii="Cambria Math" w:hAnsi="Cambria Math"/>
                        <w:i/>
                        <w:color w:val="auto"/>
                      </w:rPr>
                    </m:ctrlPr>
                  </m:sub>
                </m:sSub>
                <m:sSub>
                  <m:sSubPr>
                    <m:ctrlPr>
                      <w:rPr>
                        <w:rFonts w:ascii="Cambria Math" w:hAnsi="Cambria Math"/>
                        <w:i/>
                        <w:color w:val="auto"/>
                      </w:rPr>
                    </m:ctrlPr>
                  </m:sSubPr>
                  <m:e>
                    <m:r>
                      <m:rPr/>
                      <w:rPr>
                        <w:rFonts w:ascii="Cambria Math" w:hAnsi="Cambria Math"/>
                        <w:color w:val="auto"/>
                      </w:rPr>
                      <m:t>b</m:t>
                    </m:r>
                    <m:ctrlPr>
                      <w:rPr>
                        <w:rFonts w:ascii="Cambria Math" w:hAnsi="Cambria Math"/>
                        <w:i/>
                        <w:color w:val="auto"/>
                      </w:rPr>
                    </m:ctrlPr>
                  </m:e>
                  <m:sub>
                    <m:r>
                      <m:rPr/>
                      <w:rPr>
                        <w:rFonts w:ascii="Cambria Math" w:hAnsi="Cambria Math"/>
                        <w:color w:val="auto"/>
                      </w:rPr>
                      <m:t>f</m:t>
                    </m:r>
                    <m:ctrlPr>
                      <w:rPr>
                        <w:rFonts w:ascii="Cambria Math" w:hAnsi="Cambria Math"/>
                        <w:i/>
                        <w:color w:val="auto"/>
                      </w:rPr>
                    </m:ctrlPr>
                  </m:sub>
                </m:sSub>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3</m:t>
                    </m:r>
                    <m:ctrlPr>
                      <w:rPr>
                        <w:rFonts w:ascii="Cambria Math" w:hAnsi="Cambria Math"/>
                        <w:i/>
                        <w:color w:val="auto"/>
                      </w:rPr>
                    </m:ctrlPr>
                  </m:sub>
                </m:sSub>
                <m:d>
                  <m:dPr>
                    <m:ctrlPr>
                      <w:rPr>
                        <w:rFonts w:ascii="Cambria Math" w:hAnsi="Cambria Math"/>
                        <w:i/>
                        <w:color w:val="auto"/>
                      </w:rPr>
                    </m:ctrlPr>
                  </m:dPr>
                  <m:e>
                    <m:f>
                      <m:fPr>
                        <m:ctrlPr>
                          <w:rPr>
                            <w:rFonts w:ascii="Cambria Math" w:hAnsi="Cambria Math"/>
                            <w:i/>
                            <w:color w:val="auto"/>
                          </w:rPr>
                        </m:ctrlPr>
                      </m:fPr>
                      <m:num>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3</m:t>
                            </m:r>
                            <m:ctrlPr>
                              <w:rPr>
                                <w:rFonts w:ascii="Cambria Math" w:hAnsi="Cambria Math"/>
                                <w:i/>
                                <w:color w:val="auto"/>
                              </w:rPr>
                            </m:ctrlPr>
                          </m:sub>
                        </m:sSub>
                        <m:ctrlPr>
                          <w:rPr>
                            <w:rFonts w:ascii="Cambria Math" w:hAnsi="Cambria Math"/>
                            <w:i/>
                            <w:color w:val="auto"/>
                          </w:rPr>
                        </m:ctrlPr>
                      </m:num>
                      <m:den>
                        <m:r>
                          <m:rPr/>
                          <w:rPr>
                            <w:rFonts w:ascii="Cambria Math" w:hAnsi="Cambria Math"/>
                            <w:color w:val="auto"/>
                          </w:rPr>
                          <m:t>2</m:t>
                        </m:r>
                        <m:ctrlPr>
                          <w:rPr>
                            <w:rFonts w:ascii="Cambria Math" w:hAnsi="Cambria Math"/>
                            <w:i/>
                            <w:color w:val="auto"/>
                          </w:rPr>
                        </m:ctrlPr>
                      </m:den>
                    </m:f>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2</m:t>
                        </m:r>
                        <m:ctrlPr>
                          <w:rPr>
                            <w:rFonts w:ascii="Cambria Math" w:hAnsi="Cambria Math"/>
                            <w:i/>
                            <w:color w:val="auto"/>
                          </w:rPr>
                        </m:ctrlPr>
                      </m:sub>
                    </m:sSub>
                    <m:ctrlPr>
                      <w:rPr>
                        <w:rFonts w:ascii="Cambria Math" w:hAnsi="Cambria Math"/>
                        <w:i/>
                        <w:color w:val="auto"/>
                      </w:rPr>
                    </m:ctrlPr>
                  </m:e>
                </m:d>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sd1</m:t>
                    </m:r>
                    <m:ctrlPr>
                      <w:rPr>
                        <w:rFonts w:ascii="Cambria Math" w:hAnsi="Cambria Math"/>
                        <w:i/>
                        <w:color w:val="auto"/>
                      </w:rPr>
                    </m:ctrlPr>
                  </m:sub>
                </m:sSub>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sc</m:t>
                    </m:r>
                    <m:ctrlPr>
                      <w:rPr>
                        <w:rFonts w:ascii="Cambria Math" w:hAnsi="Cambria Math"/>
                        <w:i/>
                        <w:color w:val="auto"/>
                      </w:rPr>
                    </m:ctrlPr>
                  </m:sub>
                </m:sSub>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s1</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sd2</m:t>
                    </m:r>
                    <m:ctrlPr>
                      <w:rPr>
                        <w:rFonts w:ascii="Cambria Math" w:hAnsi="Cambria Math"/>
                        <w:i/>
                        <w:color w:val="auto"/>
                      </w:rPr>
                    </m:ctrlPr>
                  </m:sub>
                </m:sSub>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su</m:t>
                    </m:r>
                    <m:ctrlPr>
                      <w:rPr>
                        <w:rFonts w:ascii="Cambria Math" w:hAnsi="Cambria Math"/>
                        <w:i/>
                        <w:color w:val="auto"/>
                      </w:rPr>
                    </m:ctrlPr>
                  </m:sub>
                </m:sSub>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s2</m:t>
                    </m:r>
                    <m:ctrlPr>
                      <w:rPr>
                        <w:rFonts w:ascii="Cambria Math" w:hAnsi="Cambria Math"/>
                        <w:i/>
                        <w:color w:val="auto"/>
                      </w:rPr>
                    </m:ctrlPr>
                  </m:sub>
                </m:sSub>
              </m:oMath>
            </m:oMathPara>
          </w:p>
        </w:tc>
        <w:tc>
          <w:tcPr>
            <w:tcW w:w="645" w:type="pct"/>
            <w:vAlign w:val="center"/>
          </w:tcPr>
          <w:p w14:paraId="6A256CB8">
            <w:pPr>
              <w:spacing w:line="360" w:lineRule="auto"/>
              <w:jc w:val="right"/>
              <w:rPr>
                <w:rFonts w:ascii="Times New Roman" w:hAnsi="Times New Roman" w:eastAsia="宋体"/>
                <w:color w:val="auto"/>
                <w:szCs w:val="21"/>
              </w:rPr>
            </w:pPr>
            <w:r>
              <w:rPr>
                <w:rFonts w:ascii="Times New Roman" w:hAnsi="Times New Roman" w:eastAsia="宋体"/>
                <w:color w:val="auto"/>
                <w:szCs w:val="21"/>
              </w:rPr>
              <w:t>(5.2.3-2)</w:t>
            </w:r>
          </w:p>
        </w:tc>
      </w:tr>
    </w:tbl>
    <w:p w14:paraId="0A48D635">
      <w:pPr>
        <w:spacing w:line="360" w:lineRule="auto"/>
        <w:ind w:firstLine="420" w:firstLineChars="200"/>
        <w:rPr>
          <w:rFonts w:ascii="Times New Roman" w:hAnsi="Times New Roman" w:eastAsia="宋体"/>
          <w:color w:val="auto"/>
          <w:szCs w:val="21"/>
        </w:rPr>
      </w:pPr>
      <w:r>
        <w:rPr>
          <w:rFonts w:hint="eastAsia" w:ascii="Times New Roman" w:hAnsi="Times New Roman" w:eastAsia="宋体"/>
          <w:color w:val="auto"/>
          <w:szCs w:val="21"/>
        </w:rPr>
        <w:t xml:space="preserve">受压区高度 </w:t>
      </w:r>
      <m:oMath>
        <m:r>
          <m:rPr/>
          <w:rPr>
            <w:rFonts w:ascii="Cambria Math" w:hAnsi="Cambria Math"/>
            <w:color w:val="auto"/>
          </w:rPr>
          <m:t>x</m:t>
        </m:r>
      </m:oMath>
      <w:r>
        <w:rPr>
          <w:rFonts w:hint="eastAsia" w:ascii="Times New Roman" w:hAnsi="Times New Roman" w:eastAsia="宋体"/>
          <w:color w:val="auto"/>
          <w:szCs w:val="21"/>
        </w:rPr>
        <w:t xml:space="preserve"> 应按下列公式计算：</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
        <w:gridCol w:w="6773"/>
        <w:gridCol w:w="1026"/>
      </w:tblGrid>
      <w:tr w14:paraId="5D7DF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4" w:type="pct"/>
            <w:vAlign w:val="center"/>
          </w:tcPr>
          <w:p w14:paraId="274E6DAC">
            <w:pPr>
              <w:spacing w:line="360" w:lineRule="auto"/>
              <w:rPr>
                <w:rFonts w:hint="eastAsia" w:ascii="等线" w:hAnsi="等线" w:eastAsia="等线" w:cs="Times New Roman"/>
                <w:color w:val="auto"/>
                <w:szCs w:val="21"/>
              </w:rPr>
            </w:pPr>
          </w:p>
        </w:tc>
        <w:tc>
          <w:tcPr>
            <w:tcW w:w="3974" w:type="pct"/>
            <w:vAlign w:val="center"/>
          </w:tcPr>
          <w:p w14:paraId="06D21EBA">
            <w:pPr>
              <w:spacing w:line="360" w:lineRule="auto"/>
              <w:jc w:val="center"/>
              <w:rPr>
                <w:rFonts w:ascii="Times New Roman" w:hAnsi="Times New Roman" w:eastAsia="宋体"/>
                <w:color w:val="auto"/>
                <w:szCs w:val="21"/>
              </w:rPr>
            </w:pPr>
            <m:oMathPara>
              <m:oMath>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cd</m:t>
                    </m:r>
                    <m:ctrlPr>
                      <w:rPr>
                        <w:rFonts w:ascii="Cambria Math" w:hAnsi="Cambria Math"/>
                        <w:color w:val="auto"/>
                      </w:rPr>
                    </m:ctrlPr>
                  </m:sub>
                </m:sSub>
                <m:r>
                  <m:rPr/>
                  <w:rPr>
                    <w:rFonts w:ascii="Cambria Math" w:hAnsi="Cambria Math"/>
                    <w:color w:val="auto"/>
                  </w:rPr>
                  <m:t>bx=0.5</m:t>
                </m:r>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ftd</m:t>
                    </m:r>
                    <m:ctrlPr>
                      <w:rPr>
                        <w:rFonts w:ascii="Cambria Math" w:hAnsi="Cambria Math"/>
                        <w:i/>
                        <w:color w:val="auto"/>
                      </w:rPr>
                    </m:ctrlPr>
                  </m:sub>
                </m:sSub>
                <m:d>
                  <m:dPr>
                    <m:ctrlPr>
                      <w:rPr>
                        <w:rFonts w:ascii="Cambria Math" w:hAnsi="Cambria Math"/>
                        <w:i/>
                        <w:color w:val="auto"/>
                      </w:rPr>
                    </m:ctrlPr>
                  </m:dPr>
                  <m:e>
                    <m:r>
                      <m:rPr/>
                      <w:rPr>
                        <w:rFonts w:ascii="Cambria Math" w:hAnsi="Cambria Math"/>
                        <w:color w:val="auto"/>
                      </w:rPr>
                      <m:t>b</m:t>
                    </m:r>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2</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b</m:t>
                        </m:r>
                        <m:ctrlPr>
                          <w:rPr>
                            <w:rFonts w:ascii="Cambria Math" w:hAnsi="Cambria Math"/>
                            <w:i/>
                            <w:color w:val="auto"/>
                          </w:rPr>
                        </m:ctrlPr>
                      </m:e>
                      <m:sub>
                        <m:r>
                          <m:rPr/>
                          <w:rPr>
                            <w:rFonts w:ascii="Cambria Math" w:hAnsi="Cambria Math"/>
                            <w:color w:val="auto"/>
                          </w:rPr>
                          <m:t>f</m:t>
                        </m:r>
                        <m:ctrlPr>
                          <w:rPr>
                            <w:rFonts w:ascii="Cambria Math" w:hAnsi="Cambria Math"/>
                            <w:i/>
                            <w:color w:val="auto"/>
                          </w:rPr>
                        </m:ctrlPr>
                      </m:sub>
                    </m:sSub>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3</m:t>
                        </m:r>
                        <m:ctrlPr>
                          <w:rPr>
                            <w:rFonts w:ascii="Cambria Math" w:hAnsi="Cambria Math"/>
                            <w:i/>
                            <w:color w:val="auto"/>
                          </w:rPr>
                        </m:ctrlPr>
                      </m:sub>
                    </m:sSub>
                    <m:ctrlPr>
                      <w:rPr>
                        <w:rFonts w:ascii="Cambria Math" w:hAnsi="Cambria Math"/>
                        <w:i/>
                        <w:color w:val="auto"/>
                      </w:rPr>
                    </m:ctrlPr>
                  </m:e>
                </m:d>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sd1</m:t>
                    </m:r>
                    <m:ctrlPr>
                      <w:rPr>
                        <w:rFonts w:ascii="Cambria Math" w:hAnsi="Cambria Math"/>
                        <w:i/>
                        <w:color w:val="auto"/>
                      </w:rPr>
                    </m:ctrlPr>
                  </m:sub>
                </m:sSub>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sc</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sd2</m:t>
                    </m:r>
                    <m:ctrlPr>
                      <w:rPr>
                        <w:rFonts w:ascii="Cambria Math" w:hAnsi="Cambria Math"/>
                        <w:i/>
                        <w:color w:val="auto"/>
                      </w:rPr>
                    </m:ctrlPr>
                  </m:sub>
                </m:sSub>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su</m:t>
                    </m:r>
                    <m:ctrlPr>
                      <w:rPr>
                        <w:rFonts w:ascii="Cambria Math" w:hAnsi="Cambria Math"/>
                        <w:i/>
                        <w:color w:val="auto"/>
                      </w:rPr>
                    </m:ctrlPr>
                  </m:sub>
                </m:sSub>
              </m:oMath>
            </m:oMathPara>
          </w:p>
        </w:tc>
        <w:tc>
          <w:tcPr>
            <w:tcW w:w="602" w:type="pct"/>
            <w:vAlign w:val="center"/>
          </w:tcPr>
          <w:p w14:paraId="45F184BC">
            <w:pPr>
              <w:spacing w:line="360" w:lineRule="auto"/>
              <w:jc w:val="right"/>
              <w:rPr>
                <w:rFonts w:ascii="Times New Roman" w:hAnsi="Times New Roman" w:eastAsia="宋体"/>
                <w:color w:val="auto"/>
                <w:szCs w:val="21"/>
              </w:rPr>
            </w:pPr>
            <w:r>
              <w:rPr>
                <w:rFonts w:ascii="Times New Roman" w:hAnsi="Times New Roman" w:eastAsia="宋体"/>
                <w:color w:val="auto"/>
                <w:szCs w:val="21"/>
              </w:rPr>
              <w:t>(5.2.3-3)</w:t>
            </w:r>
          </w:p>
        </w:tc>
      </w:tr>
    </w:tbl>
    <w:p w14:paraId="45A6FA3D">
      <w:pPr>
        <w:spacing w:line="360" w:lineRule="auto"/>
        <w:ind w:firstLine="422" w:firstLineChars="200"/>
        <w:rPr>
          <w:rFonts w:ascii="Times New Roman" w:hAnsi="Times New Roman" w:eastAsia="宋体"/>
          <w:color w:val="auto"/>
          <w:szCs w:val="21"/>
        </w:rPr>
      </w:pPr>
      <w:r>
        <w:rPr>
          <w:rFonts w:hint="eastAsia" w:ascii="Times New Roman" w:hAnsi="Times New Roman" w:eastAsia="宋体"/>
          <w:b/>
          <w:color w:val="auto"/>
          <w:szCs w:val="21"/>
        </w:rPr>
        <w:t>2</w:t>
      </w:r>
      <w:r>
        <w:rPr>
          <w:rFonts w:hint="eastAsia" w:ascii="Times New Roman" w:hAnsi="Times New Roman" w:eastAsia="宋体"/>
          <w:color w:val="auto"/>
          <w:szCs w:val="21"/>
        </w:rPr>
        <w:t xml:space="preserve"> 当不符合式(5.2.3-1)的条件时，计算中受压区全部按普通混凝土计算，其正截面抗弯承载力应按下列公式计算：</w:t>
      </w:r>
    </w:p>
    <w:tbl>
      <w:tblPr>
        <w:tblStyle w:val="46"/>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52"/>
        <w:gridCol w:w="5971"/>
        <w:gridCol w:w="1099"/>
      </w:tblGrid>
      <w:tr w14:paraId="63469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55" w:type="pct"/>
            <w:gridSpan w:val="2"/>
            <w:vAlign w:val="center"/>
          </w:tcPr>
          <w:p w14:paraId="31DAD878">
            <w:pPr>
              <w:spacing w:line="360" w:lineRule="auto"/>
              <w:jc w:val="center"/>
              <w:rPr>
                <w:rFonts w:ascii="Times New Roman" w:hAnsi="Times New Roman" w:eastAsia="宋体"/>
                <w:color w:val="auto"/>
                <w:szCs w:val="21"/>
              </w:rPr>
            </w:pPr>
            <m:oMathPara>
              <m:oMath>
                <m:sSub>
                  <m:sSubPr>
                    <m:ctrlPr>
                      <w:rPr>
                        <w:rFonts w:ascii="Cambria Math" w:hAnsi="Cambria Math"/>
                        <w:color w:val="auto"/>
                      </w:rPr>
                    </m:ctrlPr>
                  </m:sSubPr>
                  <m:e>
                    <m:r>
                      <m:rPr/>
                      <w:rPr>
                        <w:rFonts w:ascii="Cambria Math" w:hAnsi="Cambria Math"/>
                        <w:color w:val="auto"/>
                      </w:rPr>
                      <m:t>M</m:t>
                    </m:r>
                    <m:ctrlPr>
                      <w:rPr>
                        <w:rFonts w:ascii="Cambria Math" w:hAnsi="Cambria Math"/>
                        <w:color w:val="auto"/>
                      </w:rPr>
                    </m:ctrlPr>
                  </m:e>
                  <m:sub>
                    <m:r>
                      <m:rPr/>
                      <w:rPr>
                        <w:rFonts w:ascii="Cambria Math" w:hAnsi="Cambria Math"/>
                        <w:color w:val="auto"/>
                      </w:rPr>
                      <m:t>u</m:t>
                    </m:r>
                    <m:ctrlPr>
                      <w:rPr>
                        <w:rFonts w:ascii="Cambria Math" w:hAnsi="Cambria Math"/>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cd</m:t>
                    </m:r>
                    <m:ctrlPr>
                      <w:rPr>
                        <w:rFonts w:ascii="Cambria Math" w:hAnsi="Cambria Math"/>
                        <w:i/>
                        <w:color w:val="auto"/>
                      </w:rPr>
                    </m:ctrlPr>
                  </m:sub>
                </m:sSub>
                <m:r>
                  <m:rPr/>
                  <w:rPr>
                    <w:rFonts w:ascii="Cambria Math" w:hAnsi="Cambria Math"/>
                    <w:color w:val="auto"/>
                  </w:rPr>
                  <m:t>bx</m:t>
                </m:r>
                <m:d>
                  <m:dPr>
                    <m:ctrlPr>
                      <w:rPr>
                        <w:rFonts w:ascii="Cambria Math" w:hAnsi="Cambria Math"/>
                        <w:i/>
                        <w:color w:val="auto"/>
                      </w:rPr>
                    </m:ctrlPr>
                  </m:dPr>
                  <m:e>
                    <m:r>
                      <m:rPr/>
                      <w:rPr>
                        <w:rFonts w:ascii="Cambria Math" w:hAnsi="Cambria Math"/>
                        <w:color w:val="auto"/>
                      </w:rPr>
                      <m:t>ℎ−</m:t>
                    </m:r>
                    <m:f>
                      <m:fPr>
                        <m:ctrlPr>
                          <w:rPr>
                            <w:rFonts w:ascii="Cambria Math" w:hAnsi="Cambria Math"/>
                            <w:i/>
                            <w:color w:val="auto"/>
                          </w:rPr>
                        </m:ctrlPr>
                      </m:fPr>
                      <m:num>
                        <m:r>
                          <m:rPr/>
                          <w:rPr>
                            <w:rFonts w:ascii="Cambria Math" w:hAnsi="Cambria Math"/>
                            <w:color w:val="auto"/>
                          </w:rPr>
                          <m:t>x</m:t>
                        </m:r>
                        <m:ctrlPr>
                          <w:rPr>
                            <w:rFonts w:ascii="Cambria Math" w:hAnsi="Cambria Math"/>
                            <w:i/>
                            <w:color w:val="auto"/>
                          </w:rPr>
                        </m:ctrlPr>
                      </m:num>
                      <m:den>
                        <m:r>
                          <m:rPr/>
                          <w:rPr>
                            <w:rFonts w:ascii="Cambria Math" w:hAnsi="Cambria Math"/>
                            <w:color w:val="auto"/>
                          </w:rPr>
                          <m:t>2</m:t>
                        </m:r>
                        <m:ctrlPr>
                          <w:rPr>
                            <w:rFonts w:ascii="Cambria Math" w:hAnsi="Cambria Math"/>
                            <w:i/>
                            <w:color w:val="auto"/>
                          </w:rPr>
                        </m:ctrlPr>
                      </m:den>
                    </m:f>
                    <m:ctrlPr>
                      <w:rPr>
                        <w:rFonts w:ascii="Cambria Math" w:hAnsi="Cambria Math"/>
                        <w:i/>
                        <w:color w:val="auto"/>
                      </w:rPr>
                    </m:ctrlPr>
                  </m:e>
                </m:d>
                <m:r>
                  <m:rPr/>
                  <w:rPr>
                    <w:rFonts w:ascii="Cambria Math" w:hAnsi="Cambria Math"/>
                    <w:color w:val="auto"/>
                  </w:rPr>
                  <m:t>−0.25</m:t>
                </m:r>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ftd</m:t>
                    </m:r>
                    <m:ctrlPr>
                      <w:rPr>
                        <w:rFonts w:ascii="Cambria Math" w:hAnsi="Cambria Math"/>
                        <w:i/>
                        <w:color w:val="auto"/>
                      </w:rPr>
                    </m:ctrlPr>
                  </m:sub>
                </m:sSub>
                <m:r>
                  <m:rPr/>
                  <w:rPr>
                    <w:rFonts w:ascii="Cambria Math" w:hAnsi="Cambria Math"/>
                    <w:color w:val="auto"/>
                  </w:rPr>
                  <m:t>b</m:t>
                </m:r>
                <m:sSubSup>
                  <m:sSubSupPr>
                    <m:ctrlPr>
                      <w:rPr>
                        <w:rFonts w:ascii="Cambria Math" w:hAnsi="Cambria Math"/>
                        <w:color w:val="auto"/>
                      </w:rPr>
                    </m:ctrlPr>
                  </m:sSubSupPr>
                  <m:e>
                    <m:r>
                      <m:rPr/>
                      <w:rPr>
                        <w:rFonts w:ascii="Cambria Math" w:hAnsi="Cambria Math"/>
                        <w:color w:val="auto"/>
                      </w:rPr>
                      <m:t>ℎ</m:t>
                    </m:r>
                    <m:ctrlPr>
                      <w:rPr>
                        <w:rFonts w:ascii="Cambria Math" w:hAnsi="Cambria Math"/>
                        <w:color w:val="auto"/>
                      </w:rPr>
                    </m:ctrlPr>
                  </m:e>
                  <m:sub>
                    <m:r>
                      <m:rPr/>
                      <w:rPr>
                        <w:rFonts w:ascii="Cambria Math" w:hAnsi="Cambria Math"/>
                        <w:color w:val="auto"/>
                      </w:rPr>
                      <m:t>2</m:t>
                    </m:r>
                    <m:ctrlPr>
                      <w:rPr>
                        <w:rFonts w:ascii="Cambria Math" w:hAnsi="Cambria Math"/>
                        <w:color w:val="auto"/>
                      </w:rPr>
                    </m:ctrlPr>
                  </m:sub>
                  <m:sup>
                    <m:r>
                      <m:rPr/>
                      <w:rPr>
                        <w:rFonts w:ascii="Cambria Math" w:hAnsi="Cambria Math"/>
                        <w:color w:val="auto"/>
                      </w:rPr>
                      <m:t>2</m:t>
                    </m:r>
                    <m:ctrlPr>
                      <w:rPr>
                        <w:rFonts w:ascii="Cambria Math" w:hAnsi="Cambria Math"/>
                        <w:color w:val="auto"/>
                      </w:rPr>
                    </m:ctrlPr>
                  </m:sup>
                </m:sSubSup>
                <m:r>
                  <m:rPr/>
                  <w:rPr>
                    <w:rFonts w:ascii="Cambria Math" w:hAnsi="Cambria Math"/>
                    <w:color w:val="auto"/>
                  </w:rPr>
                  <m:t>−0.5</m:t>
                </m:r>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ftd</m:t>
                    </m:r>
                    <m:ctrlPr>
                      <w:rPr>
                        <w:rFonts w:ascii="Cambria Math" w:hAnsi="Cambria Math"/>
                        <w:i/>
                        <w:color w:val="auto"/>
                      </w:rPr>
                    </m:ctrlPr>
                  </m:sub>
                </m:sSub>
                <m:sSub>
                  <m:sSubPr>
                    <m:ctrlPr>
                      <w:rPr>
                        <w:rFonts w:ascii="Cambria Math" w:hAnsi="Cambria Math"/>
                        <w:i/>
                        <w:color w:val="auto"/>
                      </w:rPr>
                    </m:ctrlPr>
                  </m:sSubPr>
                  <m:e>
                    <m:r>
                      <m:rPr/>
                      <w:rPr>
                        <w:rFonts w:ascii="Cambria Math" w:hAnsi="Cambria Math"/>
                        <w:color w:val="auto"/>
                      </w:rPr>
                      <m:t>b</m:t>
                    </m:r>
                    <m:ctrlPr>
                      <w:rPr>
                        <w:rFonts w:ascii="Cambria Math" w:hAnsi="Cambria Math"/>
                        <w:i/>
                        <w:color w:val="auto"/>
                      </w:rPr>
                    </m:ctrlPr>
                  </m:e>
                  <m:sub>
                    <m:r>
                      <m:rPr/>
                      <w:rPr>
                        <w:rFonts w:ascii="Cambria Math" w:hAnsi="Cambria Math"/>
                        <w:color w:val="auto"/>
                      </w:rPr>
                      <m:t>f</m:t>
                    </m:r>
                    <m:ctrlPr>
                      <w:rPr>
                        <w:rFonts w:ascii="Cambria Math" w:hAnsi="Cambria Math"/>
                        <w:i/>
                        <w:color w:val="auto"/>
                      </w:rPr>
                    </m:ctrlPr>
                  </m:sub>
                </m:sSub>
                <m:d>
                  <m:dPr>
                    <m:ctrlPr>
                      <w:rPr>
                        <w:rFonts w:ascii="Cambria Math" w:hAnsi="Cambria Math"/>
                        <w:i/>
                        <w:color w:val="auto"/>
                      </w:rPr>
                    </m:ctrlPr>
                  </m:dPr>
                  <m:e>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1</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x</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ctrlPr>
                      <w:rPr>
                        <w:rFonts w:ascii="Cambria Math" w:hAnsi="Cambria Math"/>
                        <w:i/>
                        <w:color w:val="auto"/>
                      </w:rPr>
                    </m:ctrlPr>
                  </m:e>
                </m:d>
                <m:d>
                  <m:dPr>
                    <m:ctrlPr>
                      <w:rPr>
                        <w:rFonts w:ascii="Cambria Math" w:hAnsi="Cambria Math"/>
                        <w:i/>
                        <w:color w:val="auto"/>
                      </w:rPr>
                    </m:ctrlPr>
                  </m:dPr>
                  <m:e>
                    <m:f>
                      <m:fPr>
                        <m:ctrlPr>
                          <w:rPr>
                            <w:rFonts w:ascii="Cambria Math" w:hAnsi="Cambria Math"/>
                            <w:i/>
                            <w:color w:val="auto"/>
                          </w:rPr>
                        </m:ctrlPr>
                      </m:fPr>
                      <m:num>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1</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x</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ctrlPr>
                          <w:rPr>
                            <w:rFonts w:ascii="Cambria Math" w:hAnsi="Cambria Math"/>
                            <w:i/>
                            <w:color w:val="auto"/>
                          </w:rPr>
                        </m:ctrlPr>
                      </m:num>
                      <m:den>
                        <m:r>
                          <m:rPr/>
                          <w:rPr>
                            <w:rFonts w:ascii="Cambria Math" w:hAnsi="Cambria Math"/>
                            <w:color w:val="auto"/>
                          </w:rPr>
                          <m:t>2</m:t>
                        </m:r>
                        <m:ctrlPr>
                          <w:rPr>
                            <w:rFonts w:ascii="Cambria Math" w:hAnsi="Cambria Math"/>
                            <w:i/>
                            <w:color w:val="auto"/>
                          </w:rPr>
                        </m:ctrlPr>
                      </m:den>
                    </m:f>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2</m:t>
                        </m:r>
                        <m:ctrlPr>
                          <w:rPr>
                            <w:rFonts w:ascii="Cambria Math" w:hAnsi="Cambria Math"/>
                            <w:i/>
                            <w:color w:val="auto"/>
                          </w:rPr>
                        </m:ctrlPr>
                      </m:sub>
                    </m:sSub>
                    <m:ctrlPr>
                      <w:rPr>
                        <w:rFonts w:ascii="Cambria Math" w:hAnsi="Cambria Math"/>
                        <w:i/>
                        <w:color w:val="auto"/>
                      </w:rPr>
                    </m:ctrlPr>
                  </m:e>
                </m:d>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sd1</m:t>
                    </m:r>
                    <m:ctrlPr>
                      <w:rPr>
                        <w:rFonts w:ascii="Cambria Math" w:hAnsi="Cambria Math"/>
                        <w:i/>
                        <w:color w:val="auto"/>
                      </w:rPr>
                    </m:ctrlPr>
                  </m:sub>
                </m:sSub>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sc</m:t>
                    </m:r>
                    <m:ctrlPr>
                      <w:rPr>
                        <w:rFonts w:ascii="Cambria Math" w:hAnsi="Cambria Math"/>
                        <w:i/>
                        <w:color w:val="auto"/>
                      </w:rPr>
                    </m:ctrlPr>
                  </m:sub>
                </m:sSub>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s1</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sd2</m:t>
                    </m:r>
                    <m:ctrlPr>
                      <w:rPr>
                        <w:rFonts w:ascii="Cambria Math" w:hAnsi="Cambria Math"/>
                        <w:i/>
                        <w:color w:val="auto"/>
                      </w:rPr>
                    </m:ctrlPr>
                  </m:sub>
                </m:sSub>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su</m:t>
                    </m:r>
                    <m:ctrlPr>
                      <w:rPr>
                        <w:rFonts w:ascii="Cambria Math" w:hAnsi="Cambria Math"/>
                        <w:i/>
                        <w:color w:val="auto"/>
                      </w:rPr>
                    </m:ctrlPr>
                  </m:sub>
                </m:sSub>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s2</m:t>
                    </m:r>
                    <m:ctrlPr>
                      <w:rPr>
                        <w:rFonts w:ascii="Cambria Math" w:hAnsi="Cambria Math"/>
                        <w:i/>
                        <w:color w:val="auto"/>
                      </w:rPr>
                    </m:ctrlPr>
                  </m:sub>
                </m:sSub>
              </m:oMath>
            </m:oMathPara>
          </w:p>
        </w:tc>
        <w:tc>
          <w:tcPr>
            <w:tcW w:w="645" w:type="pct"/>
            <w:vAlign w:val="center"/>
          </w:tcPr>
          <w:p w14:paraId="33AF330F">
            <w:pPr>
              <w:spacing w:line="360" w:lineRule="auto"/>
              <w:jc w:val="right"/>
              <w:rPr>
                <w:rFonts w:ascii="Times New Roman" w:hAnsi="Times New Roman" w:eastAsia="宋体"/>
                <w:color w:val="auto"/>
                <w:szCs w:val="21"/>
              </w:rPr>
            </w:pPr>
            <w:r>
              <w:rPr>
                <w:rFonts w:ascii="Times New Roman" w:hAnsi="Times New Roman" w:eastAsia="宋体"/>
                <w:color w:val="auto"/>
                <w:szCs w:val="21"/>
              </w:rPr>
              <w:t>(5.2.3-4)</w:t>
            </w:r>
          </w:p>
        </w:tc>
      </w:tr>
      <w:tr w14:paraId="0AD20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 w:type="pct"/>
          </w:tcPr>
          <w:p w14:paraId="26A2B284">
            <w:pPr>
              <w:wordWrap w:val="0"/>
              <w:spacing w:line="360" w:lineRule="auto"/>
              <w:jc w:val="right"/>
              <w:rPr>
                <w:rFonts w:ascii="Times New Roman" w:hAnsi="Times New Roman" w:eastAsia="宋体"/>
                <w:color w:val="auto"/>
                <w:szCs w:val="21"/>
              </w:rPr>
            </w:pPr>
            <w:r>
              <w:rPr>
                <w:rFonts w:hint="eastAsia" w:ascii="Times New Roman" w:hAnsi="Times New Roman" w:eastAsia="宋体"/>
                <w:color w:val="auto"/>
                <w:szCs w:val="21"/>
              </w:rPr>
              <w:t xml:space="preserve">式中： </w:t>
            </w:r>
            <w:r>
              <w:rPr>
                <w:rFonts w:ascii="Times New Roman" w:hAnsi="Times New Roman" w:eastAsia="宋体"/>
                <w:color w:val="auto"/>
                <w:szCs w:val="21"/>
              </w:rPr>
              <w:t xml:space="preserve"> </w:t>
            </w:r>
            <m:oMath>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cd</m:t>
                  </m:r>
                  <m:ctrlPr>
                    <w:rPr>
                      <w:rFonts w:ascii="Cambria Math" w:hAnsi="Cambria Math"/>
                      <w:color w:val="auto"/>
                    </w:rPr>
                  </m:ctrlPr>
                </m:sub>
              </m:sSub>
            </m:oMath>
          </w:p>
        </w:tc>
        <w:tc>
          <w:tcPr>
            <w:tcW w:w="4148" w:type="pct"/>
            <w:gridSpan w:val="2"/>
          </w:tcPr>
          <w:p w14:paraId="4AA72F65">
            <w:pPr>
              <w:spacing w:line="360" w:lineRule="auto"/>
              <w:rPr>
                <w:rFonts w:ascii="Times New Roman" w:hAnsi="Times New Roman" w:eastAsia="宋体"/>
                <w:color w:val="auto"/>
                <w:szCs w:val="21"/>
              </w:rPr>
            </w:pPr>
            <w:r>
              <w:rPr>
                <w:rFonts w:hint="eastAsia" w:ascii="Times New Roman" w:hAnsi="Times New Roman" w:eastAsia="宋体"/>
                <w:color w:val="auto"/>
                <w:szCs w:val="21"/>
              </w:rPr>
              <w:t>——普通混凝土轴心抗压强度设计值（MPa）；</w:t>
            </w:r>
          </w:p>
        </w:tc>
      </w:tr>
      <w:tr w14:paraId="79290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 w:type="pct"/>
          </w:tcPr>
          <w:p w14:paraId="375A29B3">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ftd</m:t>
                    </m:r>
                    <m:ctrlPr>
                      <w:rPr>
                        <w:rFonts w:ascii="Cambria Math" w:hAnsi="Cambria Math"/>
                        <w:color w:val="auto"/>
                      </w:rPr>
                    </m:ctrlPr>
                  </m:sub>
                </m:sSub>
              </m:oMath>
            </m:oMathPara>
          </w:p>
        </w:tc>
        <w:tc>
          <w:tcPr>
            <w:tcW w:w="4148" w:type="pct"/>
            <w:gridSpan w:val="2"/>
          </w:tcPr>
          <w:p w14:paraId="18FE91B8">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——超高性能混凝土轴心抗拉强度设计值（MPa）；</w:t>
            </w:r>
          </w:p>
        </w:tc>
      </w:tr>
      <w:tr w14:paraId="625AE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852" w:type="pct"/>
          </w:tcPr>
          <w:p w14:paraId="357B2666">
            <w:pPr>
              <w:spacing w:line="360" w:lineRule="auto"/>
              <w:jc w:val="right"/>
              <w:rPr>
                <w:rFonts w:ascii="Cambria Math" w:hAnsi="Cambria Math" w:eastAsia="宋体"/>
                <w:color w:val="auto"/>
                <w:szCs w:val="21"/>
              </w:rPr>
            </w:pPr>
            <m:oMathPara>
              <m:oMathParaPr>
                <m:jc m:val="right"/>
              </m:oMathParaPr>
              <m:oMath>
                <m:r>
                  <m:rPr/>
                  <w:rPr>
                    <w:rFonts w:ascii="Cambria Math" w:hAnsi="Cambria Math"/>
                    <w:color w:val="auto"/>
                  </w:rPr>
                  <m:t>b</m:t>
                </m:r>
                <m:r>
                  <m:rPr/>
                  <w:rPr>
                    <w:rFonts w:hint="eastAsia" w:ascii="Cambria Math" w:hAnsi="Cambria Math"/>
                    <w:color w:val="auto"/>
                  </w:rPr>
                  <m:t>、</m:t>
                </m:r>
                <m:sSub>
                  <m:sSubPr>
                    <m:ctrlPr>
                      <w:rPr>
                        <w:rFonts w:ascii="Cambria Math" w:hAnsi="Cambria Math"/>
                        <w:color w:val="auto"/>
                      </w:rPr>
                    </m:ctrlPr>
                  </m:sSubPr>
                  <m:e>
                    <m:r>
                      <m:rPr/>
                      <w:rPr>
                        <w:rFonts w:ascii="Cambria Math" w:hAnsi="Cambria Math"/>
                        <w:color w:val="auto"/>
                      </w:rPr>
                      <m:t>b</m:t>
                    </m:r>
                    <m:ctrlPr>
                      <w:rPr>
                        <w:rFonts w:ascii="Cambria Math" w:hAnsi="Cambria Math"/>
                        <w:color w:val="auto"/>
                      </w:rPr>
                    </m:ctrlPr>
                  </m:e>
                  <m:sub>
                    <m:r>
                      <m:rPr/>
                      <w:rPr>
                        <w:rFonts w:ascii="Cambria Math" w:hAnsi="Cambria Math"/>
                        <w:color w:val="auto"/>
                      </w:rPr>
                      <m:t>f</m:t>
                    </m:r>
                    <m:ctrlPr>
                      <w:rPr>
                        <w:rFonts w:ascii="Cambria Math" w:hAnsi="Cambria Math"/>
                        <w:color w:val="auto"/>
                      </w:rPr>
                    </m:ctrlPr>
                  </m:sub>
                </m:sSub>
              </m:oMath>
            </m:oMathPara>
          </w:p>
        </w:tc>
        <w:tc>
          <w:tcPr>
            <w:tcW w:w="4148" w:type="pct"/>
            <w:gridSpan w:val="2"/>
            <w:vAlign w:val="center"/>
          </w:tcPr>
          <w:p w14:paraId="507CE49B">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——截面宽度、倒“T”形超高性能混凝土板腹板宽度（mm）；</w:t>
            </w:r>
          </w:p>
        </w:tc>
      </w:tr>
      <w:tr w14:paraId="63572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 w:type="pct"/>
          </w:tcPr>
          <w:p w14:paraId="5485EB9B">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cs="Times New Roman"/>
                        <w:color w:val="auto"/>
                      </w:rPr>
                    </m:ctrlPr>
                  </m:sSubPr>
                  <m:e>
                    <m:r>
                      <m:rPr/>
                      <w:rPr>
                        <w:rFonts w:ascii="Cambria Math" w:hAnsi="Cambria Math" w:cs="Times New Roman"/>
                        <w:color w:val="auto"/>
                      </w:rPr>
                      <m:t>x</m:t>
                    </m:r>
                    <m:ctrlPr>
                      <w:rPr>
                        <w:rFonts w:ascii="Cambria Math" w:hAnsi="Cambria Math" w:cs="Times New Roman"/>
                        <w:color w:val="auto"/>
                      </w:rPr>
                    </m:ctrlPr>
                  </m:e>
                  <m:sub>
                    <m:r>
                      <m:rPr/>
                      <w:rPr>
                        <w:rFonts w:ascii="Cambria Math" w:hAnsi="Cambria Math" w:cs="Times New Roman"/>
                        <w:color w:val="auto"/>
                      </w:rPr>
                      <m:t>0</m:t>
                    </m:r>
                    <m:ctrlPr>
                      <w:rPr>
                        <w:rFonts w:ascii="Cambria Math" w:hAnsi="Cambria Math" w:cs="Times New Roman"/>
                        <w:color w:val="auto"/>
                      </w:rPr>
                    </m:ctrlPr>
                  </m:sub>
                </m:sSub>
              </m:oMath>
            </m:oMathPara>
          </w:p>
        </w:tc>
        <w:tc>
          <w:tcPr>
            <w:tcW w:w="4148" w:type="pct"/>
            <w:gridSpan w:val="2"/>
          </w:tcPr>
          <w:p w14:paraId="30AC76D2">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——实际受压区高度（mm）；</w:t>
            </w:r>
          </w:p>
        </w:tc>
      </w:tr>
      <w:tr w14:paraId="0BFBD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 w:type="pct"/>
          </w:tcPr>
          <w:p w14:paraId="2112485B">
            <w:pPr>
              <w:spacing w:line="360" w:lineRule="auto"/>
              <w:jc w:val="right"/>
              <w:rPr>
                <w:rFonts w:ascii="Cambria Math" w:hAnsi="Cambria Math" w:eastAsia="宋体" w:cs="Times New Roman"/>
                <w:i/>
                <w:color w:val="auto"/>
                <w:szCs w:val="21"/>
              </w:rPr>
            </w:pPr>
            <m:oMathPara>
              <m:oMathParaPr>
                <m:jc m:val="right"/>
              </m:oMathParaPr>
              <m:oMath>
                <m:r>
                  <m:rPr/>
                  <w:rPr>
                    <w:rFonts w:ascii="Cambria Math" w:hAnsi="Cambria Math" w:cs="Times New Roman"/>
                    <w:color w:val="auto"/>
                  </w:rPr>
                  <m:t>x</m:t>
                </m:r>
              </m:oMath>
            </m:oMathPara>
          </w:p>
        </w:tc>
        <w:tc>
          <w:tcPr>
            <w:tcW w:w="4148" w:type="pct"/>
            <w:gridSpan w:val="2"/>
          </w:tcPr>
          <w:p w14:paraId="556E8547">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——受压区等效矩形应力图高度（mm），</w:t>
            </w:r>
            <m:oMath>
              <m:r>
                <m:rPr/>
                <w:rPr>
                  <w:rFonts w:ascii="Cambria Math" w:hAnsi="Cambria Math"/>
                  <w:color w:val="auto"/>
                </w:rPr>
                <m:t>x</m:t>
              </m:r>
              <m:r>
                <m:rPr>
                  <m:sty m:val="p"/>
                </m:rPr>
                <w:rPr>
                  <w:rFonts w:ascii="Cambria Math" w:hAnsi="Cambria Math"/>
                  <w:color w:val="auto"/>
                </w:rPr>
                <m:t>=</m:t>
              </m:r>
              <m:r>
                <m:rPr/>
                <w:rPr>
                  <w:rFonts w:ascii="Cambria Math" w:hAnsi="Cambria Math"/>
                  <w:color w:val="auto"/>
                </w:rPr>
                <m:t>β</m:t>
              </m:r>
              <m:sSub>
                <m:sSubPr>
                  <m:ctrlPr>
                    <w:rPr>
                      <w:rFonts w:ascii="Cambria Math" w:hAnsi="Cambria Math"/>
                      <w:color w:val="auto"/>
                    </w:rPr>
                  </m:ctrlPr>
                </m:sSubPr>
                <m:e>
                  <m:r>
                    <m:rPr/>
                    <w:rPr>
                      <w:rFonts w:ascii="Cambria Math" w:hAnsi="Cambria Math"/>
                      <w:color w:val="auto"/>
                    </w:rPr>
                    <m:t>x</m:t>
                  </m:r>
                  <m:ctrlPr>
                    <w:rPr>
                      <w:rFonts w:ascii="Cambria Math" w:hAnsi="Cambria Math"/>
                      <w:color w:val="auto"/>
                    </w:rPr>
                  </m:ctrlPr>
                </m:e>
                <m:sub>
                  <m:r>
                    <m:rPr/>
                    <w:rPr>
                      <w:rFonts w:ascii="Cambria Math" w:hAnsi="Cambria Math"/>
                      <w:color w:val="auto"/>
                    </w:rPr>
                    <m:t>0</m:t>
                  </m:r>
                  <m:ctrlPr>
                    <w:rPr>
                      <w:rFonts w:ascii="Cambria Math" w:hAnsi="Cambria Math"/>
                      <w:color w:val="auto"/>
                    </w:rPr>
                  </m:ctrlPr>
                </m:sub>
              </m:sSub>
            </m:oMath>
            <w:r>
              <w:rPr>
                <w:rFonts w:hint="eastAsia" w:ascii="Times New Roman" w:hAnsi="Times New Roman" w:eastAsia="宋体"/>
                <w:color w:val="auto"/>
                <w:szCs w:val="21"/>
              </w:rPr>
              <w:t>；</w:t>
            </w:r>
          </w:p>
        </w:tc>
      </w:tr>
      <w:tr w14:paraId="169E7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 w:type="pct"/>
          </w:tcPr>
          <w:p w14:paraId="56F94599">
            <w:pPr>
              <w:spacing w:line="360" w:lineRule="auto"/>
              <w:jc w:val="right"/>
              <w:rPr>
                <w:rFonts w:ascii="Times New Roman" w:hAnsi="Times New Roman" w:eastAsia="宋体" w:cs="Times New Roman"/>
                <w:i/>
                <w:color w:val="auto"/>
                <w:szCs w:val="21"/>
              </w:rPr>
            </w:pPr>
            <m:oMathPara>
              <m:oMathParaPr>
                <m:jc m:val="right"/>
              </m:oMathParaPr>
              <m:oMath>
                <m:r>
                  <m:rPr/>
                  <w:rPr>
                    <w:rFonts w:ascii="Cambria Math" w:hAnsi="Cambria Math" w:cs="Times New Roman"/>
                    <w:color w:val="auto"/>
                  </w:rPr>
                  <m:t>ℎ</m:t>
                </m:r>
              </m:oMath>
            </m:oMathPara>
          </w:p>
        </w:tc>
        <w:tc>
          <w:tcPr>
            <w:tcW w:w="4148" w:type="pct"/>
            <w:gridSpan w:val="2"/>
          </w:tcPr>
          <w:p w14:paraId="33EFEE87">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——组合梁截面高度（mm）；</w:t>
            </w:r>
          </w:p>
        </w:tc>
      </w:tr>
      <w:tr w14:paraId="0E0FA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 w:type="pct"/>
          </w:tcPr>
          <w:p w14:paraId="57A53B6A">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cs="Times New Roman"/>
                        <w:color w:val="auto"/>
                      </w:rPr>
                    </m:ctrlPr>
                  </m:sSubPr>
                  <m:e>
                    <m:r>
                      <m:rPr/>
                      <w:rPr>
                        <w:rFonts w:ascii="Cambria Math" w:hAnsi="Cambria Math" w:cs="Times New Roman"/>
                        <w:color w:val="auto"/>
                      </w:rPr>
                      <m:t>ℎ</m:t>
                    </m:r>
                    <m:ctrlPr>
                      <w:rPr>
                        <w:rFonts w:ascii="Cambria Math" w:hAnsi="Cambria Math" w:cs="Times New Roman"/>
                        <w:color w:val="auto"/>
                      </w:rPr>
                    </m:ctrlPr>
                  </m:e>
                  <m:sub>
                    <m:r>
                      <m:rPr/>
                      <w:rPr>
                        <w:rFonts w:ascii="Cambria Math" w:hAnsi="Cambria Math" w:cs="Times New Roman"/>
                        <w:color w:val="auto"/>
                      </w:rPr>
                      <m:t>1</m:t>
                    </m:r>
                    <m:ctrlPr>
                      <w:rPr>
                        <w:rFonts w:ascii="Cambria Math" w:hAnsi="Cambria Math" w:cs="Times New Roman"/>
                        <w:color w:val="auto"/>
                      </w:rPr>
                    </m:ctrlPr>
                  </m:sub>
                </m:sSub>
                <m:r>
                  <m:rPr/>
                  <w:rPr>
                    <w:rFonts w:hint="eastAsia" w:ascii="Cambria Math" w:hAnsi="Cambria Math" w:cs="Times New Roman"/>
                    <w:color w:val="auto"/>
                  </w:rPr>
                  <m:t>、</m:t>
                </m:r>
                <m:sSub>
                  <m:sSubPr>
                    <m:ctrlPr>
                      <w:rPr>
                        <w:rFonts w:ascii="Cambria Math" w:hAnsi="Cambria Math" w:cs="Times New Roman"/>
                        <w:i/>
                        <w:color w:val="auto"/>
                      </w:rPr>
                    </m:ctrlPr>
                  </m:sSubPr>
                  <m:e>
                    <m:r>
                      <m:rPr/>
                      <w:rPr>
                        <w:rFonts w:ascii="Cambria Math" w:hAnsi="Cambria Math" w:cs="Times New Roman"/>
                        <w:color w:val="auto"/>
                      </w:rPr>
                      <m:t>ℎ</m:t>
                    </m:r>
                    <m:ctrlPr>
                      <w:rPr>
                        <w:rFonts w:ascii="Cambria Math" w:hAnsi="Cambria Math" w:cs="Times New Roman"/>
                        <w:i/>
                        <w:color w:val="auto"/>
                      </w:rPr>
                    </m:ctrlPr>
                  </m:e>
                  <m:sub>
                    <m:r>
                      <m:rPr/>
                      <w:rPr>
                        <w:rFonts w:ascii="Cambria Math" w:hAnsi="Cambria Math" w:cs="Times New Roman"/>
                        <w:color w:val="auto"/>
                      </w:rPr>
                      <m:t>2</m:t>
                    </m:r>
                    <m:ctrlPr>
                      <w:rPr>
                        <w:rFonts w:ascii="Cambria Math" w:hAnsi="Cambria Math" w:cs="Times New Roman"/>
                        <w:i/>
                        <w:color w:val="auto"/>
                      </w:rPr>
                    </m:ctrlPr>
                  </m:sub>
                </m:sSub>
                <m:r>
                  <m:rPr/>
                  <w:rPr>
                    <w:rFonts w:hint="eastAsia" w:ascii="Cambria Math" w:hAnsi="Cambria Math" w:cs="Times New Roman"/>
                    <w:color w:val="auto"/>
                  </w:rPr>
                  <m:t>、</m:t>
                </m:r>
                <m:sSub>
                  <m:sSubPr>
                    <m:ctrlPr>
                      <w:rPr>
                        <w:rFonts w:ascii="Cambria Math" w:hAnsi="Cambria Math" w:cs="Times New Roman"/>
                        <w:i/>
                        <w:color w:val="auto"/>
                      </w:rPr>
                    </m:ctrlPr>
                  </m:sSubPr>
                  <m:e>
                    <m:r>
                      <m:rPr/>
                      <w:rPr>
                        <w:rFonts w:ascii="Cambria Math" w:hAnsi="Cambria Math" w:cs="Times New Roman"/>
                        <w:color w:val="auto"/>
                      </w:rPr>
                      <m:t>ℎ</m:t>
                    </m:r>
                    <m:ctrlPr>
                      <w:rPr>
                        <w:rFonts w:ascii="Cambria Math" w:hAnsi="Cambria Math" w:cs="Times New Roman"/>
                        <w:i/>
                        <w:color w:val="auto"/>
                      </w:rPr>
                    </m:ctrlPr>
                  </m:e>
                  <m:sub>
                    <m:r>
                      <m:rPr/>
                      <w:rPr>
                        <w:rFonts w:ascii="Cambria Math" w:hAnsi="Cambria Math" w:cs="Times New Roman"/>
                        <w:color w:val="auto"/>
                      </w:rPr>
                      <m:t>3</m:t>
                    </m:r>
                    <m:ctrlPr>
                      <w:rPr>
                        <w:rFonts w:ascii="Cambria Math" w:hAnsi="Cambria Math" w:cs="Times New Roman"/>
                        <w:i/>
                        <w:color w:val="auto"/>
                      </w:rPr>
                    </m:ctrlPr>
                  </m:sub>
                </m:sSub>
              </m:oMath>
            </m:oMathPara>
          </w:p>
        </w:tc>
        <w:tc>
          <w:tcPr>
            <w:tcW w:w="4148" w:type="pct"/>
            <w:gridSpan w:val="2"/>
          </w:tcPr>
          <w:p w14:paraId="78E54186">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——分别为普通混凝土层高度、超高性能混凝土层高度、倒“T”形超高性能混凝土腹板高度（mm）；</w:t>
            </w:r>
          </w:p>
        </w:tc>
      </w:tr>
      <w:tr w14:paraId="7E035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 w:type="pct"/>
          </w:tcPr>
          <w:p w14:paraId="0895BA8B">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cs="Times New Roman"/>
                        <w:color w:val="auto"/>
                      </w:rPr>
                    </m:ctrlPr>
                  </m:sSubPr>
                  <m:e>
                    <m:r>
                      <m:rPr/>
                      <w:rPr>
                        <w:rFonts w:ascii="Cambria Math" w:hAnsi="Cambria Math" w:cs="Times New Roman"/>
                        <w:color w:val="auto"/>
                      </w:rPr>
                      <m:t>f</m:t>
                    </m:r>
                    <m:ctrlPr>
                      <w:rPr>
                        <w:rFonts w:ascii="Cambria Math" w:hAnsi="Cambria Math" w:cs="Times New Roman"/>
                        <w:color w:val="auto"/>
                      </w:rPr>
                    </m:ctrlPr>
                  </m:e>
                  <m:sub>
                    <m:r>
                      <m:rPr/>
                      <w:rPr>
                        <w:rFonts w:ascii="Cambria Math" w:hAnsi="Cambria Math" w:cs="Times New Roman"/>
                        <w:color w:val="auto"/>
                      </w:rPr>
                      <m:t>sd1</m:t>
                    </m:r>
                    <m:ctrlPr>
                      <w:rPr>
                        <w:rFonts w:ascii="Cambria Math" w:hAnsi="Cambria Math" w:cs="Times New Roman"/>
                        <w:color w:val="auto"/>
                      </w:rPr>
                    </m:ctrlPr>
                  </m:sub>
                </m:sSub>
                <m:r>
                  <m:rPr/>
                  <w:rPr>
                    <w:rFonts w:hint="eastAsia" w:ascii="Cambria Math" w:hAnsi="Cambria Math" w:cs="Times New Roman"/>
                    <w:color w:val="auto"/>
                  </w:rPr>
                  <m:t>、</m:t>
                </m:r>
                <m:sSub>
                  <m:sSubPr>
                    <m:ctrlPr>
                      <w:rPr>
                        <w:rFonts w:ascii="Cambria Math" w:hAnsi="Cambria Math" w:cs="Times New Roman"/>
                        <w:i/>
                        <w:color w:val="auto"/>
                      </w:rPr>
                    </m:ctrlPr>
                  </m:sSubPr>
                  <m:e>
                    <m:r>
                      <m:rPr/>
                      <w:rPr>
                        <w:rFonts w:ascii="Cambria Math" w:hAnsi="Cambria Math" w:cs="Times New Roman"/>
                        <w:color w:val="auto"/>
                      </w:rPr>
                      <m:t>f</m:t>
                    </m:r>
                    <m:ctrlPr>
                      <w:rPr>
                        <w:rFonts w:ascii="Cambria Math" w:hAnsi="Cambria Math" w:cs="Times New Roman"/>
                        <w:i/>
                        <w:color w:val="auto"/>
                      </w:rPr>
                    </m:ctrlPr>
                  </m:e>
                  <m:sub>
                    <m:r>
                      <m:rPr/>
                      <w:rPr>
                        <w:rFonts w:ascii="Cambria Math" w:hAnsi="Cambria Math" w:cs="Times New Roman"/>
                        <w:color w:val="auto"/>
                      </w:rPr>
                      <m:t>sd2</m:t>
                    </m:r>
                    <m:ctrlPr>
                      <w:rPr>
                        <w:rFonts w:ascii="Cambria Math" w:hAnsi="Cambria Math" w:cs="Times New Roman"/>
                        <w:i/>
                        <w:color w:val="auto"/>
                      </w:rPr>
                    </m:ctrlPr>
                  </m:sub>
                </m:sSub>
              </m:oMath>
            </m:oMathPara>
          </w:p>
        </w:tc>
        <w:tc>
          <w:tcPr>
            <w:tcW w:w="4148" w:type="pct"/>
            <w:gridSpan w:val="2"/>
          </w:tcPr>
          <w:p w14:paraId="73221819">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——分别为受拉区NSC层和UHPC层的纵向受力钢筋的抗拉强度设计值（N/mm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w:t>
            </w:r>
          </w:p>
        </w:tc>
      </w:tr>
      <w:tr w14:paraId="33D2F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 w:type="pct"/>
          </w:tcPr>
          <w:p w14:paraId="61AE6F2F">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cs="Times New Roman"/>
                        <w:color w:val="auto"/>
                      </w:rPr>
                    </m:ctrlPr>
                  </m:sSubPr>
                  <m:e>
                    <m:r>
                      <m:rPr/>
                      <w:rPr>
                        <w:rFonts w:ascii="Cambria Math" w:hAnsi="Cambria Math" w:cs="Times New Roman"/>
                        <w:color w:val="auto"/>
                      </w:rPr>
                      <m:t>A</m:t>
                    </m:r>
                    <m:ctrlPr>
                      <w:rPr>
                        <w:rFonts w:ascii="Cambria Math" w:hAnsi="Cambria Math" w:cs="Times New Roman"/>
                        <w:color w:val="auto"/>
                      </w:rPr>
                    </m:ctrlPr>
                  </m:e>
                  <m:sub>
                    <m:r>
                      <m:rPr/>
                      <w:rPr>
                        <w:rFonts w:ascii="Cambria Math" w:hAnsi="Cambria Math" w:cs="Times New Roman"/>
                        <w:color w:val="auto"/>
                      </w:rPr>
                      <m:t>sc</m:t>
                    </m:r>
                    <m:ctrlPr>
                      <w:rPr>
                        <w:rFonts w:ascii="Cambria Math" w:hAnsi="Cambria Math" w:cs="Times New Roman"/>
                        <w:color w:val="auto"/>
                      </w:rPr>
                    </m:ctrlPr>
                  </m:sub>
                </m:sSub>
                <m:r>
                  <m:rPr/>
                  <w:rPr>
                    <w:rFonts w:hint="eastAsia" w:ascii="Cambria Math" w:hAnsi="Cambria Math" w:cs="Times New Roman"/>
                    <w:color w:val="auto"/>
                  </w:rPr>
                  <m:t>、</m:t>
                </m:r>
                <m:sSub>
                  <m:sSubPr>
                    <m:ctrlPr>
                      <w:rPr>
                        <w:rFonts w:ascii="Cambria Math" w:hAnsi="Cambria Math" w:cs="Times New Roman"/>
                        <w:i/>
                        <w:color w:val="auto"/>
                      </w:rPr>
                    </m:ctrlPr>
                  </m:sSubPr>
                  <m:e>
                    <m:r>
                      <m:rPr/>
                      <w:rPr>
                        <w:rFonts w:ascii="Cambria Math" w:hAnsi="Cambria Math" w:cs="Times New Roman"/>
                        <w:color w:val="auto"/>
                      </w:rPr>
                      <m:t>A</m:t>
                    </m:r>
                    <m:ctrlPr>
                      <w:rPr>
                        <w:rFonts w:ascii="Cambria Math" w:hAnsi="Cambria Math" w:cs="Times New Roman"/>
                        <w:i/>
                        <w:color w:val="auto"/>
                      </w:rPr>
                    </m:ctrlPr>
                  </m:e>
                  <m:sub>
                    <m:r>
                      <m:rPr/>
                      <w:rPr>
                        <w:rFonts w:ascii="Cambria Math" w:hAnsi="Cambria Math" w:cs="Times New Roman"/>
                        <w:color w:val="auto"/>
                      </w:rPr>
                      <m:t>su</m:t>
                    </m:r>
                    <m:ctrlPr>
                      <w:rPr>
                        <w:rFonts w:ascii="Cambria Math" w:hAnsi="Cambria Math" w:cs="Times New Roman"/>
                        <w:i/>
                        <w:color w:val="auto"/>
                      </w:rPr>
                    </m:ctrlPr>
                  </m:sub>
                </m:sSub>
              </m:oMath>
            </m:oMathPara>
          </w:p>
        </w:tc>
        <w:tc>
          <w:tcPr>
            <w:tcW w:w="4148" w:type="pct"/>
            <w:gridSpan w:val="2"/>
          </w:tcPr>
          <w:p w14:paraId="7BEC5056">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——分别为受拉区NSC层和UHPC层的纵向受力钢筋的截面面积（mm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w:t>
            </w:r>
          </w:p>
        </w:tc>
      </w:tr>
      <w:tr w14:paraId="29BF5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 w:type="pct"/>
          </w:tcPr>
          <w:p w14:paraId="3ED50DF5">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cs="Times New Roman"/>
                        <w:color w:val="auto"/>
                      </w:rPr>
                    </m:ctrlPr>
                  </m:sSubPr>
                  <m:e>
                    <m:r>
                      <m:rPr/>
                      <w:rPr>
                        <w:rFonts w:ascii="Cambria Math" w:hAnsi="Cambria Math" w:cs="Times New Roman"/>
                        <w:color w:val="auto"/>
                      </w:rPr>
                      <m:t>a</m:t>
                    </m:r>
                    <m:ctrlPr>
                      <w:rPr>
                        <w:rFonts w:ascii="Cambria Math" w:hAnsi="Cambria Math" w:cs="Times New Roman"/>
                        <w:color w:val="auto"/>
                      </w:rPr>
                    </m:ctrlPr>
                  </m:e>
                  <m:sub>
                    <m:r>
                      <m:rPr/>
                      <w:rPr>
                        <w:rFonts w:ascii="Cambria Math" w:hAnsi="Cambria Math" w:cs="Times New Roman"/>
                        <w:color w:val="auto"/>
                      </w:rPr>
                      <m:t>s1</m:t>
                    </m:r>
                    <m:ctrlPr>
                      <w:rPr>
                        <w:rFonts w:ascii="Cambria Math" w:hAnsi="Cambria Math" w:cs="Times New Roman"/>
                        <w:color w:val="auto"/>
                      </w:rPr>
                    </m:ctrlPr>
                  </m:sub>
                </m:sSub>
                <m:r>
                  <m:rPr/>
                  <w:rPr>
                    <w:rFonts w:hint="eastAsia" w:ascii="Cambria Math" w:hAnsi="Cambria Math" w:cs="Times New Roman"/>
                    <w:color w:val="auto"/>
                  </w:rPr>
                  <m:t>、</m:t>
                </m:r>
                <m:sSub>
                  <m:sSubPr>
                    <m:ctrlPr>
                      <w:rPr>
                        <w:rFonts w:ascii="Cambria Math" w:hAnsi="Cambria Math" w:cs="Times New Roman"/>
                        <w:i/>
                        <w:color w:val="auto"/>
                      </w:rPr>
                    </m:ctrlPr>
                  </m:sSubPr>
                  <m:e>
                    <m:r>
                      <m:rPr/>
                      <w:rPr>
                        <w:rFonts w:ascii="Cambria Math" w:hAnsi="Cambria Math" w:cs="Times New Roman"/>
                        <w:color w:val="auto"/>
                      </w:rPr>
                      <m:t>a</m:t>
                    </m:r>
                    <m:ctrlPr>
                      <w:rPr>
                        <w:rFonts w:ascii="Cambria Math" w:hAnsi="Cambria Math" w:cs="Times New Roman"/>
                        <w:i/>
                        <w:color w:val="auto"/>
                      </w:rPr>
                    </m:ctrlPr>
                  </m:e>
                  <m:sub>
                    <m:r>
                      <m:rPr/>
                      <w:rPr>
                        <w:rFonts w:ascii="Cambria Math" w:hAnsi="Cambria Math" w:cs="Times New Roman"/>
                        <w:color w:val="auto"/>
                      </w:rPr>
                      <m:t>s2</m:t>
                    </m:r>
                    <m:ctrlPr>
                      <w:rPr>
                        <w:rFonts w:ascii="Cambria Math" w:hAnsi="Cambria Math" w:cs="Times New Roman"/>
                        <w:i/>
                        <w:color w:val="auto"/>
                      </w:rPr>
                    </m:ctrlPr>
                  </m:sub>
                </m:sSub>
              </m:oMath>
            </m:oMathPara>
          </w:p>
        </w:tc>
        <w:tc>
          <w:tcPr>
            <w:tcW w:w="4148" w:type="pct"/>
            <w:gridSpan w:val="2"/>
          </w:tcPr>
          <w:p w14:paraId="0E854547">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——分别为受拉区NSC层和UHPC层的纵向受力钢筋合力点到受拉边缘的高度（mm）。</w:t>
            </w:r>
          </w:p>
        </w:tc>
      </w:tr>
    </w:tbl>
    <w:p w14:paraId="2D60C423">
      <w:pPr>
        <w:pStyle w:val="3"/>
        <w:rPr>
          <w:color w:val="auto"/>
        </w:rPr>
      </w:pPr>
      <w:bookmarkStart w:id="71" w:name="_Toc17473"/>
      <w:bookmarkStart w:id="72" w:name="_Toc26351"/>
      <w:bookmarkStart w:id="73" w:name="_Toc27805"/>
      <w:r>
        <w:rPr>
          <w:rFonts w:hint="eastAsia"/>
          <w:color w:val="auto"/>
        </w:rPr>
        <w:t>5.3  主梁斜截面抗剪承载力计算</w:t>
      </w:r>
      <w:bookmarkEnd w:id="71"/>
      <w:bookmarkEnd w:id="72"/>
      <w:bookmarkEnd w:id="73"/>
    </w:p>
    <w:p w14:paraId="74515073">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color w:val="auto"/>
          <w:szCs w:val="21"/>
        </w:rPr>
        <w:t xml:space="preserve">5.3.1  </w:t>
      </w:r>
      <w:r>
        <w:rPr>
          <w:rFonts w:hint="eastAsia" w:ascii="Times New Roman" w:hAnsi="Times New Roman" w:eastAsia="宋体"/>
          <w:color w:val="auto"/>
          <w:szCs w:val="21"/>
        </w:rPr>
        <w:t>超高性能混凝土－普通混凝土组合式盖板结构主梁斜截面抗剪承载力计算仅考虑超高性能混凝土腹板部分的抗剪贡献。</w:t>
      </w:r>
    </w:p>
    <w:p w14:paraId="6E882E88">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color w:val="auto"/>
          <w:szCs w:val="21"/>
        </w:rPr>
        <w:t xml:space="preserve">5.3.2  </w:t>
      </w:r>
      <w:r>
        <w:rPr>
          <w:rFonts w:hint="eastAsia" w:ascii="Times New Roman" w:hAnsi="Times New Roman" w:eastAsia="宋体"/>
          <w:color w:val="auto"/>
          <w:szCs w:val="21"/>
        </w:rPr>
        <w:t>超高性能混凝土－普通混凝土组合式盖板结构斜截面抗剪承载力验算应采按下列公式计算：</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55"/>
        <w:gridCol w:w="1386"/>
        <w:gridCol w:w="2840"/>
        <w:gridCol w:w="2841"/>
      </w:tblGrid>
      <w:tr w14:paraId="01039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7" w:type="pct"/>
            <w:gridSpan w:val="2"/>
            <w:vAlign w:val="center"/>
          </w:tcPr>
          <w:p w14:paraId="796E00D4">
            <w:pPr>
              <w:spacing w:line="360" w:lineRule="auto"/>
              <w:rPr>
                <w:rFonts w:hint="eastAsia" w:ascii="等线" w:hAnsi="等线" w:eastAsia="等线" w:cs="Times New Roman"/>
                <w:color w:val="auto"/>
                <w:szCs w:val="21"/>
              </w:rPr>
            </w:pPr>
          </w:p>
        </w:tc>
        <w:tc>
          <w:tcPr>
            <w:tcW w:w="1666" w:type="pct"/>
            <w:vAlign w:val="center"/>
          </w:tcPr>
          <w:p w14:paraId="0C22B4BD">
            <w:pPr>
              <w:spacing w:line="360" w:lineRule="auto"/>
              <w:jc w:val="center"/>
              <w:rPr>
                <w:rFonts w:ascii="Times New Roman" w:hAnsi="Times New Roman" w:eastAsia="宋体"/>
                <w:color w:val="auto"/>
                <w:szCs w:val="21"/>
              </w:rPr>
            </w:pPr>
            <m:oMathPara>
              <m:oMath>
                <m:sSub>
                  <m:sSubPr>
                    <m:ctrlPr>
                      <w:rPr>
                        <w:rFonts w:ascii="Cambria Math" w:hAnsi="Cambria Math"/>
                        <w:i/>
                        <w:color w:val="auto"/>
                      </w:rPr>
                    </m:ctrlPr>
                  </m:sSubPr>
                  <m:e>
                    <m:r>
                      <m:rPr/>
                      <w:rPr>
                        <w:rFonts w:ascii="Cambria Math" w:hAnsi="Cambria Math"/>
                        <w:color w:val="auto"/>
                      </w:rPr>
                      <m:t>γ</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sSub>
                  <m:sSubPr>
                    <m:ctrlPr>
                      <w:rPr>
                        <w:rFonts w:ascii="Cambria Math" w:hAnsi="Cambria Math"/>
                        <w:color w:val="auto"/>
                      </w:rPr>
                    </m:ctrlPr>
                  </m:sSubPr>
                  <m:e>
                    <m:r>
                      <m:rPr/>
                      <w:rPr>
                        <w:rFonts w:ascii="Cambria Math" w:hAnsi="Cambria Math"/>
                        <w:color w:val="auto"/>
                      </w:rPr>
                      <m:t>V</m:t>
                    </m:r>
                    <m:ctrlPr>
                      <w:rPr>
                        <w:rFonts w:ascii="Cambria Math" w:hAnsi="Cambria Math"/>
                        <w:color w:val="auto"/>
                      </w:rPr>
                    </m:ctrlPr>
                  </m:e>
                  <m:sub>
                    <m:r>
                      <m:rPr/>
                      <w:rPr>
                        <w:rFonts w:hint="eastAsia" w:ascii="Cambria Math" w:hAnsi="Cambria Math"/>
                        <w:color w:val="auto"/>
                      </w:rPr>
                      <m:t>d</m:t>
                    </m:r>
                    <m:ctrlPr>
                      <w:rPr>
                        <w:rFonts w:ascii="Cambria Math" w:hAnsi="Cambria Math"/>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V</m:t>
                    </m:r>
                    <m:ctrlPr>
                      <w:rPr>
                        <w:rFonts w:ascii="Cambria Math" w:hAnsi="Cambria Math"/>
                        <w:i/>
                        <w:color w:val="auto"/>
                      </w:rPr>
                    </m:ctrlPr>
                  </m:e>
                  <m:sub>
                    <m:r>
                      <m:rPr/>
                      <w:rPr>
                        <w:rFonts w:ascii="Cambria Math" w:hAnsi="Cambria Math"/>
                        <w:color w:val="auto"/>
                      </w:rPr>
                      <m:t>u</m:t>
                    </m:r>
                    <m:ctrlPr>
                      <w:rPr>
                        <w:rFonts w:ascii="Cambria Math" w:hAnsi="Cambria Math"/>
                        <w:i/>
                        <w:color w:val="auto"/>
                      </w:rPr>
                    </m:ctrlPr>
                  </m:sub>
                </m:sSub>
              </m:oMath>
            </m:oMathPara>
          </w:p>
        </w:tc>
        <w:tc>
          <w:tcPr>
            <w:tcW w:w="1667" w:type="pct"/>
            <w:vAlign w:val="center"/>
          </w:tcPr>
          <w:p w14:paraId="2A7C638B">
            <w:pPr>
              <w:spacing w:line="360" w:lineRule="auto"/>
              <w:jc w:val="right"/>
              <w:rPr>
                <w:rFonts w:ascii="Times New Roman" w:hAnsi="Times New Roman" w:eastAsia="宋体"/>
                <w:color w:val="auto"/>
                <w:szCs w:val="21"/>
              </w:rPr>
            </w:pPr>
            <w:r>
              <w:rPr>
                <w:rFonts w:ascii="Times New Roman" w:hAnsi="Times New Roman" w:eastAsia="宋体"/>
                <w:color w:val="auto"/>
                <w:szCs w:val="21"/>
              </w:rPr>
              <w:t>(5.3.</w:t>
            </w:r>
            <w:r>
              <w:rPr>
                <w:rFonts w:hint="eastAsia" w:ascii="Times New Roman" w:hAnsi="Times New Roman" w:eastAsia="宋体"/>
                <w:color w:val="auto"/>
                <w:szCs w:val="21"/>
              </w:rPr>
              <w:t>2</w:t>
            </w:r>
            <w:r>
              <w:rPr>
                <w:rFonts w:ascii="Times New Roman" w:hAnsi="Times New Roman" w:eastAsia="宋体"/>
                <w:color w:val="auto"/>
                <w:szCs w:val="21"/>
              </w:rPr>
              <w:t>)</w:t>
            </w:r>
          </w:p>
        </w:tc>
      </w:tr>
      <w:tr w14:paraId="35310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02C852FB">
            <w:pPr>
              <w:wordWrap w:val="0"/>
              <w:spacing w:line="360" w:lineRule="auto"/>
              <w:jc w:val="right"/>
              <w:rPr>
                <w:rFonts w:ascii="Times New Roman" w:hAnsi="Times New Roman" w:eastAsia="宋体"/>
                <w:color w:val="auto"/>
                <w:szCs w:val="21"/>
              </w:rPr>
            </w:pPr>
            <w:r>
              <w:rPr>
                <w:rFonts w:hint="eastAsia" w:ascii="Times New Roman" w:hAnsi="Times New Roman" w:eastAsia="宋体"/>
                <w:color w:val="auto"/>
                <w:szCs w:val="21"/>
              </w:rPr>
              <w:t xml:space="preserve">式中： </w:t>
            </w:r>
            <w:r>
              <w:rPr>
                <w:rFonts w:ascii="Times New Roman" w:hAnsi="Times New Roman" w:eastAsia="宋体"/>
                <w:color w:val="auto"/>
                <w:szCs w:val="21"/>
              </w:rPr>
              <w:t xml:space="preserve">  </w:t>
            </w:r>
            <m:oMath>
              <m:sSub>
                <m:sSubPr>
                  <m:ctrlPr>
                    <w:rPr>
                      <w:rFonts w:ascii="Cambria Math" w:hAnsi="Cambria Math"/>
                      <w:color w:val="auto"/>
                    </w:rPr>
                  </m:ctrlPr>
                </m:sSubPr>
                <m:e>
                  <m:r>
                    <m:rPr/>
                    <w:rPr>
                      <w:rFonts w:ascii="Cambria Math" w:hAnsi="Cambria Math"/>
                      <w:color w:val="auto"/>
                    </w:rPr>
                    <m:t>V</m:t>
                  </m:r>
                  <m:ctrlPr>
                    <w:rPr>
                      <w:rFonts w:ascii="Cambria Math" w:hAnsi="Cambria Math"/>
                      <w:color w:val="auto"/>
                    </w:rPr>
                  </m:ctrlPr>
                </m:e>
                <m:sub>
                  <m:r>
                    <m:rPr/>
                    <w:rPr>
                      <w:rFonts w:ascii="Cambria Math" w:hAnsi="Cambria Math"/>
                      <w:color w:val="auto"/>
                    </w:rPr>
                    <m:t>d</m:t>
                  </m:r>
                  <m:ctrlPr>
                    <w:rPr>
                      <w:rFonts w:ascii="Cambria Math" w:hAnsi="Cambria Math"/>
                      <w:color w:val="auto"/>
                    </w:rPr>
                  </m:ctrlPr>
                </m:sub>
              </m:sSub>
            </m:oMath>
          </w:p>
        </w:tc>
        <w:tc>
          <w:tcPr>
            <w:tcW w:w="4146" w:type="pct"/>
            <w:gridSpan w:val="3"/>
            <w:tcBorders>
              <w:top w:val="nil"/>
              <w:left w:val="nil"/>
              <w:bottom w:val="nil"/>
              <w:right w:val="nil"/>
            </w:tcBorders>
          </w:tcPr>
          <w:p w14:paraId="5A241471">
            <w:pPr>
              <w:spacing w:line="360" w:lineRule="auto"/>
              <w:rPr>
                <w:rFonts w:ascii="Times New Roman" w:hAnsi="Times New Roman" w:eastAsia="宋体"/>
                <w:color w:val="auto"/>
                <w:szCs w:val="21"/>
              </w:rPr>
            </w:pPr>
            <w:r>
              <w:rPr>
                <w:rFonts w:hint="eastAsia" w:ascii="Times New Roman" w:hAnsi="Times New Roman" w:eastAsia="宋体"/>
                <w:color w:val="auto"/>
                <w:szCs w:val="21"/>
              </w:rPr>
              <w:t>——基本组合剪力设计值（N）；</w:t>
            </w:r>
          </w:p>
        </w:tc>
      </w:tr>
      <w:tr w14:paraId="4CF68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35D810D3">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V</m:t>
                    </m:r>
                    <m:ctrlPr>
                      <w:rPr>
                        <w:rFonts w:ascii="Cambria Math" w:hAnsi="Cambria Math"/>
                        <w:color w:val="auto"/>
                      </w:rPr>
                    </m:ctrlPr>
                  </m:e>
                  <m:sub>
                    <m:r>
                      <m:rPr/>
                      <w:rPr>
                        <w:rFonts w:ascii="Cambria Math" w:hAnsi="Cambria Math"/>
                        <w:color w:val="auto"/>
                      </w:rPr>
                      <m:t>u</m:t>
                    </m:r>
                    <m:ctrlPr>
                      <w:rPr>
                        <w:rFonts w:ascii="Cambria Math" w:hAnsi="Cambria Math"/>
                        <w:color w:val="auto"/>
                      </w:rPr>
                    </m:ctrlPr>
                  </m:sub>
                </m:sSub>
              </m:oMath>
            </m:oMathPara>
          </w:p>
        </w:tc>
        <w:tc>
          <w:tcPr>
            <w:tcW w:w="4146" w:type="pct"/>
            <w:gridSpan w:val="3"/>
            <w:tcBorders>
              <w:top w:val="nil"/>
              <w:left w:val="nil"/>
              <w:bottom w:val="nil"/>
              <w:right w:val="nil"/>
            </w:tcBorders>
          </w:tcPr>
          <w:p w14:paraId="3D0A3DED">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——斜截面抗剪承载力，应按本规程第5.3.3条规定计算（N）。</w:t>
            </w:r>
          </w:p>
        </w:tc>
      </w:tr>
    </w:tbl>
    <w:p w14:paraId="29A62B39">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color w:val="auto"/>
          <w:szCs w:val="21"/>
        </w:rPr>
        <w:t xml:space="preserve">5.3.3  </w:t>
      </w:r>
      <w:r>
        <w:rPr>
          <w:rFonts w:hint="eastAsia" w:ascii="Times New Roman" w:hAnsi="Times New Roman" w:eastAsia="宋体"/>
          <w:color w:val="auto"/>
          <w:szCs w:val="21"/>
        </w:rPr>
        <w:t>倒“T”形超高性能混凝土-普通混凝土组合式盖板结构受弯构件，其斜截面抗剪承载力应按下列公式计算：</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55"/>
        <w:gridCol w:w="1386"/>
        <w:gridCol w:w="2840"/>
        <w:gridCol w:w="2841"/>
      </w:tblGrid>
      <w:tr w14:paraId="43C2A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7" w:type="pct"/>
            <w:gridSpan w:val="2"/>
            <w:vAlign w:val="center"/>
          </w:tcPr>
          <w:p w14:paraId="66D4E978">
            <w:pPr>
              <w:spacing w:line="360" w:lineRule="auto"/>
              <w:rPr>
                <w:rFonts w:hint="eastAsia" w:ascii="等线" w:hAnsi="等线" w:eastAsia="等线" w:cs="Times New Roman"/>
                <w:color w:val="auto"/>
                <w:szCs w:val="21"/>
              </w:rPr>
            </w:pPr>
          </w:p>
        </w:tc>
        <w:tc>
          <w:tcPr>
            <w:tcW w:w="1666" w:type="pct"/>
            <w:vAlign w:val="center"/>
          </w:tcPr>
          <w:p w14:paraId="110D908A">
            <w:pPr>
              <w:spacing w:line="360" w:lineRule="auto"/>
              <w:jc w:val="center"/>
              <w:rPr>
                <w:rFonts w:ascii="Times New Roman" w:hAnsi="Times New Roman"/>
                <w:color w:val="auto"/>
                <w:szCs w:val="21"/>
              </w:rPr>
            </w:pPr>
            <m:oMath>
              <m:sSub>
                <m:sSubPr>
                  <m:ctrlPr>
                    <w:rPr>
                      <w:rFonts w:ascii="Cambria Math" w:hAnsi="Cambria Math"/>
                      <w:i/>
                      <w:color w:val="auto"/>
                    </w:rPr>
                  </m:ctrlPr>
                </m:sSubPr>
                <m:e>
                  <m:r>
                    <m:rPr/>
                    <w:rPr>
                      <w:rFonts w:ascii="Cambria Math" w:hAnsi="Cambria Math"/>
                      <w:color w:val="auto"/>
                    </w:rPr>
                    <m:t>V</m:t>
                  </m:r>
                  <m:ctrlPr>
                    <w:rPr>
                      <w:rFonts w:ascii="Cambria Math" w:hAnsi="Cambria Math"/>
                      <w:i/>
                      <w:color w:val="auto"/>
                    </w:rPr>
                  </m:ctrlPr>
                </m:e>
                <m:sub>
                  <m:r>
                    <m:rPr/>
                    <w:rPr>
                      <w:rFonts w:ascii="Cambria Math" w:hAnsi="Cambria Math"/>
                      <w:color w:val="auto"/>
                    </w:rPr>
                    <m:t>u</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V</m:t>
                  </m:r>
                  <m:ctrlPr>
                    <w:rPr>
                      <w:rFonts w:ascii="Cambria Math" w:hAnsi="Cambria Math"/>
                      <w:i/>
                      <w:color w:val="auto"/>
                    </w:rPr>
                  </m:ctrlPr>
                </m:e>
                <m:sub>
                  <m:r>
                    <m:rPr/>
                    <w:rPr>
                      <w:rFonts w:ascii="Cambria Math" w:hAnsi="Cambria Math"/>
                      <w:color w:val="auto"/>
                    </w:rPr>
                    <m:t>fc</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V</m:t>
                  </m:r>
                  <m:ctrlPr>
                    <w:rPr>
                      <w:rFonts w:ascii="Cambria Math" w:hAnsi="Cambria Math"/>
                      <w:i/>
                      <w:color w:val="auto"/>
                    </w:rPr>
                  </m:ctrlPr>
                </m:e>
                <m:sub>
                  <m:r>
                    <m:rPr/>
                    <w:rPr>
                      <w:rFonts w:ascii="Cambria Math" w:hAnsi="Cambria Math"/>
                      <w:color w:val="auto"/>
                    </w:rPr>
                    <m:t>f</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V</m:t>
                  </m:r>
                  <m:ctrlPr>
                    <w:rPr>
                      <w:rFonts w:ascii="Cambria Math" w:hAnsi="Cambria Math"/>
                      <w:i/>
                      <w:color w:val="auto"/>
                    </w:rPr>
                  </m:ctrlPr>
                </m:e>
                <m:sub>
                  <m:r>
                    <m:rPr/>
                    <w:rPr>
                      <w:rFonts w:ascii="Cambria Math" w:hAnsi="Cambria Math"/>
                      <w:color w:val="auto"/>
                    </w:rPr>
                    <m:t>s</m:t>
                  </m:r>
                  <m:ctrlPr>
                    <w:rPr>
                      <w:rFonts w:ascii="Cambria Math" w:hAnsi="Cambria Math"/>
                      <w:i/>
                      <w:color w:val="auto"/>
                    </w:rPr>
                  </m:ctrlPr>
                </m:sub>
              </m:sSub>
            </m:oMath>
            <w:r>
              <w:rPr>
                <w:rFonts w:hint="eastAsia" w:hAnsi="Cambria Math"/>
                <w:color w:val="auto"/>
              </w:rPr>
              <w:t>+</w:t>
            </w:r>
            <m:oMath>
              <m:sSub>
                <m:sSubPr>
                  <m:ctrlPr>
                    <w:rPr>
                      <w:rFonts w:ascii="Cambria Math" w:hAnsi="Cambria Math"/>
                      <w:i/>
                      <w:color w:val="auto"/>
                    </w:rPr>
                  </m:ctrlPr>
                </m:sSubPr>
                <m:e>
                  <m:r>
                    <m:rPr/>
                    <w:rPr>
                      <w:rFonts w:ascii="Cambria Math" w:hAnsi="Cambria Math"/>
                      <w:color w:val="auto"/>
                    </w:rPr>
                    <m:t>V</m:t>
                  </m:r>
                  <m:ctrlPr>
                    <w:rPr>
                      <w:rFonts w:ascii="Cambria Math" w:hAnsi="Cambria Math"/>
                      <w:i/>
                      <w:color w:val="auto"/>
                    </w:rPr>
                  </m:ctrlPr>
                </m:e>
                <m:sub>
                  <m:r>
                    <m:rPr/>
                    <w:rPr>
                      <w:rFonts w:ascii="Cambria Math" w:hAnsi="Cambria Math"/>
                      <w:color w:val="auto"/>
                    </w:rPr>
                    <m:t>c</m:t>
                  </m:r>
                  <m:ctrlPr>
                    <w:rPr>
                      <w:rFonts w:ascii="Cambria Math" w:hAnsi="Cambria Math"/>
                      <w:i/>
                      <w:color w:val="auto"/>
                    </w:rPr>
                  </m:ctrlPr>
                </m:sub>
              </m:sSub>
            </m:oMath>
          </w:p>
        </w:tc>
        <w:tc>
          <w:tcPr>
            <w:tcW w:w="1667" w:type="pct"/>
            <w:vAlign w:val="center"/>
          </w:tcPr>
          <w:p w14:paraId="506EBFD8">
            <w:pPr>
              <w:spacing w:line="360" w:lineRule="auto"/>
              <w:jc w:val="right"/>
              <w:rPr>
                <w:rFonts w:ascii="Times New Roman" w:hAnsi="Times New Roman" w:eastAsia="宋体"/>
                <w:color w:val="auto"/>
                <w:szCs w:val="21"/>
              </w:rPr>
            </w:pPr>
            <w:r>
              <w:rPr>
                <w:rFonts w:ascii="Times New Roman" w:hAnsi="Times New Roman" w:eastAsia="宋体"/>
                <w:color w:val="auto"/>
                <w:szCs w:val="21"/>
              </w:rPr>
              <w:t>(5.3.</w:t>
            </w:r>
            <w:r>
              <w:rPr>
                <w:rFonts w:hint="eastAsia" w:ascii="Times New Roman" w:hAnsi="Times New Roman" w:eastAsia="宋体"/>
                <w:color w:val="auto"/>
                <w:szCs w:val="21"/>
              </w:rPr>
              <w:t>3</w:t>
            </w:r>
            <w:r>
              <w:rPr>
                <w:rFonts w:ascii="Times New Roman" w:hAnsi="Times New Roman" w:eastAsia="宋体"/>
                <w:color w:val="auto"/>
                <w:szCs w:val="21"/>
              </w:rPr>
              <w:t>-1)</w:t>
            </w:r>
          </w:p>
        </w:tc>
      </w:tr>
      <w:tr w14:paraId="6108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1D84C396">
            <w:pPr>
              <w:wordWrap w:val="0"/>
              <w:spacing w:line="360" w:lineRule="auto"/>
              <w:jc w:val="right"/>
              <w:rPr>
                <w:rFonts w:ascii="Times New Roman" w:hAnsi="Times New Roman" w:eastAsia="宋体"/>
                <w:color w:val="auto"/>
                <w:szCs w:val="21"/>
              </w:rPr>
            </w:pPr>
            <w:r>
              <w:rPr>
                <w:rFonts w:hint="eastAsia" w:ascii="Times New Roman" w:hAnsi="Times New Roman" w:eastAsia="宋体"/>
                <w:color w:val="auto"/>
                <w:szCs w:val="21"/>
              </w:rPr>
              <w:t xml:space="preserve">式中： </w:t>
            </w:r>
            <w:r>
              <w:rPr>
                <w:rFonts w:ascii="Times New Roman" w:hAnsi="Times New Roman" w:eastAsia="宋体"/>
                <w:color w:val="auto"/>
                <w:szCs w:val="21"/>
              </w:rPr>
              <w:t xml:space="preserve">  </w:t>
            </w:r>
            <m:oMath>
              <m:sSub>
                <m:sSubPr>
                  <m:ctrlPr>
                    <w:rPr>
                      <w:rFonts w:ascii="Cambria Math" w:hAnsi="Cambria Math"/>
                      <w:color w:val="auto"/>
                    </w:rPr>
                  </m:ctrlPr>
                </m:sSubPr>
                <m:e>
                  <m:r>
                    <m:rPr/>
                    <w:rPr>
                      <w:rFonts w:ascii="Cambria Math" w:hAnsi="Cambria Math"/>
                      <w:color w:val="auto"/>
                    </w:rPr>
                    <m:t>V</m:t>
                  </m:r>
                  <m:ctrlPr>
                    <w:rPr>
                      <w:rFonts w:ascii="Cambria Math" w:hAnsi="Cambria Math"/>
                      <w:color w:val="auto"/>
                    </w:rPr>
                  </m:ctrlPr>
                </m:e>
                <m:sub>
                  <m:r>
                    <m:rPr/>
                    <w:rPr>
                      <w:rFonts w:ascii="Cambria Math" w:hAnsi="Cambria Math"/>
                      <w:color w:val="auto"/>
                    </w:rPr>
                    <m:t>u</m:t>
                  </m:r>
                  <m:ctrlPr>
                    <w:rPr>
                      <w:rFonts w:ascii="Cambria Math" w:hAnsi="Cambria Math"/>
                      <w:color w:val="auto"/>
                    </w:rPr>
                  </m:ctrlPr>
                </m:sub>
              </m:sSub>
            </m:oMath>
          </w:p>
        </w:tc>
        <w:tc>
          <w:tcPr>
            <w:tcW w:w="4146" w:type="pct"/>
            <w:gridSpan w:val="3"/>
            <w:tcBorders>
              <w:top w:val="nil"/>
              <w:left w:val="nil"/>
              <w:bottom w:val="nil"/>
              <w:right w:val="nil"/>
            </w:tcBorders>
          </w:tcPr>
          <w:p w14:paraId="09501A2D">
            <w:pPr>
              <w:spacing w:line="360" w:lineRule="auto"/>
              <w:rPr>
                <w:rFonts w:ascii="Times New Roman" w:hAnsi="Times New Roman" w:eastAsia="宋体"/>
                <w:color w:val="auto"/>
                <w:szCs w:val="21"/>
              </w:rPr>
            </w:pPr>
            <w:r>
              <w:rPr>
                <w:rFonts w:hint="eastAsia" w:ascii="Times New Roman" w:hAnsi="Times New Roman" w:eastAsia="宋体"/>
                <w:color w:val="auto"/>
                <w:szCs w:val="21"/>
              </w:rPr>
              <w:t>——斜截面抗剪承载力（N）；</w:t>
            </w:r>
          </w:p>
        </w:tc>
      </w:tr>
      <w:tr w14:paraId="1B76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2E329AA7">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V</m:t>
                    </m:r>
                    <m:ctrlPr>
                      <w:rPr>
                        <w:rFonts w:ascii="Cambria Math" w:hAnsi="Cambria Math"/>
                        <w:color w:val="auto"/>
                      </w:rPr>
                    </m:ctrlPr>
                  </m:e>
                  <m:sub>
                    <m:r>
                      <m:rPr/>
                      <w:rPr>
                        <w:rFonts w:ascii="Cambria Math" w:hAnsi="Cambria Math"/>
                        <w:color w:val="auto"/>
                      </w:rPr>
                      <m:t>fc</m:t>
                    </m:r>
                    <m:ctrlPr>
                      <w:rPr>
                        <w:rFonts w:ascii="Cambria Math" w:hAnsi="Cambria Math"/>
                        <w:color w:val="auto"/>
                      </w:rPr>
                    </m:ctrlPr>
                  </m:sub>
                </m:sSub>
              </m:oMath>
            </m:oMathPara>
          </w:p>
        </w:tc>
        <w:tc>
          <w:tcPr>
            <w:tcW w:w="4146" w:type="pct"/>
            <w:gridSpan w:val="3"/>
            <w:tcBorders>
              <w:top w:val="nil"/>
              <w:left w:val="nil"/>
              <w:bottom w:val="nil"/>
              <w:right w:val="nil"/>
            </w:tcBorders>
          </w:tcPr>
          <w:p w14:paraId="6663BDD3">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——构件斜截面上超高性能混凝土基体受剪承载力设计值（N）；</w:t>
            </w:r>
          </w:p>
        </w:tc>
      </w:tr>
      <w:tr w14:paraId="7D5D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21B2A520">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V</m:t>
                    </m:r>
                    <m:ctrlPr>
                      <w:rPr>
                        <w:rFonts w:ascii="Cambria Math" w:hAnsi="Cambria Math"/>
                        <w:color w:val="auto"/>
                      </w:rPr>
                    </m:ctrlPr>
                  </m:e>
                  <m:sub>
                    <m:r>
                      <m:rPr/>
                      <w:rPr>
                        <w:rFonts w:ascii="Cambria Math" w:hAnsi="Cambria Math"/>
                        <w:color w:val="auto"/>
                      </w:rPr>
                      <m:t>f</m:t>
                    </m:r>
                    <m:ctrlPr>
                      <w:rPr>
                        <w:rFonts w:ascii="Cambria Math" w:hAnsi="Cambria Math"/>
                        <w:color w:val="auto"/>
                      </w:rPr>
                    </m:ctrlPr>
                  </m:sub>
                </m:sSub>
              </m:oMath>
            </m:oMathPara>
          </w:p>
        </w:tc>
        <w:tc>
          <w:tcPr>
            <w:tcW w:w="4146" w:type="pct"/>
            <w:gridSpan w:val="3"/>
            <w:tcBorders>
              <w:top w:val="nil"/>
              <w:left w:val="nil"/>
              <w:bottom w:val="nil"/>
              <w:right w:val="nil"/>
            </w:tcBorders>
          </w:tcPr>
          <w:p w14:paraId="5D75702D">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——构件斜截面上纤维受剪承载力设计值（N）；</w:t>
            </w:r>
          </w:p>
        </w:tc>
      </w:tr>
      <w:tr w14:paraId="1CD5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7E792D2D">
            <w:pPr>
              <w:spacing w:line="360" w:lineRule="auto"/>
              <w:jc w:val="right"/>
              <w:rPr>
                <w:rFonts w:hAnsi="Cambria Math"/>
                <w:color w:val="auto"/>
              </w:rPr>
            </w:pPr>
            <m:oMathPara>
              <m:oMathParaPr>
                <m:jc m:val="right"/>
              </m:oMathParaPr>
              <m:oMath>
                <m:sSub>
                  <m:sSubPr>
                    <m:ctrlPr>
                      <w:rPr>
                        <w:rFonts w:ascii="Cambria Math" w:hAnsi="Cambria Math"/>
                        <w:color w:val="auto"/>
                      </w:rPr>
                    </m:ctrlPr>
                  </m:sSubPr>
                  <m:e>
                    <m:r>
                      <m:rPr/>
                      <w:rPr>
                        <w:rFonts w:ascii="Cambria Math" w:hAnsi="Cambria Math"/>
                        <w:color w:val="auto"/>
                      </w:rPr>
                      <m:t>V</m:t>
                    </m:r>
                    <m:ctrlPr>
                      <w:rPr>
                        <w:rFonts w:ascii="Cambria Math" w:hAnsi="Cambria Math"/>
                        <w:color w:val="auto"/>
                      </w:rPr>
                    </m:ctrlPr>
                  </m:e>
                  <m:sub>
                    <m:r>
                      <m:rPr/>
                      <w:rPr>
                        <w:rFonts w:ascii="Cambria Math" w:hAnsi="Cambria Math"/>
                        <w:color w:val="auto"/>
                      </w:rPr>
                      <m:t>s</m:t>
                    </m:r>
                    <m:ctrlPr>
                      <w:rPr>
                        <w:rFonts w:ascii="Cambria Math" w:hAnsi="Cambria Math"/>
                        <w:color w:val="auto"/>
                      </w:rPr>
                    </m:ctrlPr>
                  </m:sub>
                </m:sSub>
              </m:oMath>
            </m:oMathPara>
          </w:p>
          <w:p w14:paraId="09C70C77">
            <w:pPr>
              <w:spacing w:line="360" w:lineRule="auto"/>
              <w:jc w:val="right"/>
              <w:rPr>
                <w:rFonts w:hAnsi="Cambria Math"/>
                <w:color w:val="auto"/>
              </w:rPr>
            </w:pPr>
            <m:oMathPara>
              <m:oMathParaPr>
                <m:jc m:val="right"/>
              </m:oMathParaPr>
              <m:oMath>
                <m:sSub>
                  <m:sSubPr>
                    <m:ctrlPr>
                      <w:rPr>
                        <w:rFonts w:ascii="Cambria Math" w:hAnsi="Cambria Math"/>
                        <w:color w:val="auto"/>
                      </w:rPr>
                    </m:ctrlPr>
                  </m:sSubPr>
                  <m:e>
                    <m:r>
                      <m:rPr/>
                      <w:rPr>
                        <w:rFonts w:ascii="Cambria Math" w:hAnsi="Cambria Math"/>
                        <w:color w:val="auto"/>
                      </w:rPr>
                      <m:t>V</m:t>
                    </m:r>
                    <m:ctrlPr>
                      <w:rPr>
                        <w:rFonts w:ascii="Cambria Math" w:hAnsi="Cambria Math"/>
                        <w:color w:val="auto"/>
                      </w:rPr>
                    </m:ctrlPr>
                  </m:e>
                  <m:sub>
                    <m:r>
                      <m:rPr/>
                      <w:rPr>
                        <w:rFonts w:ascii="Cambria Math" w:hAnsi="Cambria Math"/>
                        <w:color w:val="auto"/>
                      </w:rPr>
                      <m:t>c</m:t>
                    </m:r>
                    <m:ctrlPr>
                      <w:rPr>
                        <w:rFonts w:ascii="Cambria Math" w:hAnsi="Cambria Math"/>
                        <w:color w:val="auto"/>
                      </w:rPr>
                    </m:ctrlPr>
                  </m:sub>
                </m:sSub>
              </m:oMath>
            </m:oMathPara>
          </w:p>
        </w:tc>
        <w:tc>
          <w:tcPr>
            <w:tcW w:w="4146" w:type="pct"/>
            <w:gridSpan w:val="3"/>
            <w:tcBorders>
              <w:top w:val="nil"/>
              <w:left w:val="nil"/>
              <w:bottom w:val="nil"/>
              <w:right w:val="nil"/>
            </w:tcBorders>
          </w:tcPr>
          <w:p w14:paraId="3435E11C">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——构件斜截面上抗剪钢筋受剪承载力设计值（N）；</w:t>
            </w:r>
          </w:p>
          <w:p w14:paraId="1209CBA3">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——构件斜截面上普通混凝土基体受剪承载力设计值（N）；</w:t>
            </w:r>
          </w:p>
        </w:tc>
      </w:tr>
    </w:tbl>
    <w:p w14:paraId="54C81167">
      <w:pPr>
        <w:spacing w:line="360" w:lineRule="auto"/>
        <w:ind w:firstLine="422" w:firstLineChars="200"/>
        <w:rPr>
          <w:rFonts w:ascii="Times New Roman" w:hAnsi="Times New Roman" w:eastAsia="宋体"/>
          <w:color w:val="auto"/>
          <w:szCs w:val="21"/>
        </w:rPr>
      </w:pPr>
      <w:r>
        <w:rPr>
          <w:rFonts w:hint="eastAsia" w:ascii="Times New Roman" w:hAnsi="Times New Roman" w:eastAsia="宋体"/>
          <w:b/>
          <w:color w:val="auto"/>
          <w:szCs w:val="21"/>
        </w:rPr>
        <w:t>1</w:t>
      </w:r>
      <w:r>
        <w:rPr>
          <w:rFonts w:hint="eastAsia" w:ascii="Times New Roman" w:hAnsi="Times New Roman" w:eastAsia="宋体"/>
          <w:color w:val="auto"/>
          <w:szCs w:val="21"/>
        </w:rPr>
        <w:t xml:space="preserve"> 超高性能混凝土基体受剪承载力设计值</w:t>
      </w:r>
      <m:oMath>
        <m:sSub>
          <m:sSubPr>
            <m:ctrlPr>
              <w:rPr>
                <w:rFonts w:ascii="Cambria Math" w:hAnsi="Cambria Math"/>
                <w:color w:val="auto"/>
              </w:rPr>
            </m:ctrlPr>
          </m:sSubPr>
          <m:e>
            <m:r>
              <m:rPr/>
              <w:rPr>
                <w:rFonts w:ascii="Cambria Math" w:hAnsi="Cambria Math"/>
                <w:color w:val="auto"/>
              </w:rPr>
              <m:t>V</m:t>
            </m:r>
            <m:ctrlPr>
              <w:rPr>
                <w:rFonts w:ascii="Cambria Math" w:hAnsi="Cambria Math"/>
                <w:color w:val="auto"/>
              </w:rPr>
            </m:ctrlPr>
          </m:e>
          <m:sub>
            <m:r>
              <m:rPr/>
              <w:rPr>
                <w:rFonts w:ascii="Cambria Math" w:hAnsi="Cambria Math"/>
                <w:color w:val="auto"/>
              </w:rPr>
              <m:t>fc</m:t>
            </m:r>
            <m:ctrlPr>
              <w:rPr>
                <w:rFonts w:ascii="Cambria Math" w:hAnsi="Cambria Math"/>
                <w:color w:val="auto"/>
              </w:rPr>
            </m:ctrlPr>
          </m:sub>
        </m:sSub>
      </m:oMath>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55"/>
        <w:gridCol w:w="1386"/>
        <w:gridCol w:w="2840"/>
        <w:gridCol w:w="2841"/>
      </w:tblGrid>
      <w:tr w14:paraId="087F5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7" w:type="pct"/>
            <w:gridSpan w:val="2"/>
            <w:vAlign w:val="center"/>
          </w:tcPr>
          <w:p w14:paraId="1A5077C2">
            <w:pPr>
              <w:spacing w:line="360" w:lineRule="auto"/>
              <w:rPr>
                <w:rFonts w:hint="eastAsia" w:ascii="等线" w:hAnsi="等线" w:eastAsia="等线" w:cs="Times New Roman"/>
                <w:color w:val="auto"/>
                <w:szCs w:val="21"/>
              </w:rPr>
            </w:pPr>
          </w:p>
        </w:tc>
        <w:tc>
          <w:tcPr>
            <w:tcW w:w="1666" w:type="pct"/>
            <w:vAlign w:val="center"/>
          </w:tcPr>
          <w:p w14:paraId="1C0F1110">
            <w:pPr>
              <w:spacing w:line="360" w:lineRule="auto"/>
              <w:jc w:val="center"/>
              <w:rPr>
                <w:rFonts w:ascii="Times New Roman" w:hAnsi="Times New Roman" w:eastAsia="宋体"/>
                <w:color w:val="auto"/>
                <w:szCs w:val="21"/>
              </w:rPr>
            </w:pPr>
            <m:oMathPara>
              <m:oMath>
                <m:sSub>
                  <m:sSubPr>
                    <m:ctrlPr>
                      <w:rPr>
                        <w:rFonts w:ascii="Cambria Math" w:hAnsi="Cambria Math"/>
                        <w:i/>
                        <w:color w:val="auto"/>
                      </w:rPr>
                    </m:ctrlPr>
                  </m:sSubPr>
                  <m:e>
                    <m:r>
                      <m:rPr/>
                      <w:rPr>
                        <w:rFonts w:ascii="Cambria Math" w:hAnsi="Cambria Math"/>
                        <w:color w:val="auto"/>
                      </w:rPr>
                      <m:t>V</m:t>
                    </m:r>
                    <m:ctrlPr>
                      <w:rPr>
                        <w:rFonts w:ascii="Cambria Math" w:hAnsi="Cambria Math"/>
                        <w:i/>
                        <w:color w:val="auto"/>
                      </w:rPr>
                    </m:ctrlPr>
                  </m:e>
                  <m:sub>
                    <m:r>
                      <m:rPr/>
                      <w:rPr>
                        <w:rFonts w:ascii="Cambria Math" w:hAnsi="Cambria Math"/>
                        <w:color w:val="auto"/>
                      </w:rPr>
                      <m:t>fc</m:t>
                    </m:r>
                    <m:ctrlPr>
                      <w:rPr>
                        <w:rFonts w:ascii="Cambria Math" w:hAnsi="Cambria Math"/>
                        <w:i/>
                        <w:color w:val="auto"/>
                      </w:rPr>
                    </m:ctrlPr>
                  </m:sub>
                </m:sSub>
                <m:r>
                  <m:rPr/>
                  <w:rPr>
                    <w:rFonts w:ascii="Cambria Math" w:hAnsi="Cambria Math"/>
                    <w:color w:val="auto"/>
                  </w:rPr>
                  <m:t>=0.14</m:t>
                </m:r>
                <m:rad>
                  <m:radPr>
                    <m:degHide m:val="1"/>
                    <m:ctrlPr>
                      <w:rPr>
                        <w:rFonts w:ascii="Cambria Math" w:hAnsi="Cambria Math"/>
                        <w:i/>
                        <w:color w:val="auto"/>
                      </w:rPr>
                    </m:ctrlPr>
                  </m:radPr>
                  <m:deg>
                    <m:ctrlPr>
                      <w:rPr>
                        <w:rFonts w:ascii="Cambria Math" w:hAnsi="Cambria Math"/>
                        <w:i/>
                        <w:color w:val="auto"/>
                      </w:rPr>
                    </m:ctrlPr>
                  </m:deg>
                  <m:e>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fck</m:t>
                        </m:r>
                        <m:ctrlPr>
                          <w:rPr>
                            <w:rFonts w:ascii="Cambria Math" w:hAnsi="Cambria Math"/>
                            <w:i/>
                            <w:color w:val="auto"/>
                          </w:rPr>
                        </m:ctrlPr>
                      </m:sub>
                    </m:sSub>
                    <m:ctrlPr>
                      <w:rPr>
                        <w:rFonts w:ascii="Cambria Math" w:hAnsi="Cambria Math"/>
                        <w:i/>
                        <w:color w:val="auto"/>
                      </w:rPr>
                    </m:ctrlPr>
                  </m:e>
                </m:rad>
                <m:sSub>
                  <m:sSubPr>
                    <m:ctrlPr>
                      <w:rPr>
                        <w:rFonts w:ascii="Cambria Math" w:hAnsi="Cambria Math"/>
                        <w:i/>
                        <w:color w:val="auto"/>
                      </w:rPr>
                    </m:ctrlPr>
                  </m:sSubPr>
                  <m:e>
                    <m:r>
                      <m:rPr/>
                      <w:rPr>
                        <w:rFonts w:ascii="Cambria Math" w:hAnsi="Cambria Math"/>
                        <w:color w:val="auto"/>
                      </w:rPr>
                      <m:t>b</m:t>
                    </m:r>
                    <m:ctrlPr>
                      <w:rPr>
                        <w:rFonts w:ascii="Cambria Math" w:hAnsi="Cambria Math"/>
                        <w:i/>
                        <w:color w:val="auto"/>
                      </w:rPr>
                    </m:ctrlPr>
                  </m:e>
                  <m:sub>
                    <m:r>
                      <m:rPr/>
                      <w:rPr>
                        <w:rFonts w:ascii="Cambria Math" w:hAnsi="Cambria Math"/>
                        <w:color w:val="auto"/>
                      </w:rPr>
                      <m:t>f</m:t>
                    </m:r>
                    <m:ctrlPr>
                      <w:rPr>
                        <w:rFonts w:ascii="Cambria Math" w:hAnsi="Cambria Math"/>
                        <w:i/>
                        <w:color w:val="auto"/>
                      </w:rPr>
                    </m:ctrlPr>
                  </m:sub>
                </m:sSub>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oMath>
            </m:oMathPara>
          </w:p>
        </w:tc>
        <w:tc>
          <w:tcPr>
            <w:tcW w:w="1667" w:type="pct"/>
            <w:vAlign w:val="center"/>
          </w:tcPr>
          <w:p w14:paraId="090E6683">
            <w:pPr>
              <w:spacing w:line="360" w:lineRule="auto"/>
              <w:jc w:val="right"/>
              <w:rPr>
                <w:rFonts w:ascii="Times New Roman" w:hAnsi="Times New Roman" w:eastAsia="宋体"/>
                <w:color w:val="auto"/>
                <w:szCs w:val="21"/>
              </w:rPr>
            </w:pPr>
            <w:r>
              <w:rPr>
                <w:rFonts w:ascii="Times New Roman" w:hAnsi="Times New Roman" w:eastAsia="宋体"/>
                <w:color w:val="auto"/>
                <w:szCs w:val="21"/>
              </w:rPr>
              <w:t>(5.3.</w:t>
            </w:r>
            <w:r>
              <w:rPr>
                <w:rFonts w:hint="eastAsia" w:ascii="Times New Roman" w:hAnsi="Times New Roman" w:eastAsia="宋体"/>
                <w:color w:val="auto"/>
                <w:szCs w:val="21"/>
              </w:rPr>
              <w:t>3</w:t>
            </w:r>
            <w:r>
              <w:rPr>
                <w:rFonts w:ascii="Times New Roman" w:hAnsi="Times New Roman" w:eastAsia="宋体"/>
                <w:color w:val="auto"/>
                <w:szCs w:val="21"/>
              </w:rPr>
              <w:t>-2)</w:t>
            </w:r>
          </w:p>
        </w:tc>
      </w:tr>
      <w:tr w14:paraId="43AD3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196A3BF7">
            <w:pPr>
              <w:wordWrap w:val="0"/>
              <w:spacing w:line="360" w:lineRule="auto"/>
              <w:jc w:val="right"/>
              <w:rPr>
                <w:rFonts w:ascii="Times New Roman" w:hAnsi="Times New Roman" w:eastAsia="宋体"/>
                <w:color w:val="auto"/>
                <w:szCs w:val="21"/>
              </w:rPr>
            </w:pPr>
            <w:r>
              <w:rPr>
                <w:rFonts w:hint="eastAsia" w:ascii="Times New Roman" w:hAnsi="Times New Roman" w:eastAsia="宋体"/>
                <w:color w:val="auto"/>
                <w:szCs w:val="21"/>
              </w:rPr>
              <w:t>式中：</w:t>
            </w:r>
            <w:r>
              <w:rPr>
                <w:rFonts w:ascii="Times New Roman" w:hAnsi="Times New Roman" w:eastAsia="宋体"/>
                <w:color w:val="auto"/>
                <w:szCs w:val="21"/>
              </w:rPr>
              <w:t xml:space="preserve">  </w:t>
            </w:r>
            <m:oMath>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fck</m:t>
                  </m:r>
                  <m:ctrlPr>
                    <w:rPr>
                      <w:rFonts w:ascii="Cambria Math" w:hAnsi="Cambria Math"/>
                      <w:color w:val="auto"/>
                    </w:rPr>
                  </m:ctrlPr>
                </m:sub>
              </m:sSub>
            </m:oMath>
          </w:p>
        </w:tc>
        <w:tc>
          <w:tcPr>
            <w:tcW w:w="4146" w:type="pct"/>
            <w:gridSpan w:val="3"/>
            <w:tcBorders>
              <w:top w:val="nil"/>
              <w:left w:val="nil"/>
              <w:bottom w:val="nil"/>
              <w:right w:val="nil"/>
            </w:tcBorders>
          </w:tcPr>
          <w:p w14:paraId="1B8B223D">
            <w:pPr>
              <w:spacing w:line="360" w:lineRule="auto"/>
              <w:rPr>
                <w:rFonts w:ascii="Times New Roman" w:hAnsi="Times New Roman" w:eastAsia="宋体"/>
                <w:color w:val="auto"/>
                <w:szCs w:val="21"/>
              </w:rPr>
            </w:pPr>
            <w:r>
              <w:rPr>
                <w:rFonts w:hint="eastAsia" w:ascii="Times New Roman" w:hAnsi="Times New Roman" w:eastAsia="宋体"/>
                <w:color w:val="auto"/>
                <w:szCs w:val="21"/>
              </w:rPr>
              <w:t>——超高性能混凝土轴心抗压强度标准值（N/mm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w:t>
            </w:r>
          </w:p>
        </w:tc>
      </w:tr>
      <w:tr w14:paraId="13213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6741C148">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b</m:t>
                    </m:r>
                    <m:ctrlPr>
                      <w:rPr>
                        <w:rFonts w:ascii="Cambria Math" w:hAnsi="Cambria Math"/>
                        <w:color w:val="auto"/>
                      </w:rPr>
                    </m:ctrlPr>
                  </m:e>
                  <m:sub>
                    <m:r>
                      <m:rPr/>
                      <w:rPr>
                        <w:rFonts w:ascii="Cambria Math" w:hAnsi="Cambria Math"/>
                        <w:color w:val="auto"/>
                      </w:rPr>
                      <m:t>f</m:t>
                    </m:r>
                    <m:ctrlPr>
                      <w:rPr>
                        <w:rFonts w:ascii="Cambria Math" w:hAnsi="Cambria Math"/>
                        <w:color w:val="auto"/>
                      </w:rPr>
                    </m:ctrlPr>
                  </m:sub>
                </m:sSub>
              </m:oMath>
            </m:oMathPara>
          </w:p>
        </w:tc>
        <w:tc>
          <w:tcPr>
            <w:tcW w:w="4146" w:type="pct"/>
            <w:gridSpan w:val="3"/>
            <w:tcBorders>
              <w:top w:val="nil"/>
              <w:left w:val="nil"/>
              <w:bottom w:val="nil"/>
              <w:right w:val="nil"/>
            </w:tcBorders>
          </w:tcPr>
          <w:p w14:paraId="60A0C7E3">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——倒“T”形截面腹板宽度（mm）；</w:t>
            </w:r>
          </w:p>
        </w:tc>
      </w:tr>
      <w:tr w14:paraId="1A65D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7D176607">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ℎ</m:t>
                    </m:r>
                    <m:ctrlPr>
                      <w:rPr>
                        <w:rFonts w:ascii="Cambria Math" w:hAnsi="Cambria Math"/>
                        <w:color w:val="auto"/>
                      </w:rPr>
                    </m:ctrlPr>
                  </m:e>
                  <m:sub>
                    <m:r>
                      <m:rPr/>
                      <w:rPr>
                        <w:rFonts w:ascii="Cambria Math" w:hAnsi="Cambria Math"/>
                        <w:color w:val="auto"/>
                      </w:rPr>
                      <m:t>0</m:t>
                    </m:r>
                    <m:ctrlPr>
                      <w:rPr>
                        <w:rFonts w:ascii="Cambria Math" w:hAnsi="Cambria Math"/>
                        <w:color w:val="auto"/>
                      </w:rPr>
                    </m:ctrlPr>
                  </m:sub>
                </m:sSub>
              </m:oMath>
            </m:oMathPara>
          </w:p>
        </w:tc>
        <w:tc>
          <w:tcPr>
            <w:tcW w:w="4146" w:type="pct"/>
            <w:gridSpan w:val="3"/>
            <w:tcBorders>
              <w:top w:val="nil"/>
              <w:left w:val="nil"/>
              <w:bottom w:val="nil"/>
              <w:right w:val="nil"/>
            </w:tcBorders>
          </w:tcPr>
          <w:p w14:paraId="05B20B3D">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——倒“T”形截面有效高度（mm），</w:t>
            </w:r>
            <m:oMath>
              <m:sSub>
                <m:sSubPr>
                  <m:ctrlPr>
                    <w:rPr>
                      <w:rFonts w:ascii="Cambria Math" w:hAnsi="Cambria Math"/>
                      <w:color w:val="auto"/>
                    </w:rPr>
                  </m:ctrlPr>
                </m:sSubPr>
                <m:e>
                  <m:r>
                    <m:rPr/>
                    <w:rPr>
                      <w:rFonts w:ascii="Cambria Math" w:hAnsi="Cambria Math"/>
                      <w:color w:val="auto"/>
                    </w:rPr>
                    <m:t>ℎ</m:t>
                  </m:r>
                  <m:ctrlPr>
                    <w:rPr>
                      <w:rFonts w:ascii="Cambria Math" w:hAnsi="Cambria Math"/>
                      <w:color w:val="auto"/>
                    </w:rPr>
                  </m:ctrlPr>
                </m:e>
                <m:sub>
                  <m:r>
                    <m:rPr/>
                    <w:rPr>
                      <w:rFonts w:ascii="Cambria Math" w:hAnsi="Cambria Math"/>
                      <w:color w:val="auto"/>
                    </w:rPr>
                    <m:t>0</m:t>
                  </m:r>
                  <m:ctrlPr>
                    <w:rPr>
                      <w:rFonts w:ascii="Cambria Math" w:hAnsi="Cambria Math"/>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2</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3</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s2</m:t>
                  </m:r>
                  <m:ctrlPr>
                    <w:rPr>
                      <w:rFonts w:ascii="Cambria Math" w:hAnsi="Cambria Math"/>
                      <w:i/>
                      <w:color w:val="auto"/>
                    </w:rPr>
                  </m:ctrlPr>
                </m:sub>
              </m:sSub>
            </m:oMath>
            <w:r>
              <w:rPr>
                <w:rFonts w:hint="eastAsia" w:ascii="Times New Roman" w:hAnsi="Times New Roman" w:eastAsia="宋体"/>
                <w:color w:val="auto"/>
                <w:szCs w:val="21"/>
              </w:rPr>
              <w:t>；</w:t>
            </w:r>
          </w:p>
        </w:tc>
      </w:tr>
    </w:tbl>
    <w:p w14:paraId="50FBF078">
      <w:pPr>
        <w:spacing w:line="360" w:lineRule="auto"/>
        <w:ind w:firstLine="422" w:firstLineChars="200"/>
        <w:rPr>
          <w:rFonts w:ascii="Times New Roman" w:hAnsi="Times New Roman" w:eastAsia="宋体"/>
          <w:color w:val="auto"/>
          <w:szCs w:val="21"/>
        </w:rPr>
      </w:pPr>
      <w:r>
        <w:rPr>
          <w:rFonts w:hint="eastAsia" w:ascii="Times New Roman" w:hAnsi="Times New Roman" w:eastAsia="宋体"/>
          <w:b/>
          <w:color w:val="auto"/>
          <w:szCs w:val="21"/>
        </w:rPr>
        <w:t>2</w:t>
      </w:r>
      <w:r>
        <w:rPr>
          <w:rFonts w:hint="eastAsia" w:ascii="Times New Roman" w:hAnsi="Times New Roman" w:eastAsia="宋体"/>
          <w:color w:val="auto"/>
          <w:szCs w:val="21"/>
        </w:rPr>
        <w:t xml:space="preserve"> 纤维受剪承载力设计值</w:t>
      </w:r>
      <m:oMath>
        <m:sSub>
          <m:sSubPr>
            <m:ctrlPr>
              <w:rPr>
                <w:rFonts w:ascii="Cambria Math" w:hAnsi="Cambria Math"/>
                <w:color w:val="auto"/>
              </w:rPr>
            </m:ctrlPr>
          </m:sSubPr>
          <m:e>
            <m:r>
              <m:rPr/>
              <w:rPr>
                <w:rFonts w:ascii="Cambria Math" w:hAnsi="Cambria Math"/>
                <w:color w:val="auto"/>
              </w:rPr>
              <m:t>V</m:t>
            </m:r>
            <m:ctrlPr>
              <w:rPr>
                <w:rFonts w:ascii="Cambria Math" w:hAnsi="Cambria Math"/>
                <w:color w:val="auto"/>
              </w:rPr>
            </m:ctrlPr>
          </m:e>
          <m:sub>
            <m:r>
              <m:rPr/>
              <w:rPr>
                <w:rFonts w:ascii="Cambria Math" w:hAnsi="Cambria Math"/>
                <w:color w:val="auto"/>
              </w:rPr>
              <m:t>f</m:t>
            </m:r>
            <m:ctrlPr>
              <w:rPr>
                <w:rFonts w:ascii="Cambria Math" w:hAnsi="Cambria Math"/>
                <w:color w:val="auto"/>
              </w:rPr>
            </m:ctrlPr>
          </m:sub>
        </m:sSub>
      </m:oMath>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55"/>
        <w:gridCol w:w="1386"/>
        <w:gridCol w:w="2840"/>
        <w:gridCol w:w="2841"/>
      </w:tblGrid>
      <w:tr w14:paraId="03667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7" w:type="pct"/>
            <w:gridSpan w:val="2"/>
            <w:vAlign w:val="center"/>
          </w:tcPr>
          <w:p w14:paraId="6C451F5B">
            <w:pPr>
              <w:spacing w:line="360" w:lineRule="auto"/>
              <w:rPr>
                <w:rFonts w:hint="eastAsia" w:ascii="等线" w:hAnsi="等线" w:eastAsia="等线" w:cs="Times New Roman"/>
                <w:color w:val="auto"/>
                <w:szCs w:val="21"/>
              </w:rPr>
            </w:pPr>
          </w:p>
        </w:tc>
        <w:tc>
          <w:tcPr>
            <w:tcW w:w="1666" w:type="pct"/>
            <w:vAlign w:val="center"/>
          </w:tcPr>
          <w:p w14:paraId="32D0D840">
            <w:pPr>
              <w:spacing w:line="360" w:lineRule="auto"/>
              <w:jc w:val="center"/>
              <w:rPr>
                <w:rFonts w:ascii="Times New Roman" w:hAnsi="Times New Roman" w:eastAsia="宋体"/>
                <w:color w:val="auto"/>
                <w:szCs w:val="21"/>
              </w:rPr>
            </w:pPr>
            <m:oMathPara>
              <m:oMath>
                <m:sSub>
                  <m:sSubPr>
                    <m:ctrlPr>
                      <w:rPr>
                        <w:rFonts w:ascii="Cambria Math" w:hAnsi="Cambria Math"/>
                        <w:i/>
                        <w:color w:val="auto"/>
                      </w:rPr>
                    </m:ctrlPr>
                  </m:sSubPr>
                  <m:e>
                    <m:r>
                      <m:rPr/>
                      <w:rPr>
                        <w:rFonts w:ascii="Cambria Math" w:hAnsi="Cambria Math"/>
                        <w:color w:val="auto"/>
                      </w:rPr>
                      <m:t>V</m:t>
                    </m:r>
                    <m:ctrlPr>
                      <w:rPr>
                        <w:rFonts w:ascii="Cambria Math" w:hAnsi="Cambria Math"/>
                        <w:i/>
                        <w:color w:val="auto"/>
                      </w:rPr>
                    </m:ctrlPr>
                  </m:e>
                  <m:sub>
                    <m:r>
                      <m:rPr/>
                      <w:rPr>
                        <w:rFonts w:ascii="Cambria Math" w:hAnsi="Cambria Math"/>
                        <w:color w:val="auto"/>
                      </w:rPr>
                      <m:t>f</m:t>
                    </m:r>
                    <m:ctrlPr>
                      <w:rPr>
                        <w:rFonts w:ascii="Cambria Math" w:hAnsi="Cambria Math"/>
                        <w:i/>
                        <w:color w:val="auto"/>
                      </w:rPr>
                    </m:ctrlPr>
                  </m:sub>
                </m:sSub>
                <m:r>
                  <m:rP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fv</m:t>
                        </m:r>
                        <m:ctrlPr>
                          <w:rPr>
                            <w:rFonts w:ascii="Cambria Math" w:hAnsi="Cambria Math"/>
                            <w:i/>
                            <w:color w:val="auto"/>
                          </w:rPr>
                        </m:ctrlPr>
                      </m:sub>
                    </m:sSub>
                    <m:sSub>
                      <m:sSubPr>
                        <m:ctrlPr>
                          <w:rPr>
                            <w:rFonts w:ascii="Cambria Math" w:hAnsi="Cambria Math"/>
                            <w:i/>
                            <w:color w:val="auto"/>
                          </w:rPr>
                        </m:ctrlPr>
                      </m:sSubPr>
                      <m:e>
                        <m:r>
                          <m:rPr/>
                          <w:rPr>
                            <w:rFonts w:ascii="Cambria Math" w:hAnsi="Cambria Math"/>
                            <w:color w:val="auto"/>
                          </w:rPr>
                          <m:t>σ</m:t>
                        </m:r>
                        <m:ctrlPr>
                          <w:rPr>
                            <w:rFonts w:ascii="Cambria Math" w:hAnsi="Cambria Math"/>
                            <w:i/>
                            <w:color w:val="auto"/>
                          </w:rPr>
                        </m:ctrlPr>
                      </m:e>
                      <m:sub>
                        <m:r>
                          <m:rPr/>
                          <w:rPr>
                            <w:rFonts w:ascii="Cambria Math" w:hAnsi="Cambria Math"/>
                            <w:color w:val="auto"/>
                          </w:rPr>
                          <m:t>f</m:t>
                        </m:r>
                        <m:ctrlPr>
                          <w:rPr>
                            <w:rFonts w:ascii="Cambria Math" w:hAnsi="Cambria Math"/>
                            <w:i/>
                            <w:color w:val="auto"/>
                          </w:rPr>
                        </m:ctrlPr>
                      </m:sub>
                    </m:sSub>
                    <m:ctrlPr>
                      <w:rPr>
                        <w:rFonts w:ascii="Cambria Math" w:hAnsi="Cambria Math"/>
                        <w:i/>
                        <w:color w:val="auto"/>
                      </w:rPr>
                    </m:ctrlPr>
                  </m:num>
                  <m:den>
                    <m:func>
                      <m:funcPr>
                        <m:ctrlPr>
                          <w:rPr>
                            <w:rFonts w:ascii="Cambria Math" w:hAnsi="Cambria Math"/>
                            <w:i/>
                            <w:color w:val="auto"/>
                          </w:rPr>
                        </m:ctrlPr>
                      </m:funcPr>
                      <m:fName>
                        <m:r>
                          <m:rPr>
                            <m:sty m:val="p"/>
                          </m:rPr>
                          <w:rPr>
                            <w:rFonts w:ascii="Cambria Math" w:hAnsi="Cambria Math"/>
                            <w:color w:val="auto"/>
                          </w:rPr>
                          <m:t>tan</m:t>
                        </m:r>
                        <m:ctrlPr>
                          <w:rPr>
                            <w:rFonts w:ascii="Cambria Math" w:hAnsi="Cambria Math"/>
                            <w:i/>
                            <w:color w:val="auto"/>
                          </w:rPr>
                        </m:ctrlPr>
                      </m:fName>
                      <m:e>
                        <m:r>
                          <m:rPr/>
                          <w:rPr>
                            <w:rFonts w:ascii="Cambria Math" w:hAnsi="Cambria Math"/>
                            <w:color w:val="auto"/>
                          </w:rPr>
                          <m:t>θ</m:t>
                        </m:r>
                        <m:ctrlPr>
                          <w:rPr>
                            <w:rFonts w:ascii="Cambria Math" w:hAnsi="Cambria Math"/>
                            <w:i/>
                            <w:color w:val="auto"/>
                          </w:rPr>
                        </m:ctrlPr>
                      </m:e>
                    </m:func>
                    <m:ctrlPr>
                      <w:rPr>
                        <w:rFonts w:ascii="Cambria Math" w:hAnsi="Cambria Math"/>
                        <w:i/>
                        <w:color w:val="auto"/>
                      </w:rPr>
                    </m:ctrlPr>
                  </m:den>
                </m:f>
              </m:oMath>
            </m:oMathPara>
          </w:p>
        </w:tc>
        <w:tc>
          <w:tcPr>
            <w:tcW w:w="1667" w:type="pct"/>
            <w:vAlign w:val="center"/>
          </w:tcPr>
          <w:p w14:paraId="1104E233">
            <w:pPr>
              <w:spacing w:line="360" w:lineRule="auto"/>
              <w:jc w:val="right"/>
              <w:rPr>
                <w:rFonts w:ascii="Times New Roman" w:hAnsi="Times New Roman" w:eastAsia="宋体"/>
                <w:color w:val="auto"/>
                <w:szCs w:val="21"/>
              </w:rPr>
            </w:pPr>
            <w:r>
              <w:rPr>
                <w:rFonts w:ascii="Times New Roman" w:hAnsi="Times New Roman" w:eastAsia="宋体"/>
                <w:color w:val="auto"/>
                <w:szCs w:val="21"/>
              </w:rPr>
              <w:t>(5.3.</w:t>
            </w:r>
            <w:r>
              <w:rPr>
                <w:rFonts w:hint="eastAsia" w:ascii="Times New Roman" w:hAnsi="Times New Roman" w:eastAsia="宋体"/>
                <w:color w:val="auto"/>
                <w:szCs w:val="21"/>
              </w:rPr>
              <w:t>3</w:t>
            </w:r>
            <w:r>
              <w:rPr>
                <w:rFonts w:ascii="Times New Roman" w:hAnsi="Times New Roman" w:eastAsia="宋体"/>
                <w:color w:val="auto"/>
                <w:szCs w:val="21"/>
              </w:rPr>
              <w:t>-3)</w:t>
            </w:r>
          </w:p>
        </w:tc>
      </w:tr>
      <w:tr w14:paraId="73B17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0CA07CFF">
            <w:pPr>
              <w:wordWrap w:val="0"/>
              <w:spacing w:line="360" w:lineRule="auto"/>
              <w:jc w:val="right"/>
              <w:rPr>
                <w:rFonts w:ascii="Times New Roman" w:hAnsi="Times New Roman" w:eastAsia="宋体"/>
                <w:color w:val="auto"/>
                <w:szCs w:val="21"/>
              </w:rPr>
            </w:pPr>
            <w:r>
              <w:rPr>
                <w:rFonts w:hint="eastAsia" w:ascii="Times New Roman" w:hAnsi="Times New Roman" w:eastAsia="宋体"/>
                <w:color w:val="auto"/>
                <w:szCs w:val="21"/>
              </w:rPr>
              <w:t>式中：</w:t>
            </w:r>
            <w:r>
              <w:rPr>
                <w:rFonts w:ascii="Times New Roman" w:hAnsi="Times New Roman" w:eastAsia="宋体"/>
                <w:color w:val="auto"/>
                <w:szCs w:val="21"/>
              </w:rPr>
              <w:t xml:space="preserve">  </w:t>
            </w:r>
            <m:oMath>
              <m:sSub>
                <m:sSubPr>
                  <m:ctrlPr>
                    <w:rPr>
                      <w:rFonts w:ascii="Cambria Math" w:hAnsi="Cambria Math"/>
                      <w:color w:val="auto"/>
                    </w:rPr>
                  </m:ctrlPr>
                </m:sSubPr>
                <m:e>
                  <m:r>
                    <m:rPr/>
                    <w:rPr>
                      <w:rFonts w:ascii="Cambria Math" w:hAnsi="Cambria Math"/>
                      <w:color w:val="auto"/>
                    </w:rPr>
                    <m:t>σ</m:t>
                  </m:r>
                  <m:ctrlPr>
                    <w:rPr>
                      <w:rFonts w:ascii="Cambria Math" w:hAnsi="Cambria Math"/>
                      <w:color w:val="auto"/>
                    </w:rPr>
                  </m:ctrlPr>
                </m:e>
                <m:sub>
                  <m:r>
                    <m:rPr/>
                    <w:rPr>
                      <w:rFonts w:ascii="Cambria Math" w:hAnsi="Cambria Math"/>
                      <w:color w:val="auto"/>
                    </w:rPr>
                    <m:t>f</m:t>
                  </m:r>
                  <m:ctrlPr>
                    <w:rPr>
                      <w:rFonts w:ascii="Cambria Math" w:hAnsi="Cambria Math"/>
                      <w:color w:val="auto"/>
                    </w:rPr>
                  </m:ctrlPr>
                </m:sub>
              </m:sSub>
            </m:oMath>
          </w:p>
        </w:tc>
        <w:tc>
          <w:tcPr>
            <w:tcW w:w="4146" w:type="pct"/>
            <w:gridSpan w:val="3"/>
            <w:tcBorders>
              <w:top w:val="nil"/>
              <w:left w:val="nil"/>
              <w:bottom w:val="nil"/>
              <w:right w:val="nil"/>
            </w:tcBorders>
          </w:tcPr>
          <w:p w14:paraId="03E7EE66">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——纤维增强截面的残余抗拉强度（N/mm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），符合表4.1.4规定的低应变硬化型和高应变硬化型超高性能混凝土可取</w:t>
            </w:r>
            <m:oMath>
              <m:r>
                <m:rPr>
                  <m:sty m:val="p"/>
                </m:rPr>
                <w:rPr>
                  <w:rFonts w:ascii="Cambria Math" w:hAnsi="Cambria Math"/>
                  <w:color w:val="auto"/>
                </w:rPr>
                <m:t>0.55</m:t>
              </m:r>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ftk</m:t>
                  </m:r>
                  <m:ctrlPr>
                    <w:rPr>
                      <w:rFonts w:ascii="Cambria Math" w:hAnsi="Cambria Math"/>
                      <w:color w:val="auto"/>
                    </w:rPr>
                  </m:ctrlPr>
                </m:sub>
              </m:sSub>
            </m:oMath>
            <w:r>
              <w:rPr>
                <w:rFonts w:hint="eastAsia" w:ascii="Times New Roman" w:hAnsi="Times New Roman" w:eastAsia="宋体"/>
                <w:color w:val="auto"/>
                <w:szCs w:val="21"/>
              </w:rPr>
              <w:t>；</w:t>
            </w:r>
          </w:p>
        </w:tc>
      </w:tr>
      <w:tr w14:paraId="04290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79F697E7">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A</m:t>
                    </m:r>
                    <m:ctrlPr>
                      <w:rPr>
                        <w:rFonts w:ascii="Cambria Math" w:hAnsi="Cambria Math"/>
                        <w:color w:val="auto"/>
                      </w:rPr>
                    </m:ctrlPr>
                  </m:e>
                  <m:sub>
                    <m:r>
                      <m:rPr/>
                      <w:rPr>
                        <w:rFonts w:ascii="Cambria Math" w:hAnsi="Cambria Math"/>
                        <w:color w:val="auto"/>
                      </w:rPr>
                      <m:t>fv</m:t>
                    </m:r>
                    <m:ctrlPr>
                      <w:rPr>
                        <w:rFonts w:ascii="Cambria Math" w:hAnsi="Cambria Math"/>
                        <w:color w:val="auto"/>
                      </w:rPr>
                    </m:ctrlPr>
                  </m:sub>
                </m:sSub>
              </m:oMath>
            </m:oMathPara>
          </w:p>
        </w:tc>
        <w:tc>
          <w:tcPr>
            <w:tcW w:w="4146" w:type="pct"/>
            <w:gridSpan w:val="3"/>
            <w:tcBorders>
              <w:top w:val="nil"/>
              <w:left w:val="nil"/>
              <w:bottom w:val="nil"/>
              <w:right w:val="nil"/>
            </w:tcBorders>
          </w:tcPr>
          <w:p w14:paraId="042E6D6F">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——纤维作用面积（mm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w:t>
            </w:r>
            <m:oMath>
              <m:sSub>
                <m:sSubPr>
                  <m:ctrlPr>
                    <w:rPr>
                      <w:rFonts w:ascii="Cambria Math" w:hAnsi="Cambria Math"/>
                      <w:color w:val="auto"/>
                    </w:rPr>
                  </m:ctrlPr>
                </m:sSubPr>
                <m:e>
                  <m:r>
                    <m:rPr/>
                    <w:rPr>
                      <w:rFonts w:ascii="Cambria Math" w:hAnsi="Cambria Math"/>
                      <w:color w:val="auto"/>
                    </w:rPr>
                    <m:t>A</m:t>
                  </m:r>
                  <m:ctrlPr>
                    <w:rPr>
                      <w:rFonts w:ascii="Cambria Math" w:hAnsi="Cambria Math"/>
                      <w:color w:val="auto"/>
                    </w:rPr>
                  </m:ctrlPr>
                </m:e>
                <m:sub>
                  <m:r>
                    <m:rPr/>
                    <w:rPr>
                      <w:rFonts w:ascii="Cambria Math" w:hAnsi="Cambria Math"/>
                      <w:color w:val="auto"/>
                    </w:rPr>
                    <m:t>fv</m:t>
                  </m:r>
                  <m:ctrlPr>
                    <w:rPr>
                      <w:rFonts w:ascii="Cambria Math" w:hAnsi="Cambria Math"/>
                      <w:color w:val="auto"/>
                    </w:rPr>
                  </m:ctrlPr>
                </m:sub>
              </m:sSub>
              <m:r>
                <m:rPr/>
                <w:rPr>
                  <w:rFonts w:ascii="Cambria Math" w:hAnsi="Cambria Math"/>
                  <w:color w:val="auto"/>
                </w:rPr>
                <m:t>=0.9</m:t>
              </m:r>
              <m:sSub>
                <m:sSubPr>
                  <m:ctrlPr>
                    <w:rPr>
                      <w:rFonts w:ascii="Cambria Math" w:hAnsi="Cambria Math"/>
                      <w:i/>
                      <w:color w:val="auto"/>
                    </w:rPr>
                  </m:ctrlPr>
                </m:sSubPr>
                <m:e>
                  <m:r>
                    <m:rPr/>
                    <w:rPr>
                      <w:rFonts w:ascii="Cambria Math" w:hAnsi="Cambria Math"/>
                      <w:color w:val="auto"/>
                    </w:rPr>
                    <m:t>b</m:t>
                  </m:r>
                  <m:ctrlPr>
                    <w:rPr>
                      <w:rFonts w:ascii="Cambria Math" w:hAnsi="Cambria Math"/>
                      <w:i/>
                      <w:color w:val="auto"/>
                    </w:rPr>
                  </m:ctrlPr>
                </m:e>
                <m:sub>
                  <m:r>
                    <m:rPr/>
                    <w:rPr>
                      <w:rFonts w:ascii="Cambria Math" w:hAnsi="Cambria Math"/>
                      <w:color w:val="auto"/>
                    </w:rPr>
                    <m:t>f</m:t>
                  </m:r>
                  <m:ctrlPr>
                    <w:rPr>
                      <w:rFonts w:ascii="Cambria Math" w:hAnsi="Cambria Math"/>
                      <w:i/>
                      <w:color w:val="auto"/>
                    </w:rPr>
                  </m:ctrlPr>
                </m:sub>
              </m:sSub>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oMath>
            <w:r>
              <w:rPr>
                <w:rFonts w:hint="eastAsia" w:ascii="Times New Roman" w:hAnsi="Times New Roman" w:eastAsia="宋体"/>
                <w:color w:val="auto"/>
                <w:szCs w:val="21"/>
              </w:rPr>
              <w:t>；</w:t>
            </w:r>
          </w:p>
        </w:tc>
      </w:tr>
      <w:tr w14:paraId="51A9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33F8E224">
            <w:pPr>
              <w:spacing w:line="360" w:lineRule="auto"/>
              <w:jc w:val="right"/>
              <w:rPr>
                <w:rFonts w:ascii="Times New Roman" w:hAnsi="Times New Roman" w:eastAsia="宋体"/>
                <w:color w:val="auto"/>
                <w:szCs w:val="21"/>
              </w:rPr>
            </w:pPr>
            <m:oMathPara>
              <m:oMathParaPr>
                <m:jc m:val="right"/>
              </m:oMathParaPr>
              <m:oMath>
                <m:r>
                  <m:rPr>
                    <m:sty m:val="p"/>
                  </m:rPr>
                  <w:rPr>
                    <w:rFonts w:ascii="Cambria Math" w:hAnsi="Cambria Math"/>
                    <w:color w:val="auto"/>
                  </w:rPr>
                  <m:t>θ</m:t>
                </m:r>
              </m:oMath>
            </m:oMathPara>
          </w:p>
        </w:tc>
        <w:tc>
          <w:tcPr>
            <w:tcW w:w="4146" w:type="pct"/>
            <w:gridSpan w:val="3"/>
            <w:tcBorders>
              <w:top w:val="nil"/>
              <w:left w:val="nil"/>
              <w:bottom w:val="nil"/>
              <w:right w:val="nil"/>
            </w:tcBorders>
          </w:tcPr>
          <w:p w14:paraId="6E085B76">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——主压应力与梁轴线间夹角，宜取</w:t>
            </w:r>
            <m:oMath>
              <m:r>
                <m:rPr>
                  <m:sty m:val="p"/>
                </m:rPr>
                <w:rPr>
                  <w:rFonts w:ascii="Cambria Math" w:hAnsi="Cambria Math"/>
                  <w:color w:val="auto"/>
                </w:rPr>
                <m:t>30°≤θ≤45°</m:t>
              </m:r>
            </m:oMath>
            <w:r>
              <w:rPr>
                <w:rFonts w:hint="eastAsia" w:ascii="Times New Roman" w:hAnsi="Times New Roman" w:eastAsia="宋体"/>
                <w:color w:val="auto"/>
                <w:szCs w:val="21"/>
              </w:rPr>
              <w:t>；</w:t>
            </w:r>
          </w:p>
        </w:tc>
      </w:tr>
    </w:tbl>
    <w:p w14:paraId="77B6ECAA">
      <w:pPr>
        <w:spacing w:line="360" w:lineRule="auto"/>
        <w:ind w:firstLine="422" w:firstLineChars="200"/>
        <w:rPr>
          <w:rFonts w:ascii="Times New Roman" w:hAnsi="Times New Roman" w:eastAsia="宋体"/>
          <w:color w:val="auto"/>
          <w:szCs w:val="21"/>
        </w:rPr>
      </w:pPr>
      <w:r>
        <w:rPr>
          <w:rFonts w:hint="eastAsia" w:ascii="Times New Roman" w:hAnsi="Times New Roman" w:eastAsia="宋体"/>
          <w:b/>
          <w:color w:val="auto"/>
          <w:szCs w:val="21"/>
        </w:rPr>
        <w:t>3</w:t>
      </w:r>
      <w:r>
        <w:rPr>
          <w:rFonts w:hint="eastAsia" w:ascii="Times New Roman" w:hAnsi="Times New Roman" w:eastAsia="宋体"/>
          <w:color w:val="auto"/>
          <w:szCs w:val="21"/>
        </w:rPr>
        <w:t xml:space="preserve"> 抗剪箍筋受剪承载力设计值</w:t>
      </w:r>
      <m:oMath>
        <m:sSub>
          <m:sSubPr>
            <m:ctrlPr>
              <w:rPr>
                <w:rFonts w:ascii="Cambria Math" w:hAnsi="Cambria Math"/>
                <w:color w:val="auto"/>
              </w:rPr>
            </m:ctrlPr>
          </m:sSubPr>
          <m:e>
            <m:r>
              <m:rPr/>
              <w:rPr>
                <w:rFonts w:ascii="Cambria Math" w:hAnsi="Cambria Math"/>
                <w:color w:val="auto"/>
              </w:rPr>
              <m:t>V</m:t>
            </m:r>
            <m:ctrlPr>
              <w:rPr>
                <w:rFonts w:ascii="Cambria Math" w:hAnsi="Cambria Math"/>
                <w:color w:val="auto"/>
              </w:rPr>
            </m:ctrlPr>
          </m:e>
          <m:sub>
            <m:r>
              <m:rPr/>
              <w:rPr>
                <w:rFonts w:ascii="Cambria Math" w:hAnsi="Cambria Math"/>
                <w:color w:val="auto"/>
              </w:rPr>
              <m:t>s</m:t>
            </m:r>
            <m:ctrlPr>
              <w:rPr>
                <w:rFonts w:ascii="Cambria Math" w:hAnsi="Cambria Math"/>
                <w:color w:val="auto"/>
              </w:rPr>
            </m:ctrlPr>
          </m:sub>
        </m:sSub>
      </m:oMath>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55"/>
        <w:gridCol w:w="1386"/>
        <w:gridCol w:w="2840"/>
        <w:gridCol w:w="2841"/>
      </w:tblGrid>
      <w:tr w14:paraId="5E480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7" w:type="pct"/>
            <w:gridSpan w:val="2"/>
            <w:vAlign w:val="center"/>
          </w:tcPr>
          <w:p w14:paraId="3FA23716">
            <w:pPr>
              <w:spacing w:line="360" w:lineRule="auto"/>
              <w:rPr>
                <w:rFonts w:hint="eastAsia" w:ascii="等线" w:hAnsi="等线" w:eastAsia="等线" w:cs="Times New Roman"/>
                <w:color w:val="auto"/>
                <w:szCs w:val="21"/>
              </w:rPr>
            </w:pPr>
          </w:p>
        </w:tc>
        <w:tc>
          <w:tcPr>
            <w:tcW w:w="1666" w:type="pct"/>
            <w:vAlign w:val="center"/>
          </w:tcPr>
          <w:p w14:paraId="4D280E40">
            <w:pPr>
              <w:spacing w:line="360" w:lineRule="auto"/>
              <w:jc w:val="center"/>
              <w:rPr>
                <w:rFonts w:ascii="Times New Roman" w:hAnsi="Times New Roman" w:eastAsia="宋体"/>
                <w:color w:val="auto"/>
                <w:szCs w:val="21"/>
              </w:rPr>
            </w:pPr>
            <m:oMathPara>
              <m:oMath>
                <m:sSub>
                  <m:sSubPr>
                    <m:ctrlPr>
                      <w:rPr>
                        <w:rFonts w:ascii="Cambria Math" w:hAnsi="Cambria Math"/>
                        <w:i/>
                        <w:color w:val="auto"/>
                      </w:rPr>
                    </m:ctrlPr>
                  </m:sSubPr>
                  <m:e>
                    <m:r>
                      <m:rPr/>
                      <w:rPr>
                        <w:rFonts w:ascii="Cambria Math" w:hAnsi="Cambria Math"/>
                        <w:color w:val="auto"/>
                      </w:rPr>
                      <m:t>V</m:t>
                    </m:r>
                    <m:ctrlPr>
                      <w:rPr>
                        <w:rFonts w:ascii="Cambria Math" w:hAnsi="Cambria Math"/>
                        <w:i/>
                        <w:color w:val="auto"/>
                      </w:rPr>
                    </m:ctrlPr>
                  </m:e>
                  <m:sub>
                    <m:r>
                      <m:rPr/>
                      <w:rPr>
                        <w:rFonts w:ascii="Cambria Math" w:hAnsi="Cambria Math"/>
                        <w:color w:val="auto"/>
                      </w:rPr>
                      <m:t>s</m:t>
                    </m:r>
                    <m:ctrlPr>
                      <w:rPr>
                        <w:rFonts w:ascii="Cambria Math" w:hAnsi="Cambria Math"/>
                        <w:i/>
                        <w:color w:val="auto"/>
                      </w:rPr>
                    </m:ctrlPr>
                  </m:sub>
                </m:sSub>
                <m:r>
                  <m:rPr/>
                  <w:rPr>
                    <w:rFonts w:ascii="Cambria Math" w:hAnsi="Cambria Math"/>
                    <w:color w:val="auto"/>
                  </w:rPr>
                  <m:t>=0.9</m:t>
                </m:r>
                <m:f>
                  <m:fPr>
                    <m:ctrlPr>
                      <w:rPr>
                        <w:rFonts w:ascii="Cambria Math" w:hAnsi="Cambria Math"/>
                        <w:i/>
                        <w:color w:val="auto"/>
                      </w:rPr>
                    </m:ctrlPr>
                  </m:fPr>
                  <m:num>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sv</m:t>
                        </m:r>
                        <m:ctrlPr>
                          <w:rPr>
                            <w:rFonts w:ascii="Cambria Math" w:hAnsi="Cambria Math"/>
                            <w:i/>
                            <w:color w:val="auto"/>
                          </w:rPr>
                        </m:ctrlPr>
                      </m:sub>
                    </m:sSub>
                    <m:ctrlPr>
                      <w:rPr>
                        <w:rFonts w:ascii="Cambria Math" w:hAnsi="Cambria Math"/>
                        <w:i/>
                        <w:color w:val="auto"/>
                      </w:rPr>
                    </m:ctrlPr>
                  </m:num>
                  <m:den>
                    <m:sSub>
                      <m:sSubPr>
                        <m:ctrlPr>
                          <w:rPr>
                            <w:rFonts w:ascii="Cambria Math" w:hAnsi="Cambria Math"/>
                            <w:i/>
                            <w:color w:val="auto"/>
                          </w:rPr>
                        </m:ctrlPr>
                      </m:sSubPr>
                      <m:e>
                        <m:r>
                          <m:rPr/>
                          <w:rPr>
                            <w:rFonts w:ascii="Cambria Math" w:hAnsi="Cambria Math"/>
                            <w:color w:val="auto"/>
                          </w:rPr>
                          <m:t>S</m:t>
                        </m:r>
                        <m:ctrlPr>
                          <w:rPr>
                            <w:rFonts w:ascii="Cambria Math" w:hAnsi="Cambria Math"/>
                            <w:i/>
                            <w:color w:val="auto"/>
                          </w:rPr>
                        </m:ctrlPr>
                      </m:e>
                      <m:sub>
                        <m:r>
                          <m:rPr/>
                          <w:rPr>
                            <w:rFonts w:ascii="Cambria Math" w:hAnsi="Cambria Math"/>
                            <w:color w:val="auto"/>
                          </w:rPr>
                          <m:t>v</m:t>
                        </m:r>
                        <m:ctrlPr>
                          <w:rPr>
                            <w:rFonts w:ascii="Cambria Math" w:hAnsi="Cambria Math"/>
                            <w:i/>
                            <w:color w:val="auto"/>
                          </w:rPr>
                        </m:ctrlPr>
                      </m:sub>
                    </m:sSub>
                    <m:ctrlPr>
                      <w:rPr>
                        <w:rFonts w:ascii="Cambria Math" w:hAnsi="Cambria Math"/>
                        <w:i/>
                        <w:color w:val="auto"/>
                      </w:rPr>
                    </m:ctrlPr>
                  </m:den>
                </m:f>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sv</m:t>
                    </m:r>
                    <m:ctrlPr>
                      <w:rPr>
                        <w:rFonts w:ascii="Cambria Math" w:hAnsi="Cambria Math"/>
                        <w:i/>
                        <w:color w:val="auto"/>
                      </w:rPr>
                    </m:ctrlPr>
                  </m:sub>
                </m:sSub>
                <m:func>
                  <m:funcPr>
                    <m:ctrlPr>
                      <w:rPr>
                        <w:rFonts w:ascii="Cambria Math" w:hAnsi="Cambria Math"/>
                        <w:i/>
                        <w:color w:val="auto"/>
                      </w:rPr>
                    </m:ctrlPr>
                  </m:funcPr>
                  <m:fName>
                    <m:r>
                      <m:rPr>
                        <m:sty m:val="p"/>
                      </m:rPr>
                      <w:rPr>
                        <w:rFonts w:ascii="Cambria Math" w:hAnsi="Cambria Math"/>
                        <w:color w:val="auto"/>
                      </w:rPr>
                      <m:t>cot</m:t>
                    </m:r>
                    <m:ctrlPr>
                      <w:rPr>
                        <w:rFonts w:ascii="Cambria Math" w:hAnsi="Cambria Math"/>
                        <w:i/>
                        <w:color w:val="auto"/>
                      </w:rPr>
                    </m:ctrlPr>
                  </m:fName>
                  <m:e>
                    <m:r>
                      <m:rPr/>
                      <w:rPr>
                        <w:rFonts w:ascii="Cambria Math" w:hAnsi="Cambria Math"/>
                        <w:color w:val="auto"/>
                      </w:rPr>
                      <m:t>θ</m:t>
                    </m:r>
                    <m:ctrlPr>
                      <w:rPr>
                        <w:rFonts w:ascii="Cambria Math" w:hAnsi="Cambria Math"/>
                        <w:i/>
                        <w:color w:val="auto"/>
                      </w:rPr>
                    </m:ctrlPr>
                  </m:e>
                </m:func>
              </m:oMath>
            </m:oMathPara>
          </w:p>
        </w:tc>
        <w:tc>
          <w:tcPr>
            <w:tcW w:w="1667" w:type="pct"/>
            <w:vAlign w:val="center"/>
          </w:tcPr>
          <w:p w14:paraId="14B77D20">
            <w:pPr>
              <w:spacing w:line="360" w:lineRule="auto"/>
              <w:jc w:val="right"/>
              <w:rPr>
                <w:rFonts w:ascii="Times New Roman" w:hAnsi="Times New Roman" w:eastAsia="宋体"/>
                <w:color w:val="auto"/>
                <w:szCs w:val="21"/>
              </w:rPr>
            </w:pPr>
            <w:r>
              <w:rPr>
                <w:rFonts w:ascii="Times New Roman" w:hAnsi="Times New Roman" w:eastAsia="宋体"/>
                <w:color w:val="auto"/>
                <w:szCs w:val="21"/>
              </w:rPr>
              <w:t>(5.3.</w:t>
            </w:r>
            <w:r>
              <w:rPr>
                <w:rFonts w:hint="eastAsia" w:ascii="Times New Roman" w:hAnsi="Times New Roman" w:eastAsia="宋体"/>
                <w:color w:val="auto"/>
                <w:szCs w:val="21"/>
              </w:rPr>
              <w:t>3</w:t>
            </w:r>
            <w:r>
              <w:rPr>
                <w:rFonts w:ascii="Times New Roman" w:hAnsi="Times New Roman" w:eastAsia="宋体"/>
                <w:color w:val="auto"/>
                <w:szCs w:val="21"/>
              </w:rPr>
              <w:t>-4)</w:t>
            </w:r>
          </w:p>
        </w:tc>
      </w:tr>
      <w:tr w14:paraId="0653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0B3D957A">
            <w:pPr>
              <w:wordWrap w:val="0"/>
              <w:spacing w:line="360" w:lineRule="auto"/>
              <w:jc w:val="right"/>
              <w:rPr>
                <w:rFonts w:ascii="Times New Roman" w:hAnsi="Times New Roman" w:eastAsia="宋体"/>
                <w:color w:val="auto"/>
                <w:szCs w:val="21"/>
              </w:rPr>
            </w:pPr>
            <w:r>
              <w:rPr>
                <w:rFonts w:hint="eastAsia" w:ascii="Times New Roman" w:hAnsi="Times New Roman" w:eastAsia="宋体"/>
                <w:color w:val="auto"/>
                <w:szCs w:val="21"/>
              </w:rPr>
              <w:t>式中：</w:t>
            </w:r>
            <w:r>
              <w:rPr>
                <w:rFonts w:ascii="Times New Roman" w:hAnsi="Times New Roman" w:eastAsia="宋体"/>
                <w:color w:val="auto"/>
                <w:szCs w:val="21"/>
              </w:rPr>
              <w:t xml:space="preserve">  </w:t>
            </w:r>
            <m:oMath>
              <m:sSub>
                <m:sSubPr>
                  <m:ctrlPr>
                    <w:rPr>
                      <w:rFonts w:ascii="Cambria Math" w:hAnsi="Cambria Math"/>
                      <w:color w:val="auto"/>
                    </w:rPr>
                  </m:ctrlPr>
                </m:sSubPr>
                <m:e>
                  <m:r>
                    <m:rPr/>
                    <w:rPr>
                      <w:rFonts w:ascii="Cambria Math" w:hAnsi="Cambria Math"/>
                      <w:color w:val="auto"/>
                    </w:rPr>
                    <m:t>A</m:t>
                  </m:r>
                  <m:ctrlPr>
                    <w:rPr>
                      <w:rFonts w:ascii="Cambria Math" w:hAnsi="Cambria Math"/>
                      <w:color w:val="auto"/>
                    </w:rPr>
                  </m:ctrlPr>
                </m:e>
                <m:sub>
                  <m:r>
                    <m:rPr/>
                    <w:rPr>
                      <w:rFonts w:ascii="Cambria Math" w:hAnsi="Cambria Math"/>
                      <w:color w:val="auto"/>
                    </w:rPr>
                    <m:t>sv</m:t>
                  </m:r>
                  <m:ctrlPr>
                    <w:rPr>
                      <w:rFonts w:ascii="Cambria Math" w:hAnsi="Cambria Math"/>
                      <w:color w:val="auto"/>
                    </w:rPr>
                  </m:ctrlPr>
                </m:sub>
              </m:sSub>
            </m:oMath>
          </w:p>
        </w:tc>
        <w:tc>
          <w:tcPr>
            <w:tcW w:w="4146" w:type="pct"/>
            <w:gridSpan w:val="3"/>
            <w:tcBorders>
              <w:top w:val="nil"/>
              <w:left w:val="nil"/>
              <w:bottom w:val="nil"/>
              <w:right w:val="nil"/>
            </w:tcBorders>
          </w:tcPr>
          <w:p w14:paraId="549C2C15">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——抗剪箍筋截面面积（mm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w:t>
            </w:r>
          </w:p>
        </w:tc>
      </w:tr>
      <w:tr w14:paraId="6B098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4" w:type="pct"/>
            <w:tcBorders>
              <w:top w:val="nil"/>
              <w:left w:val="nil"/>
              <w:bottom w:val="nil"/>
              <w:right w:val="nil"/>
            </w:tcBorders>
          </w:tcPr>
          <w:p w14:paraId="5DFA26BD">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S</m:t>
                    </m:r>
                    <m:ctrlPr>
                      <w:rPr>
                        <w:rFonts w:ascii="Cambria Math" w:hAnsi="Cambria Math"/>
                        <w:color w:val="auto"/>
                      </w:rPr>
                    </m:ctrlPr>
                  </m:e>
                  <m:sub>
                    <m:r>
                      <m:rPr/>
                      <w:rPr>
                        <w:rFonts w:ascii="Cambria Math" w:hAnsi="Cambria Math"/>
                        <w:color w:val="auto"/>
                      </w:rPr>
                      <m:t>v</m:t>
                    </m:r>
                    <m:ctrlPr>
                      <w:rPr>
                        <w:rFonts w:ascii="Cambria Math" w:hAnsi="Cambria Math"/>
                        <w:color w:val="auto"/>
                      </w:rPr>
                    </m:ctrlPr>
                  </m:sub>
                </m:sSub>
              </m:oMath>
            </m:oMathPara>
          </w:p>
        </w:tc>
        <w:tc>
          <w:tcPr>
            <w:tcW w:w="4146" w:type="pct"/>
            <w:gridSpan w:val="3"/>
            <w:tcBorders>
              <w:top w:val="nil"/>
              <w:left w:val="nil"/>
              <w:bottom w:val="nil"/>
              <w:right w:val="nil"/>
            </w:tcBorders>
          </w:tcPr>
          <w:p w14:paraId="60AD14F2">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——抗剪箍筋间距（mm）；</w:t>
            </w:r>
          </w:p>
        </w:tc>
      </w:tr>
      <w:tr w14:paraId="5A25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672DBEC7">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sv</m:t>
                    </m:r>
                    <m:ctrlPr>
                      <w:rPr>
                        <w:rFonts w:ascii="Cambria Math" w:hAnsi="Cambria Math"/>
                        <w:color w:val="auto"/>
                      </w:rPr>
                    </m:ctrlPr>
                  </m:sub>
                </m:sSub>
              </m:oMath>
            </m:oMathPara>
          </w:p>
        </w:tc>
        <w:tc>
          <w:tcPr>
            <w:tcW w:w="4146" w:type="pct"/>
            <w:gridSpan w:val="3"/>
            <w:tcBorders>
              <w:top w:val="nil"/>
              <w:left w:val="nil"/>
              <w:bottom w:val="nil"/>
              <w:right w:val="nil"/>
            </w:tcBorders>
          </w:tcPr>
          <w:p w14:paraId="60FCB7D3">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——抗剪箍筋抗拉强度设计值（N/mm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w:t>
            </w:r>
          </w:p>
        </w:tc>
      </w:tr>
      <w:tr w14:paraId="774D5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5A04F342">
            <w:pPr>
              <w:spacing w:line="360" w:lineRule="auto"/>
              <w:jc w:val="right"/>
              <w:rPr>
                <w:rFonts w:ascii="Times New Roman" w:hAnsi="Times New Roman" w:eastAsia="宋体" w:cs="Times New Roman"/>
                <w:i/>
                <w:color w:val="auto"/>
                <w:szCs w:val="21"/>
              </w:rPr>
            </w:pPr>
            <m:oMathPara>
              <m:oMathParaPr>
                <m:jc m:val="right"/>
              </m:oMathParaPr>
              <m:oMath>
                <m:r>
                  <m:rPr/>
                  <w:rPr>
                    <w:rFonts w:ascii="Cambria Math" w:hAnsi="Cambria Math" w:cs="Times New Roman"/>
                    <w:color w:val="auto"/>
                  </w:rPr>
                  <m:t>θ</m:t>
                </m:r>
              </m:oMath>
            </m:oMathPara>
          </w:p>
        </w:tc>
        <w:tc>
          <w:tcPr>
            <w:tcW w:w="4146" w:type="pct"/>
            <w:gridSpan w:val="3"/>
            <w:tcBorders>
              <w:top w:val="nil"/>
              <w:left w:val="nil"/>
              <w:bottom w:val="nil"/>
              <w:right w:val="nil"/>
            </w:tcBorders>
          </w:tcPr>
          <w:p w14:paraId="0AF515AE">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——主压应力与梁轴线间夹角，宜取</w:t>
            </w:r>
            <m:oMath>
              <m:r>
                <m:rPr>
                  <m:sty m:val="p"/>
                </m:rPr>
                <w:rPr>
                  <w:rFonts w:ascii="Cambria Math" w:hAnsi="Cambria Math"/>
                  <w:color w:val="auto"/>
                </w:rPr>
                <m:t>30°≤θ≤45°</m:t>
              </m:r>
            </m:oMath>
            <w:r>
              <w:rPr>
                <w:rFonts w:hint="eastAsia" w:hAnsi="Cambria Math"/>
                <w:color w:val="auto"/>
              </w:rPr>
              <w:t>；</w:t>
            </w:r>
          </w:p>
        </w:tc>
      </w:tr>
    </w:tbl>
    <w:p w14:paraId="6D95B35E">
      <w:pPr>
        <w:spacing w:line="360" w:lineRule="auto"/>
        <w:ind w:firstLine="422" w:firstLineChars="200"/>
        <w:rPr>
          <w:rFonts w:ascii="Times New Roman" w:hAnsi="Times New Roman" w:eastAsia="宋体"/>
          <w:color w:val="auto"/>
          <w:szCs w:val="21"/>
        </w:rPr>
      </w:pPr>
      <w:r>
        <w:rPr>
          <w:rFonts w:hint="eastAsia" w:ascii="Times New Roman" w:hAnsi="Times New Roman" w:eastAsia="宋体"/>
          <w:b/>
          <w:color w:val="auto"/>
          <w:szCs w:val="21"/>
        </w:rPr>
        <w:t>4</w:t>
      </w:r>
      <w:r>
        <w:rPr>
          <w:rFonts w:hint="eastAsia" w:ascii="Times New Roman" w:hAnsi="Times New Roman" w:eastAsia="宋体"/>
          <w:color w:val="auto"/>
          <w:szCs w:val="21"/>
        </w:rPr>
        <w:t xml:space="preserve"> 普通混凝土基体受剪承载力设计值</w:t>
      </w:r>
      <m:oMath>
        <m:sSub>
          <m:sSubPr>
            <m:ctrlPr>
              <w:rPr>
                <w:rFonts w:ascii="Cambria Math" w:hAnsi="Cambria Math"/>
                <w:color w:val="auto"/>
              </w:rPr>
            </m:ctrlPr>
          </m:sSubPr>
          <m:e>
            <m:r>
              <m:rPr/>
              <w:rPr>
                <w:rFonts w:ascii="Cambria Math" w:hAnsi="Cambria Math"/>
                <w:color w:val="auto"/>
              </w:rPr>
              <m:t>V</m:t>
            </m:r>
            <m:ctrlPr>
              <w:rPr>
                <w:rFonts w:ascii="Cambria Math" w:hAnsi="Cambria Math"/>
                <w:color w:val="auto"/>
              </w:rPr>
            </m:ctrlPr>
          </m:e>
          <m:sub>
            <m:r>
              <m:rPr/>
              <w:rPr>
                <w:rFonts w:ascii="Cambria Math" w:hAnsi="Cambria Math"/>
                <w:color w:val="auto"/>
              </w:rPr>
              <m:t>c</m:t>
            </m:r>
            <m:ctrlPr>
              <w:rPr>
                <w:rFonts w:ascii="Cambria Math" w:hAnsi="Cambria Math"/>
                <w:color w:val="auto"/>
              </w:rPr>
            </m:ctrlPr>
          </m:sub>
        </m:sSub>
      </m:oMath>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55"/>
        <w:gridCol w:w="1386"/>
        <w:gridCol w:w="2840"/>
        <w:gridCol w:w="2841"/>
      </w:tblGrid>
      <w:tr w14:paraId="005B3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7" w:type="pct"/>
            <w:gridSpan w:val="2"/>
            <w:vAlign w:val="center"/>
          </w:tcPr>
          <w:p w14:paraId="230F1975">
            <w:pPr>
              <w:spacing w:line="360" w:lineRule="auto"/>
              <w:rPr>
                <w:rFonts w:hint="eastAsia" w:ascii="等线" w:hAnsi="等线" w:eastAsia="等线" w:cs="Times New Roman"/>
                <w:color w:val="auto"/>
                <w:szCs w:val="21"/>
              </w:rPr>
            </w:pPr>
          </w:p>
        </w:tc>
        <w:tc>
          <w:tcPr>
            <w:tcW w:w="1666" w:type="pct"/>
            <w:vAlign w:val="center"/>
          </w:tcPr>
          <w:p w14:paraId="15505E2C">
            <w:pPr>
              <w:spacing w:line="360" w:lineRule="auto"/>
              <w:jc w:val="center"/>
              <w:rPr>
                <w:rFonts w:ascii="Times New Roman" w:hAnsi="Times New Roman" w:eastAsia="宋体"/>
                <w:color w:val="auto"/>
                <w:szCs w:val="21"/>
              </w:rPr>
            </w:pPr>
            <m:oMathPara>
              <m:oMath>
                <m:sSub>
                  <m:sSubPr>
                    <m:ctrlPr>
                      <w:rPr>
                        <w:rFonts w:ascii="Cambria Math" w:hAnsi="Cambria Math"/>
                        <w:i/>
                        <w:color w:val="auto"/>
                      </w:rPr>
                    </m:ctrlPr>
                  </m:sSubPr>
                  <m:e>
                    <m:r>
                      <m:rPr/>
                      <w:rPr>
                        <w:rFonts w:ascii="Cambria Math" w:hAnsi="Cambria Math"/>
                        <w:color w:val="auto"/>
                      </w:rPr>
                      <m:t>V</m:t>
                    </m:r>
                    <m:ctrlPr>
                      <w:rPr>
                        <w:rFonts w:ascii="Cambria Math" w:hAnsi="Cambria Math"/>
                        <w:i/>
                        <w:color w:val="auto"/>
                      </w:rPr>
                    </m:ctrlPr>
                  </m:e>
                  <m:sub>
                    <m:r>
                      <m:rPr/>
                      <w:rPr>
                        <w:rFonts w:ascii="Cambria Math" w:hAnsi="Cambria Math"/>
                        <w:color w:val="auto"/>
                      </w:rPr>
                      <m:t>c</m:t>
                    </m:r>
                    <m:ctrlPr>
                      <w:rPr>
                        <w:rFonts w:ascii="Cambria Math" w:hAnsi="Cambria Math"/>
                        <w:i/>
                        <w:color w:val="auto"/>
                      </w:rPr>
                    </m:ctrlPr>
                  </m:sub>
                </m:sSub>
                <m:r>
                  <m:rPr/>
                  <w:rPr>
                    <w:rFonts w:ascii="Cambria Math" w:hAnsi="Cambria Math"/>
                    <w:color w:val="auto"/>
                  </w:rPr>
                  <m:t>=0.2</m:t>
                </m:r>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tk</m:t>
                    </m:r>
                    <m:ctrlPr>
                      <w:rPr>
                        <w:rFonts w:ascii="Cambria Math" w:hAnsi="Cambria Math"/>
                        <w:i/>
                        <w:color w:val="auto"/>
                      </w:rPr>
                    </m:ctrlPr>
                  </m:sub>
                </m:sSub>
                <m:r>
                  <m:rPr/>
                  <w:rPr>
                    <w:rFonts w:ascii="Cambria Math" w:hAnsi="Cambria Math"/>
                    <w:color w:val="auto"/>
                  </w:rPr>
                  <m:t>b</m:t>
                </m:r>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oMath>
            </m:oMathPara>
          </w:p>
        </w:tc>
        <w:tc>
          <w:tcPr>
            <w:tcW w:w="1667" w:type="pct"/>
            <w:vAlign w:val="center"/>
          </w:tcPr>
          <w:p w14:paraId="47396818">
            <w:pPr>
              <w:spacing w:line="360" w:lineRule="auto"/>
              <w:jc w:val="right"/>
              <w:rPr>
                <w:rFonts w:ascii="Times New Roman" w:hAnsi="Times New Roman" w:eastAsia="宋体"/>
                <w:color w:val="auto"/>
                <w:szCs w:val="21"/>
              </w:rPr>
            </w:pPr>
            <w:r>
              <w:rPr>
                <w:rFonts w:ascii="Times New Roman" w:hAnsi="Times New Roman" w:eastAsia="宋体"/>
                <w:color w:val="auto"/>
                <w:szCs w:val="21"/>
              </w:rPr>
              <w:t>(5.3.</w:t>
            </w:r>
            <w:r>
              <w:rPr>
                <w:rFonts w:hint="eastAsia" w:ascii="Times New Roman" w:hAnsi="Times New Roman" w:eastAsia="宋体"/>
                <w:color w:val="auto"/>
                <w:szCs w:val="21"/>
              </w:rPr>
              <w:t>3</w:t>
            </w:r>
            <w:r>
              <w:rPr>
                <w:rFonts w:ascii="Times New Roman" w:hAnsi="Times New Roman" w:eastAsia="宋体"/>
                <w:color w:val="auto"/>
                <w:szCs w:val="21"/>
              </w:rPr>
              <w:t>-</w:t>
            </w:r>
            <w:r>
              <w:rPr>
                <w:rFonts w:hint="eastAsia" w:ascii="Times New Roman" w:hAnsi="Times New Roman" w:eastAsia="宋体"/>
                <w:color w:val="auto"/>
                <w:szCs w:val="21"/>
              </w:rPr>
              <w:t>5</w:t>
            </w:r>
            <w:r>
              <w:rPr>
                <w:rFonts w:ascii="Times New Roman" w:hAnsi="Times New Roman" w:eastAsia="宋体"/>
                <w:color w:val="auto"/>
                <w:szCs w:val="21"/>
              </w:rPr>
              <w:t>)</w:t>
            </w:r>
          </w:p>
        </w:tc>
      </w:tr>
      <w:tr w14:paraId="20174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475B0C30">
            <w:pPr>
              <w:wordWrap w:val="0"/>
              <w:spacing w:line="360" w:lineRule="auto"/>
              <w:jc w:val="right"/>
              <w:rPr>
                <w:rFonts w:ascii="Times New Roman" w:hAnsi="Times New Roman" w:eastAsia="宋体"/>
                <w:color w:val="auto"/>
                <w:szCs w:val="21"/>
              </w:rPr>
            </w:pPr>
            <w:r>
              <w:rPr>
                <w:rFonts w:hint="eastAsia" w:ascii="Times New Roman" w:hAnsi="Times New Roman" w:eastAsia="宋体"/>
                <w:color w:val="auto"/>
                <w:szCs w:val="21"/>
              </w:rPr>
              <w:t>式中：</w:t>
            </w:r>
            <w:r>
              <w:rPr>
                <w:rFonts w:ascii="Times New Roman" w:hAnsi="Times New Roman" w:eastAsia="宋体"/>
                <w:color w:val="auto"/>
                <w:szCs w:val="21"/>
              </w:rPr>
              <w:t xml:space="preserve">  </w:t>
            </w:r>
            <m:oMath>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tk</m:t>
                  </m:r>
                  <m:ctrlPr>
                    <w:rPr>
                      <w:rFonts w:ascii="Cambria Math" w:hAnsi="Cambria Math"/>
                      <w:color w:val="auto"/>
                    </w:rPr>
                  </m:ctrlPr>
                </m:sub>
              </m:sSub>
            </m:oMath>
          </w:p>
        </w:tc>
        <w:tc>
          <w:tcPr>
            <w:tcW w:w="4146" w:type="pct"/>
            <w:gridSpan w:val="3"/>
            <w:tcBorders>
              <w:top w:val="nil"/>
              <w:left w:val="nil"/>
              <w:bottom w:val="nil"/>
              <w:right w:val="nil"/>
            </w:tcBorders>
          </w:tcPr>
          <w:p w14:paraId="0AEF7990">
            <w:pPr>
              <w:spacing w:line="360" w:lineRule="auto"/>
              <w:rPr>
                <w:rFonts w:ascii="Times New Roman" w:hAnsi="Times New Roman" w:eastAsia="宋体"/>
                <w:color w:val="auto"/>
                <w:szCs w:val="21"/>
              </w:rPr>
            </w:pPr>
            <w:r>
              <w:rPr>
                <w:rFonts w:hint="eastAsia" w:ascii="Times New Roman" w:hAnsi="Times New Roman" w:eastAsia="宋体"/>
                <w:color w:val="auto"/>
                <w:szCs w:val="21"/>
              </w:rPr>
              <w:t>——普通混凝土轴心抗拉强度标准值（N/mm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w:t>
            </w:r>
          </w:p>
        </w:tc>
      </w:tr>
      <w:tr w14:paraId="5F3E9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854" w:type="pct"/>
            <w:tcBorders>
              <w:top w:val="nil"/>
              <w:left w:val="nil"/>
              <w:bottom w:val="nil"/>
              <w:right w:val="nil"/>
            </w:tcBorders>
          </w:tcPr>
          <w:p w14:paraId="3949E31D">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b</m:t>
                    </m:r>
                    <m:ctrlPr>
                      <w:rPr>
                        <w:rFonts w:ascii="Cambria Math" w:hAnsi="Cambria Math"/>
                        <w:color w:val="auto"/>
                      </w:rPr>
                    </m:ctrlPr>
                  </m:e>
                  <m:sub>
                    <m:r>
                      <m:rPr/>
                      <w:rPr>
                        <w:rFonts w:ascii="Cambria Math" w:hAnsi="Cambria Math"/>
                        <w:color w:val="auto"/>
                      </w:rPr>
                      <m:t>f</m:t>
                    </m:r>
                    <m:ctrlPr>
                      <w:rPr>
                        <w:rFonts w:ascii="Cambria Math" w:hAnsi="Cambria Math"/>
                        <w:color w:val="auto"/>
                      </w:rPr>
                    </m:ctrlPr>
                  </m:sub>
                </m:sSub>
              </m:oMath>
            </m:oMathPara>
          </w:p>
        </w:tc>
        <w:tc>
          <w:tcPr>
            <w:tcW w:w="4146" w:type="pct"/>
            <w:gridSpan w:val="3"/>
            <w:tcBorders>
              <w:top w:val="nil"/>
              <w:left w:val="nil"/>
              <w:bottom w:val="nil"/>
              <w:right w:val="nil"/>
            </w:tcBorders>
          </w:tcPr>
          <w:p w14:paraId="629A9478">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——倒“T”形截面腹板宽度（mm）；</w:t>
            </w:r>
          </w:p>
        </w:tc>
      </w:tr>
      <w:tr w14:paraId="7D737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003201C2">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ℎ</m:t>
                    </m:r>
                    <m:ctrlPr>
                      <w:rPr>
                        <w:rFonts w:ascii="Cambria Math" w:hAnsi="Cambria Math"/>
                        <w:color w:val="auto"/>
                      </w:rPr>
                    </m:ctrlPr>
                  </m:e>
                  <m:sub>
                    <m:r>
                      <m:rPr/>
                      <w:rPr>
                        <w:rFonts w:ascii="Cambria Math" w:hAnsi="Cambria Math"/>
                        <w:color w:val="auto"/>
                      </w:rPr>
                      <m:t>0</m:t>
                    </m:r>
                    <m:ctrlPr>
                      <w:rPr>
                        <w:rFonts w:ascii="Cambria Math" w:hAnsi="Cambria Math"/>
                        <w:color w:val="auto"/>
                      </w:rPr>
                    </m:ctrlPr>
                  </m:sub>
                </m:sSub>
              </m:oMath>
            </m:oMathPara>
          </w:p>
        </w:tc>
        <w:tc>
          <w:tcPr>
            <w:tcW w:w="4146" w:type="pct"/>
            <w:gridSpan w:val="3"/>
            <w:tcBorders>
              <w:top w:val="nil"/>
              <w:left w:val="nil"/>
              <w:bottom w:val="nil"/>
              <w:right w:val="nil"/>
            </w:tcBorders>
          </w:tcPr>
          <w:p w14:paraId="197A21E8">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——倒“T”形截面有效高度（mm），</w:t>
            </w:r>
            <m:oMath>
              <m:sSub>
                <m:sSubPr>
                  <m:ctrlPr>
                    <w:rPr>
                      <w:rFonts w:ascii="Cambria Math" w:hAnsi="Cambria Math"/>
                      <w:color w:val="auto"/>
                    </w:rPr>
                  </m:ctrlPr>
                </m:sSubPr>
                <m:e>
                  <m:r>
                    <m:rPr/>
                    <w:rPr>
                      <w:rFonts w:ascii="Cambria Math" w:hAnsi="Cambria Math"/>
                      <w:color w:val="auto"/>
                    </w:rPr>
                    <m:t>ℎ</m:t>
                  </m:r>
                  <m:ctrlPr>
                    <w:rPr>
                      <w:rFonts w:ascii="Cambria Math" w:hAnsi="Cambria Math"/>
                      <w:color w:val="auto"/>
                    </w:rPr>
                  </m:ctrlPr>
                </m:e>
                <m:sub>
                  <m:r>
                    <m:rPr/>
                    <w:rPr>
                      <w:rFonts w:ascii="Cambria Math" w:hAnsi="Cambria Math"/>
                      <w:color w:val="auto"/>
                    </w:rPr>
                    <m:t>0</m:t>
                  </m:r>
                  <m:ctrlPr>
                    <w:rPr>
                      <w:rFonts w:ascii="Cambria Math" w:hAnsi="Cambria Math"/>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2</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3</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s1</m:t>
                  </m:r>
                  <m:ctrlPr>
                    <w:rPr>
                      <w:rFonts w:ascii="Cambria Math" w:hAnsi="Cambria Math"/>
                      <w:i/>
                      <w:color w:val="auto"/>
                    </w:rPr>
                  </m:ctrlPr>
                </m:sub>
              </m:sSub>
            </m:oMath>
            <w:r>
              <w:rPr>
                <w:rFonts w:hint="eastAsia" w:ascii="Times New Roman" w:hAnsi="Times New Roman" w:eastAsia="宋体"/>
                <w:color w:val="auto"/>
                <w:szCs w:val="21"/>
              </w:rPr>
              <w:t>；</w:t>
            </w:r>
          </w:p>
        </w:tc>
      </w:tr>
    </w:tbl>
    <w:p w14:paraId="52BA6659">
      <w:pPr>
        <w:numPr>
          <w:ilvl w:val="2"/>
          <w:numId w:val="0"/>
        </w:numPr>
        <w:spacing w:line="360" w:lineRule="auto"/>
        <w:outlineLvl w:val="2"/>
        <w:rPr>
          <w:rFonts w:ascii="Times New Roman" w:hAnsi="Times New Roman" w:eastAsia="宋体"/>
          <w:color w:val="auto"/>
          <w:szCs w:val="21"/>
        </w:rPr>
      </w:pPr>
      <w:r>
        <w:rPr>
          <w:rFonts w:ascii="Times New Roman" w:hAnsi="Times New Roman" w:eastAsia="宋体"/>
          <w:b/>
          <w:color w:val="auto"/>
          <w:szCs w:val="21"/>
        </w:rPr>
        <w:t>5.3.4</w:t>
      </w:r>
      <w:r>
        <w:rPr>
          <w:rFonts w:hint="eastAsia" w:ascii="Times New Roman" w:hAnsi="Times New Roman" w:eastAsia="宋体"/>
          <w:b/>
          <w:color w:val="auto"/>
          <w:szCs w:val="21"/>
        </w:rPr>
        <w:t xml:space="preserve">  </w:t>
      </w:r>
      <w:r>
        <w:rPr>
          <w:rFonts w:hint="eastAsia" w:ascii="Times New Roman" w:hAnsi="Times New Roman" w:eastAsia="宋体"/>
          <w:color w:val="auto"/>
          <w:szCs w:val="21"/>
        </w:rPr>
        <w:t>倒</w:t>
      </w:r>
      <w:r>
        <w:rPr>
          <w:rFonts w:ascii="Times New Roman" w:hAnsi="Times New Roman" w:eastAsia="宋体"/>
          <w:color w:val="auto"/>
          <w:szCs w:val="21"/>
        </w:rPr>
        <w:t>“T”</w:t>
      </w:r>
      <w:r>
        <w:rPr>
          <w:rFonts w:hint="eastAsia" w:ascii="Times New Roman" w:hAnsi="Times New Roman" w:eastAsia="宋体"/>
          <w:color w:val="auto"/>
          <w:szCs w:val="21"/>
        </w:rPr>
        <w:t>形超高性能混凝土</w:t>
      </w:r>
      <w:r>
        <w:rPr>
          <w:rFonts w:ascii="Times New Roman" w:hAnsi="Times New Roman" w:eastAsia="宋体"/>
          <w:color w:val="auto"/>
          <w:szCs w:val="21"/>
        </w:rPr>
        <w:t>-</w:t>
      </w:r>
      <w:r>
        <w:rPr>
          <w:rFonts w:hint="eastAsia" w:ascii="Times New Roman" w:hAnsi="Times New Roman" w:eastAsia="宋体"/>
          <w:color w:val="auto"/>
          <w:szCs w:val="21"/>
        </w:rPr>
        <w:t>普通混凝土组合式盖板结构受弯构件，其抗剪截面尺寸应符合下列规定：</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55"/>
        <w:gridCol w:w="1386"/>
        <w:gridCol w:w="2840"/>
        <w:gridCol w:w="2841"/>
      </w:tblGrid>
      <w:tr w14:paraId="1A949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7" w:type="pct"/>
            <w:gridSpan w:val="2"/>
            <w:vAlign w:val="center"/>
          </w:tcPr>
          <w:p w14:paraId="53F556BF">
            <w:pPr>
              <w:spacing w:line="360" w:lineRule="auto"/>
              <w:rPr>
                <w:rFonts w:hint="eastAsia" w:ascii="等线" w:hAnsi="等线" w:eastAsia="等线" w:cs="Times New Roman"/>
                <w:color w:val="auto"/>
                <w:szCs w:val="21"/>
              </w:rPr>
            </w:pPr>
          </w:p>
        </w:tc>
        <w:tc>
          <w:tcPr>
            <w:tcW w:w="1666" w:type="pct"/>
            <w:vAlign w:val="center"/>
          </w:tcPr>
          <w:p w14:paraId="060DC53E">
            <w:pPr>
              <w:spacing w:line="360" w:lineRule="auto"/>
              <w:jc w:val="center"/>
              <w:rPr>
                <w:rFonts w:ascii="Times New Roman" w:hAnsi="Times New Roman" w:eastAsia="宋体"/>
                <w:color w:val="auto"/>
                <w:szCs w:val="21"/>
              </w:rPr>
            </w:pPr>
            <m:oMathPara>
              <m:oMath>
                <m:sSub>
                  <m:sSubPr>
                    <m:ctrlPr>
                      <w:rPr>
                        <w:rFonts w:ascii="Cambria Math" w:hAnsi="Cambria Math"/>
                        <w:i/>
                        <w:color w:val="auto"/>
                      </w:rPr>
                    </m:ctrlPr>
                  </m:sSubPr>
                  <m:e>
                    <m:r>
                      <m:rPr/>
                      <w:rPr>
                        <w:rFonts w:ascii="Cambria Math" w:hAnsi="Cambria Math"/>
                        <w:color w:val="auto"/>
                      </w:rPr>
                      <m:t>γ</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sSub>
                  <m:sSubPr>
                    <m:ctrlPr>
                      <w:rPr>
                        <w:rFonts w:ascii="Cambria Math" w:hAnsi="Cambria Math"/>
                        <w:color w:val="auto"/>
                      </w:rPr>
                    </m:ctrlPr>
                  </m:sSubPr>
                  <m:e>
                    <m:r>
                      <m:rPr/>
                      <w:rPr>
                        <w:rFonts w:ascii="Cambria Math" w:hAnsi="Cambria Math"/>
                        <w:color w:val="auto"/>
                      </w:rPr>
                      <m:t>V</m:t>
                    </m:r>
                    <m:ctrlPr>
                      <w:rPr>
                        <w:rFonts w:ascii="Cambria Math" w:hAnsi="Cambria Math"/>
                        <w:color w:val="auto"/>
                      </w:rPr>
                    </m:ctrlPr>
                  </m:e>
                  <m:sub>
                    <m:r>
                      <m:rPr/>
                      <w:rPr>
                        <w:rFonts w:hint="eastAsia" w:ascii="Cambria Math" w:hAnsi="Cambria Math"/>
                        <w:color w:val="auto"/>
                      </w:rPr>
                      <m:t>d</m:t>
                    </m:r>
                    <m:ctrlPr>
                      <w:rPr>
                        <w:rFonts w:ascii="Cambria Math" w:hAnsi="Cambria Math"/>
                        <w:color w:val="auto"/>
                      </w:rPr>
                    </m:ctrlPr>
                  </m:sub>
                </m:sSub>
                <m:r>
                  <m:rPr/>
                  <w:rPr>
                    <w:rFonts w:ascii="Cambria Math" w:hAnsi="Cambria Math"/>
                    <w:color w:val="auto"/>
                  </w:rPr>
                  <m:t>≤0.6</m:t>
                </m:r>
                <m:sSub>
                  <m:sSubPr>
                    <m:ctrlPr>
                      <w:rPr>
                        <w:rFonts w:ascii="Cambria Math" w:hAnsi="Cambria Math"/>
                        <w:i/>
                        <w:color w:val="auto"/>
                      </w:rPr>
                    </m:ctrlPr>
                  </m:sSubPr>
                  <m:e>
                    <m:r>
                      <m:rPr/>
                      <w:rPr>
                        <w:rFonts w:ascii="Cambria Math" w:hAnsi="Cambria Math"/>
                        <w:color w:val="auto"/>
                      </w:rPr>
                      <m:t>b</m:t>
                    </m:r>
                    <m:ctrlPr>
                      <w:rPr>
                        <w:rFonts w:ascii="Cambria Math" w:hAnsi="Cambria Math"/>
                        <w:i/>
                        <w:color w:val="auto"/>
                      </w:rPr>
                    </m:ctrlPr>
                  </m:e>
                  <m:sub>
                    <m:r>
                      <m:rPr/>
                      <w:rPr>
                        <w:rFonts w:ascii="Cambria Math" w:hAnsi="Cambria Math"/>
                        <w:color w:val="auto"/>
                      </w:rPr>
                      <m:t>f</m:t>
                    </m:r>
                    <m:ctrlPr>
                      <w:rPr>
                        <w:rFonts w:ascii="Cambria Math" w:hAnsi="Cambria Math"/>
                        <w:i/>
                        <w:color w:val="auto"/>
                      </w:rPr>
                    </m:ctrlPr>
                  </m:sub>
                </m:sSub>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sSubSup>
                  <m:sSubSupPr>
                    <m:ctrlPr>
                      <w:rPr>
                        <w:rFonts w:ascii="Cambria Math" w:hAnsi="Cambria Math"/>
                        <w:i/>
                        <w:color w:val="auto"/>
                      </w:rPr>
                    </m:ctrlPr>
                  </m:sSubSupPr>
                  <m:e>
                    <m:r>
                      <m:rPr/>
                      <w:rPr>
                        <w:rFonts w:ascii="Cambria Math" w:hAnsi="Cambria Math"/>
                        <w:color w:val="auto"/>
                      </w:rPr>
                      <m:t>f</m:t>
                    </m:r>
                    <m:ctrlPr>
                      <w:rPr>
                        <w:rFonts w:ascii="Cambria Math" w:hAnsi="Cambria Math"/>
                        <w:i/>
                        <w:color w:val="auto"/>
                      </w:rPr>
                    </m:ctrlPr>
                  </m:e>
                  <m:sub>
                    <m:r>
                      <m:rPr/>
                      <w:rPr>
                        <w:rFonts w:ascii="Cambria Math" w:hAnsi="Cambria Math"/>
                        <w:color w:val="auto"/>
                      </w:rPr>
                      <m:t>fck</m:t>
                    </m:r>
                    <m:ctrlPr>
                      <w:rPr>
                        <w:rFonts w:ascii="Cambria Math" w:hAnsi="Cambria Math"/>
                        <w:i/>
                        <w:color w:val="auto"/>
                      </w:rPr>
                    </m:ctrlPr>
                  </m:sub>
                  <m:sup>
                    <m:r>
                      <m:rPr/>
                      <w:rPr>
                        <w:rFonts w:ascii="Cambria Math" w:hAnsi="Cambria Math"/>
                        <w:color w:val="auto"/>
                      </w:rPr>
                      <m:t>2/3</m:t>
                    </m:r>
                    <m:ctrlPr>
                      <w:rPr>
                        <w:rFonts w:ascii="Cambria Math" w:hAnsi="Cambria Math"/>
                        <w:i/>
                        <w:color w:val="auto"/>
                      </w:rPr>
                    </m:ctrlPr>
                  </m:sup>
                </m:sSubSup>
              </m:oMath>
            </m:oMathPara>
          </w:p>
        </w:tc>
        <w:tc>
          <w:tcPr>
            <w:tcW w:w="1667" w:type="pct"/>
            <w:vAlign w:val="center"/>
          </w:tcPr>
          <w:p w14:paraId="5954858F">
            <w:pPr>
              <w:spacing w:line="360" w:lineRule="auto"/>
              <w:jc w:val="right"/>
              <w:rPr>
                <w:rFonts w:ascii="Times New Roman" w:hAnsi="Times New Roman" w:eastAsia="宋体"/>
                <w:color w:val="auto"/>
                <w:szCs w:val="21"/>
              </w:rPr>
            </w:pPr>
            <w:r>
              <w:rPr>
                <w:rFonts w:ascii="Times New Roman" w:hAnsi="Times New Roman" w:eastAsia="宋体"/>
                <w:color w:val="auto"/>
                <w:szCs w:val="21"/>
              </w:rPr>
              <w:t>(5.3.</w:t>
            </w:r>
            <w:r>
              <w:rPr>
                <w:rFonts w:hint="eastAsia" w:ascii="Times New Roman" w:hAnsi="Times New Roman" w:eastAsia="宋体"/>
                <w:color w:val="auto"/>
                <w:szCs w:val="21"/>
              </w:rPr>
              <w:t>4</w:t>
            </w:r>
            <w:r>
              <w:rPr>
                <w:rFonts w:ascii="Times New Roman" w:hAnsi="Times New Roman" w:eastAsia="宋体"/>
                <w:color w:val="auto"/>
                <w:szCs w:val="21"/>
              </w:rPr>
              <w:t>)</w:t>
            </w:r>
          </w:p>
        </w:tc>
      </w:tr>
      <w:tr w14:paraId="30BC0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5123B5A6">
            <w:pPr>
              <w:wordWrap w:val="0"/>
              <w:spacing w:line="360" w:lineRule="auto"/>
              <w:jc w:val="right"/>
              <w:rPr>
                <w:rFonts w:ascii="Times New Roman" w:hAnsi="Times New Roman" w:eastAsia="宋体"/>
                <w:color w:val="auto"/>
                <w:szCs w:val="21"/>
              </w:rPr>
            </w:pPr>
            <w:r>
              <w:rPr>
                <w:rFonts w:hint="eastAsia" w:ascii="Times New Roman" w:hAnsi="Times New Roman" w:eastAsia="宋体"/>
                <w:color w:val="auto"/>
                <w:szCs w:val="21"/>
              </w:rPr>
              <w:t xml:space="preserve">式中： </w:t>
            </w:r>
            <w:r>
              <w:rPr>
                <w:rFonts w:ascii="Times New Roman" w:hAnsi="Times New Roman" w:eastAsia="宋体"/>
                <w:color w:val="auto"/>
                <w:szCs w:val="21"/>
              </w:rPr>
              <w:t xml:space="preserve">  </w:t>
            </w:r>
            <m:oMath>
              <m:sSub>
                <m:sSubPr>
                  <m:ctrlPr>
                    <w:rPr>
                      <w:rFonts w:ascii="Cambria Math" w:hAnsi="Cambria Math"/>
                      <w:color w:val="auto"/>
                    </w:rPr>
                  </m:ctrlPr>
                </m:sSubPr>
                <m:e>
                  <m:r>
                    <m:rPr/>
                    <w:rPr>
                      <w:rFonts w:ascii="Cambria Math" w:hAnsi="Cambria Math"/>
                      <w:color w:val="auto"/>
                    </w:rPr>
                    <m:t>b</m:t>
                  </m:r>
                  <m:ctrlPr>
                    <w:rPr>
                      <w:rFonts w:ascii="Cambria Math" w:hAnsi="Cambria Math"/>
                      <w:color w:val="auto"/>
                    </w:rPr>
                  </m:ctrlPr>
                </m:e>
                <m:sub>
                  <m:r>
                    <m:rPr/>
                    <w:rPr>
                      <w:rFonts w:ascii="Cambria Math" w:hAnsi="Cambria Math"/>
                      <w:color w:val="auto"/>
                    </w:rPr>
                    <m:t>f</m:t>
                  </m:r>
                  <m:ctrlPr>
                    <w:rPr>
                      <w:rFonts w:ascii="Cambria Math" w:hAnsi="Cambria Math"/>
                      <w:color w:val="auto"/>
                    </w:rPr>
                  </m:ctrlPr>
                </m:sub>
              </m:sSub>
            </m:oMath>
          </w:p>
        </w:tc>
        <w:tc>
          <w:tcPr>
            <w:tcW w:w="4146" w:type="pct"/>
            <w:gridSpan w:val="3"/>
            <w:tcBorders>
              <w:top w:val="nil"/>
              <w:left w:val="nil"/>
              <w:bottom w:val="nil"/>
              <w:right w:val="nil"/>
            </w:tcBorders>
          </w:tcPr>
          <w:p w14:paraId="61FC8D0D">
            <w:pPr>
              <w:spacing w:line="360" w:lineRule="auto"/>
              <w:rPr>
                <w:rFonts w:ascii="Times New Roman" w:hAnsi="Times New Roman" w:eastAsia="宋体"/>
                <w:color w:val="auto"/>
                <w:szCs w:val="21"/>
              </w:rPr>
            </w:pPr>
            <w:r>
              <w:rPr>
                <w:rFonts w:hint="eastAsia" w:ascii="Times New Roman" w:hAnsi="Times New Roman" w:eastAsia="宋体"/>
                <w:color w:val="auto"/>
                <w:szCs w:val="21"/>
              </w:rPr>
              <w:t>——腹板厚度（mm）；</w:t>
            </w:r>
          </w:p>
        </w:tc>
      </w:tr>
      <w:tr w14:paraId="5449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tcBorders>
              <w:top w:val="nil"/>
              <w:left w:val="nil"/>
              <w:bottom w:val="nil"/>
              <w:right w:val="nil"/>
            </w:tcBorders>
          </w:tcPr>
          <w:p w14:paraId="395369CB">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fck</m:t>
                    </m:r>
                    <m:ctrlPr>
                      <w:rPr>
                        <w:rFonts w:ascii="Cambria Math" w:hAnsi="Cambria Math"/>
                        <w:color w:val="auto"/>
                      </w:rPr>
                    </m:ctrlPr>
                  </m:sub>
                </m:sSub>
              </m:oMath>
            </m:oMathPara>
          </w:p>
        </w:tc>
        <w:tc>
          <w:tcPr>
            <w:tcW w:w="4146" w:type="pct"/>
            <w:gridSpan w:val="3"/>
            <w:tcBorders>
              <w:top w:val="nil"/>
              <w:left w:val="nil"/>
              <w:bottom w:val="nil"/>
              <w:right w:val="nil"/>
            </w:tcBorders>
          </w:tcPr>
          <w:p w14:paraId="500E6BC9">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——超高性能混凝土抗压强度标准值（N/mm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w:t>
            </w:r>
          </w:p>
        </w:tc>
      </w:tr>
    </w:tbl>
    <w:p w14:paraId="2E2798E6">
      <w:pPr>
        <w:pStyle w:val="3"/>
        <w:rPr>
          <w:color w:val="auto"/>
        </w:rPr>
      </w:pPr>
      <w:bookmarkStart w:id="74" w:name="_Toc4788"/>
      <w:r>
        <w:rPr>
          <w:color w:val="auto"/>
        </w:rPr>
        <w:t>5</w:t>
      </w:r>
      <w:r>
        <w:rPr>
          <w:rFonts w:hint="eastAsia"/>
          <w:color w:val="auto"/>
        </w:rPr>
        <w:t xml:space="preserve">.4 </w:t>
      </w:r>
      <w:r>
        <w:rPr>
          <w:color w:val="auto"/>
        </w:rPr>
        <w:t xml:space="preserve"> </w:t>
      </w:r>
      <w:r>
        <w:rPr>
          <w:rFonts w:hint="eastAsia"/>
          <w:color w:val="auto"/>
        </w:rPr>
        <w:t>界面抗剪钢筋承载力计算</w:t>
      </w:r>
      <w:bookmarkEnd w:id="74"/>
    </w:p>
    <w:p w14:paraId="402183C6">
      <w:pPr>
        <w:numPr>
          <w:ilvl w:val="2"/>
          <w:numId w:val="0"/>
        </w:numPr>
        <w:spacing w:line="360" w:lineRule="auto"/>
        <w:outlineLvl w:val="2"/>
        <w:rPr>
          <w:rFonts w:ascii="Times New Roman" w:hAnsi="Times New Roman" w:eastAsia="宋体"/>
          <w:color w:val="auto"/>
          <w:szCs w:val="21"/>
        </w:rPr>
      </w:pPr>
      <w:r>
        <w:rPr>
          <w:rFonts w:ascii="Times New Roman" w:hAnsi="Times New Roman" w:eastAsia="宋体"/>
          <w:b/>
          <w:color w:val="auto"/>
          <w:szCs w:val="21"/>
        </w:rPr>
        <w:t>5</w:t>
      </w:r>
      <w:r>
        <w:rPr>
          <w:rFonts w:hint="eastAsia" w:ascii="Times New Roman" w:hAnsi="Times New Roman" w:eastAsia="宋体"/>
          <w:b/>
          <w:color w:val="auto"/>
          <w:szCs w:val="21"/>
        </w:rPr>
        <w:t xml:space="preserve">.4.1  </w:t>
      </w:r>
      <w:r>
        <w:rPr>
          <w:rFonts w:hint="eastAsia" w:ascii="Times New Roman" w:hAnsi="Times New Roman" w:eastAsia="宋体"/>
          <w:color w:val="auto"/>
          <w:szCs w:val="21"/>
        </w:rPr>
        <w:t>组合式盖板结构界面抗剪钢筋一般采用普通钢筋，单根抗剪钢筋的抗剪承载力设计值取式（</w:t>
      </w:r>
      <w:r>
        <w:rPr>
          <w:rFonts w:ascii="Times New Roman" w:hAnsi="Times New Roman" w:eastAsia="宋体"/>
          <w:color w:val="auto"/>
          <w:szCs w:val="21"/>
        </w:rPr>
        <w:t>5.</w:t>
      </w:r>
      <w:r>
        <w:rPr>
          <w:rFonts w:hint="eastAsia" w:ascii="Times New Roman" w:hAnsi="Times New Roman" w:eastAsia="宋体"/>
          <w:color w:val="auto"/>
          <w:szCs w:val="21"/>
        </w:rPr>
        <w:t>4</w:t>
      </w:r>
      <w:r>
        <w:rPr>
          <w:rFonts w:ascii="Times New Roman" w:hAnsi="Times New Roman" w:eastAsia="宋体"/>
          <w:color w:val="auto"/>
          <w:szCs w:val="21"/>
        </w:rPr>
        <w:t>.1</w:t>
      </w:r>
      <w:r>
        <w:rPr>
          <w:rFonts w:hint="eastAsia" w:ascii="Times New Roman" w:hAnsi="Times New Roman" w:eastAsia="宋体"/>
          <w:color w:val="auto"/>
          <w:szCs w:val="21"/>
        </w:rPr>
        <w:t>）中的计算值</w:t>
      </w:r>
      <w:r>
        <w:rPr>
          <w:rFonts w:hint="eastAsia" w:ascii="Times New Roman" w:hAnsi="Times New Roman" w:eastAsia="宋体"/>
          <w:color w:val="auto"/>
          <w:szCs w:val="21"/>
          <w:lang w:eastAsia="zh-CN"/>
        </w:rPr>
        <w:t>，</w:t>
      </w:r>
      <w:r>
        <w:rPr>
          <w:rFonts w:hint="eastAsia" w:ascii="Times New Roman" w:hAnsi="Times New Roman" w:eastAsia="宋体"/>
          <w:color w:val="auto"/>
          <w:szCs w:val="21"/>
          <w:lang w:val="en-US" w:eastAsia="zh-CN"/>
        </w:rPr>
        <w:t>摩阻系数可取1.4，也可根据斜剪试验确定</w:t>
      </w:r>
      <w:r>
        <w:rPr>
          <w:rFonts w:hint="eastAsia" w:ascii="Times New Roman" w:hAnsi="Times New Roman" w:eastAsia="宋体"/>
          <w:color w:val="auto"/>
          <w:szCs w:val="21"/>
        </w:rPr>
        <w:t>。</w:t>
      </w:r>
    </w:p>
    <w:tbl>
      <w:tblPr>
        <w:tblStyle w:val="46"/>
        <w:tblW w:w="4994" w:type="pct"/>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871"/>
        <w:gridCol w:w="872"/>
        <w:gridCol w:w="1093"/>
        <w:gridCol w:w="2836"/>
        <w:gridCol w:w="2840"/>
      </w:tblGrid>
      <w:tr w14:paraId="4CF25735">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666" w:type="pct"/>
            <w:gridSpan w:val="3"/>
            <w:tcBorders>
              <w:bottom w:val="nil"/>
            </w:tcBorders>
            <w:vAlign w:val="center"/>
          </w:tcPr>
          <w:p w14:paraId="09A7DC59">
            <w:pPr>
              <w:numPr>
                <w:ilvl w:val="2"/>
                <w:numId w:val="0"/>
              </w:numPr>
              <w:spacing w:line="360" w:lineRule="auto"/>
              <w:rPr>
                <w:rFonts w:ascii="Times New Roman" w:hAnsi="Times New Roman" w:eastAsia="宋体"/>
                <w:color w:val="auto"/>
                <w:szCs w:val="21"/>
              </w:rPr>
            </w:pPr>
          </w:p>
        </w:tc>
        <w:tc>
          <w:tcPr>
            <w:tcW w:w="1666" w:type="pct"/>
            <w:tcBorders>
              <w:bottom w:val="nil"/>
            </w:tcBorders>
            <w:vAlign w:val="center"/>
          </w:tcPr>
          <w:p w14:paraId="07BD0506">
            <w:pPr>
              <w:numPr>
                <w:ilvl w:val="2"/>
                <w:numId w:val="0"/>
              </w:numPr>
              <w:spacing w:line="360" w:lineRule="auto"/>
              <w:jc w:val="center"/>
              <w:rPr>
                <w:rFonts w:ascii="Times New Roman" w:hAnsi="Times New Roman" w:eastAsia="宋体"/>
                <w:color w:val="auto"/>
                <w:szCs w:val="21"/>
              </w:rPr>
            </w:pPr>
            <w:r>
              <w:rPr>
                <w:rFonts w:hint="eastAsia"/>
                <w:color w:val="auto"/>
                <w:position w:val="-14"/>
              </w:rPr>
              <w:object>
                <v:shape id="_x0000_i1128" o:spt="75" type="#_x0000_t75" style="height:19pt;width:58pt;" o:ole="t" filled="f" o:preferrelative="t" stroked="f" coordsize="21600,21600">
                  <v:path/>
                  <v:fill on="f" focussize="0,0"/>
                  <v:stroke on="f" joinstyle="miter"/>
                  <v:imagedata r:id="rId214" o:title=""/>
                  <o:lock v:ext="edit" aspectratio="t"/>
                  <w10:wrap type="none"/>
                  <w10:anchorlock/>
                </v:shape>
                <o:OLEObject Type="Embed" ProgID="Equation.DSMT4" ShapeID="_x0000_i1128" DrawAspect="Content" ObjectID="_1468075828" r:id="rId213">
                  <o:LockedField>false</o:LockedField>
                </o:OLEObject>
              </w:object>
            </w:r>
          </w:p>
        </w:tc>
        <w:tc>
          <w:tcPr>
            <w:tcW w:w="1668" w:type="pct"/>
            <w:tcBorders>
              <w:bottom w:val="nil"/>
            </w:tcBorders>
            <w:vAlign w:val="center"/>
          </w:tcPr>
          <w:p w14:paraId="79765D9D">
            <w:pPr>
              <w:numPr>
                <w:ilvl w:val="2"/>
                <w:numId w:val="0"/>
              </w:numPr>
              <w:spacing w:line="360" w:lineRule="auto"/>
              <w:jc w:val="right"/>
              <w:rPr>
                <w:rFonts w:ascii="Times New Roman" w:hAnsi="Times New Roman" w:eastAsia="宋体"/>
                <w:color w:val="auto"/>
                <w:szCs w:val="21"/>
              </w:rPr>
            </w:pPr>
            <w:r>
              <w:rPr>
                <w:rFonts w:hint="eastAsia" w:ascii="Times New Roman" w:hAnsi="Times New Roman" w:eastAsia="宋体"/>
                <w:color w:val="auto"/>
                <w:szCs w:val="21"/>
              </w:rPr>
              <w:t>(5.4.1)</w:t>
            </w:r>
          </w:p>
        </w:tc>
      </w:tr>
      <w:tr w14:paraId="7569B7AE">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512" w:type="pct"/>
            <w:tcBorders>
              <w:top w:val="nil"/>
              <w:bottom w:val="nil"/>
            </w:tcBorders>
            <w:vAlign w:val="center"/>
          </w:tcPr>
          <w:p w14:paraId="52437283">
            <w:pPr>
              <w:numPr>
                <w:ilvl w:val="2"/>
                <w:numId w:val="0"/>
              </w:numPr>
              <w:spacing w:line="360" w:lineRule="auto"/>
              <w:rPr>
                <w:rFonts w:ascii="Times New Roman" w:hAnsi="Times New Roman" w:eastAsia="宋体"/>
                <w:color w:val="auto"/>
                <w:szCs w:val="21"/>
              </w:rPr>
            </w:pPr>
            <w:r>
              <w:rPr>
                <w:rFonts w:hint="eastAsia" w:ascii="Times New Roman" w:hAnsi="Times New Roman" w:eastAsia="宋体"/>
                <w:color w:val="auto"/>
                <w:szCs w:val="21"/>
              </w:rPr>
              <w:t>式中：</w:t>
            </w:r>
          </w:p>
        </w:tc>
        <w:tc>
          <w:tcPr>
            <w:tcW w:w="512" w:type="pct"/>
            <w:tcBorders>
              <w:top w:val="nil"/>
              <w:bottom w:val="nil"/>
            </w:tcBorders>
            <w:vAlign w:val="center"/>
          </w:tcPr>
          <w:p w14:paraId="008CE9EE">
            <w:pPr>
              <w:numPr>
                <w:ilvl w:val="2"/>
                <w:numId w:val="0"/>
              </w:numPr>
              <w:spacing w:line="360" w:lineRule="auto"/>
              <w:jc w:val="center"/>
              <w:rPr>
                <w:rFonts w:hint="eastAsia"/>
                <w:color w:val="auto"/>
              </w:rPr>
            </w:pPr>
            <w:r>
              <w:rPr>
                <w:rFonts w:hint="eastAsia"/>
                <w:color w:val="auto"/>
                <w:position w:val="-10"/>
              </w:rPr>
              <w:object>
                <v:shape id="_x0000_i1129" o:spt="75" type="#_x0000_t75" style="height:13pt;width:12pt;" o:ole="t" filled="f" o:preferrelative="t" stroked="f" coordsize="21600,21600">
                  <v:path/>
                  <v:fill on="f" focussize="0,0"/>
                  <v:stroke on="f" joinstyle="miter"/>
                  <v:imagedata r:id="rId216" o:title=""/>
                  <o:lock v:ext="edit" aspectratio="t"/>
                  <w10:wrap type="none"/>
                  <w10:anchorlock/>
                </v:shape>
                <o:OLEObject Type="Embed" ProgID="Equation.DSMT4" ShapeID="_x0000_i1129" DrawAspect="Content" ObjectID="_1468075829" r:id="rId215">
                  <o:LockedField>false</o:LockedField>
                </o:OLEObject>
              </w:object>
            </w:r>
          </w:p>
        </w:tc>
        <w:tc>
          <w:tcPr>
            <w:tcW w:w="3976" w:type="pct"/>
            <w:gridSpan w:val="3"/>
            <w:tcBorders>
              <w:top w:val="nil"/>
              <w:bottom w:val="nil"/>
            </w:tcBorders>
            <w:vAlign w:val="center"/>
          </w:tcPr>
          <w:p w14:paraId="38F6F6E0">
            <w:pPr>
              <w:numPr>
                <w:ilvl w:val="2"/>
                <w:numId w:val="0"/>
              </w:numPr>
              <w:spacing w:line="360" w:lineRule="auto"/>
              <w:rPr>
                <w:rFonts w:ascii="Times New Roman" w:hAnsi="Times New Roman" w:eastAsia="宋体"/>
                <w:color w:val="auto"/>
                <w:szCs w:val="21"/>
              </w:rPr>
            </w:pPr>
            <w:r>
              <w:rPr>
                <w:rFonts w:hint="eastAsia" w:ascii="Times New Roman" w:hAnsi="Times New Roman" w:eastAsia="宋体"/>
                <w:color w:val="auto"/>
                <w:szCs w:val="21"/>
              </w:rPr>
              <w:t>——UHPC和NSC界面摩擦系数；</w:t>
            </w:r>
          </w:p>
        </w:tc>
      </w:tr>
      <w:tr w14:paraId="462C9502">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512" w:type="pct"/>
            <w:tcBorders>
              <w:top w:val="nil"/>
              <w:bottom w:val="nil"/>
            </w:tcBorders>
            <w:vAlign w:val="center"/>
          </w:tcPr>
          <w:p w14:paraId="14A0FC7A">
            <w:pPr>
              <w:numPr>
                <w:ilvl w:val="2"/>
                <w:numId w:val="0"/>
              </w:numPr>
              <w:spacing w:line="360" w:lineRule="auto"/>
              <w:rPr>
                <w:rFonts w:ascii="Times New Roman" w:hAnsi="Times New Roman" w:eastAsia="宋体"/>
                <w:color w:val="auto"/>
                <w:szCs w:val="21"/>
              </w:rPr>
            </w:pPr>
          </w:p>
        </w:tc>
        <w:tc>
          <w:tcPr>
            <w:tcW w:w="512" w:type="pct"/>
            <w:tcBorders>
              <w:top w:val="nil"/>
              <w:bottom w:val="nil"/>
            </w:tcBorders>
            <w:vAlign w:val="center"/>
          </w:tcPr>
          <w:p w14:paraId="7F02847F">
            <w:pPr>
              <w:numPr>
                <w:ilvl w:val="2"/>
                <w:numId w:val="0"/>
              </w:numPr>
              <w:spacing w:line="360" w:lineRule="auto"/>
              <w:jc w:val="center"/>
              <w:rPr>
                <w:rFonts w:hint="eastAsia"/>
                <w:color w:val="auto"/>
              </w:rPr>
            </w:pPr>
            <w:r>
              <w:rPr>
                <w:rFonts w:hint="eastAsia"/>
                <w:color w:val="auto"/>
                <w:position w:val="-14"/>
              </w:rPr>
              <w:object>
                <v:shape id="_x0000_i1130" o:spt="75" type="#_x0000_t75" style="height:19pt;width:13.95pt;" o:ole="t" filled="f" o:preferrelative="t" stroked="f" coordsize="21600,21600">
                  <v:path/>
                  <v:fill on="f" focussize="0,0"/>
                  <v:stroke on="f" joinstyle="miter"/>
                  <v:imagedata r:id="rId218" o:title=""/>
                  <o:lock v:ext="edit" aspectratio="t"/>
                  <w10:wrap type="none"/>
                  <w10:anchorlock/>
                </v:shape>
                <o:OLEObject Type="Embed" ProgID="Equation.DSMT4" ShapeID="_x0000_i1130" DrawAspect="Content" ObjectID="_1468075830" r:id="rId217">
                  <o:LockedField>false</o:LockedField>
                </o:OLEObject>
              </w:object>
            </w:r>
          </w:p>
        </w:tc>
        <w:tc>
          <w:tcPr>
            <w:tcW w:w="3976" w:type="pct"/>
            <w:gridSpan w:val="3"/>
            <w:tcBorders>
              <w:top w:val="nil"/>
              <w:bottom w:val="nil"/>
            </w:tcBorders>
            <w:vAlign w:val="center"/>
          </w:tcPr>
          <w:p w14:paraId="1EA1F479">
            <w:pPr>
              <w:numPr>
                <w:ilvl w:val="2"/>
                <w:numId w:val="0"/>
              </w:numPr>
              <w:spacing w:line="360" w:lineRule="auto"/>
              <w:rPr>
                <w:rFonts w:ascii="Times New Roman" w:hAnsi="Times New Roman" w:eastAsia="宋体"/>
                <w:color w:val="auto"/>
                <w:szCs w:val="21"/>
              </w:rPr>
            </w:pPr>
            <w:r>
              <w:rPr>
                <w:rFonts w:hint="eastAsia" w:ascii="Times New Roman" w:hAnsi="Times New Roman" w:eastAsia="宋体"/>
                <w:color w:val="auto"/>
                <w:szCs w:val="21"/>
              </w:rPr>
              <w:t>——钢筋屈服强度；</w:t>
            </w:r>
          </w:p>
        </w:tc>
      </w:tr>
      <w:tr w14:paraId="285E621B">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512" w:type="pct"/>
            <w:tcBorders>
              <w:top w:val="nil"/>
              <w:bottom w:val="nil"/>
            </w:tcBorders>
            <w:vAlign w:val="center"/>
          </w:tcPr>
          <w:p w14:paraId="2414B31D">
            <w:pPr>
              <w:numPr>
                <w:ilvl w:val="2"/>
                <w:numId w:val="0"/>
              </w:numPr>
              <w:spacing w:line="360" w:lineRule="auto"/>
              <w:rPr>
                <w:rFonts w:ascii="Times New Roman" w:hAnsi="Times New Roman" w:eastAsia="宋体"/>
                <w:color w:val="auto"/>
                <w:szCs w:val="21"/>
              </w:rPr>
            </w:pPr>
          </w:p>
        </w:tc>
        <w:tc>
          <w:tcPr>
            <w:tcW w:w="512" w:type="pct"/>
            <w:tcBorders>
              <w:top w:val="nil"/>
              <w:bottom w:val="nil"/>
            </w:tcBorders>
            <w:vAlign w:val="center"/>
          </w:tcPr>
          <w:p w14:paraId="49281269">
            <w:pPr>
              <w:numPr>
                <w:ilvl w:val="2"/>
                <w:numId w:val="0"/>
              </w:numPr>
              <w:spacing w:line="360" w:lineRule="auto"/>
              <w:jc w:val="center"/>
              <w:rPr>
                <w:rFonts w:hint="eastAsia"/>
                <w:color w:val="auto"/>
              </w:rPr>
            </w:pPr>
            <w:r>
              <w:rPr>
                <w:rFonts w:hint="eastAsia"/>
                <w:color w:val="auto"/>
                <w:position w:val="-14"/>
              </w:rPr>
              <w:object>
                <v:shape id="_x0000_i1131" o:spt="75" type="#_x0000_t75" style="height:19pt;width:18pt;" o:ole="t" filled="f" o:preferrelative="t" stroked="f" coordsize="21600,21600">
                  <v:path/>
                  <v:fill on="f" focussize="0,0"/>
                  <v:stroke on="f" joinstyle="miter"/>
                  <v:imagedata r:id="rId152" o:title=""/>
                  <o:lock v:ext="edit" aspectratio="t"/>
                  <w10:wrap type="none"/>
                  <w10:anchorlock/>
                </v:shape>
                <o:OLEObject Type="Embed" ProgID="Equation.DSMT4" ShapeID="_x0000_i1131" DrawAspect="Content" ObjectID="_1468075831" r:id="rId219">
                  <o:LockedField>false</o:LockedField>
                </o:OLEObject>
              </w:object>
            </w:r>
          </w:p>
        </w:tc>
        <w:tc>
          <w:tcPr>
            <w:tcW w:w="3976" w:type="pct"/>
            <w:gridSpan w:val="3"/>
            <w:tcBorders>
              <w:top w:val="nil"/>
              <w:bottom w:val="nil"/>
            </w:tcBorders>
            <w:vAlign w:val="center"/>
          </w:tcPr>
          <w:p w14:paraId="21572CCC">
            <w:pPr>
              <w:numPr>
                <w:ilvl w:val="2"/>
                <w:numId w:val="0"/>
              </w:numPr>
              <w:spacing w:line="360" w:lineRule="auto"/>
              <w:rPr>
                <w:rFonts w:ascii="Times New Roman" w:hAnsi="Times New Roman" w:eastAsia="宋体"/>
                <w:color w:val="auto"/>
                <w:szCs w:val="21"/>
              </w:rPr>
            </w:pPr>
            <w:r>
              <w:rPr>
                <w:rFonts w:hint="eastAsia" w:ascii="Times New Roman" w:hAnsi="Times New Roman" w:eastAsia="宋体"/>
                <w:color w:val="auto"/>
                <w:szCs w:val="21"/>
              </w:rPr>
              <w:t>——界面上</w:t>
            </w:r>
            <w:r>
              <w:rPr>
                <w:rFonts w:hint="eastAsia" w:ascii="Times New Roman" w:hAnsi="Times New Roman" w:eastAsia="宋体"/>
                <w:color w:val="auto"/>
                <w:szCs w:val="21"/>
                <w:lang w:val="en-US" w:eastAsia="zh-CN"/>
              </w:rPr>
              <w:t>抗剪</w:t>
            </w:r>
            <w:r>
              <w:rPr>
                <w:rFonts w:hint="eastAsia" w:ascii="Times New Roman" w:hAnsi="Times New Roman" w:eastAsia="宋体"/>
                <w:color w:val="auto"/>
                <w:szCs w:val="21"/>
              </w:rPr>
              <w:t>钢筋的截面面积。</w:t>
            </w:r>
          </w:p>
        </w:tc>
      </w:tr>
    </w:tbl>
    <w:p w14:paraId="0FAD03DF">
      <w:pPr>
        <w:pStyle w:val="3"/>
        <w:rPr>
          <w:color w:val="auto"/>
        </w:rPr>
      </w:pPr>
      <w:bookmarkStart w:id="75" w:name="_Toc14677"/>
      <w:r>
        <w:rPr>
          <w:color w:val="auto"/>
        </w:rPr>
        <w:t>5</w:t>
      </w:r>
      <w:r>
        <w:rPr>
          <w:rFonts w:hint="eastAsia"/>
          <w:color w:val="auto"/>
        </w:rPr>
        <w:t>.5  界面抗剪钢筋数量计算</w:t>
      </w:r>
      <w:bookmarkEnd w:id="75"/>
    </w:p>
    <w:p w14:paraId="7B7A3928">
      <w:pPr>
        <w:numPr>
          <w:ilvl w:val="2"/>
          <w:numId w:val="0"/>
        </w:numPr>
        <w:spacing w:line="360" w:lineRule="auto"/>
        <w:outlineLvl w:val="2"/>
        <w:rPr>
          <w:rFonts w:ascii="Times New Roman" w:hAnsi="Times New Roman" w:eastAsia="宋体"/>
          <w:color w:val="auto"/>
          <w:szCs w:val="21"/>
        </w:rPr>
      </w:pPr>
      <w:r>
        <w:rPr>
          <w:rFonts w:ascii="Times New Roman" w:hAnsi="Times New Roman" w:eastAsia="宋体"/>
          <w:b/>
          <w:color w:val="auto"/>
          <w:szCs w:val="21"/>
        </w:rPr>
        <w:t>5</w:t>
      </w:r>
      <w:r>
        <w:rPr>
          <w:rFonts w:hint="eastAsia" w:ascii="Times New Roman" w:hAnsi="Times New Roman" w:eastAsia="宋体"/>
          <w:b/>
          <w:color w:val="auto"/>
          <w:szCs w:val="21"/>
        </w:rPr>
        <w:t xml:space="preserve">.5.1  </w:t>
      </w:r>
      <w:r>
        <w:rPr>
          <w:rFonts w:hint="eastAsia" w:ascii="Times New Roman" w:hAnsi="Times New Roman" w:eastAsia="宋体"/>
          <w:color w:val="auto"/>
          <w:szCs w:val="21"/>
        </w:rPr>
        <w:t>一个倒“T”形组合式盖板结构的抗剪连接件的数目</w:t>
      </w:r>
      <m:oMath>
        <m:sSub>
          <m:sSubPr>
            <m:ctrlPr>
              <w:rPr>
                <w:rFonts w:ascii="Cambria Math" w:hAnsi="Cambria Math" w:cs="Times New Roman"/>
                <w:color w:val="auto"/>
              </w:rPr>
            </m:ctrlPr>
          </m:sSubPr>
          <m:e>
            <m:r>
              <m:rPr/>
              <w:rPr>
                <w:rFonts w:ascii="Cambria Math" w:hAnsi="Cambria Math" w:cs="Times New Roman"/>
                <w:color w:val="auto"/>
              </w:rPr>
              <m:t>n</m:t>
            </m:r>
            <m:ctrlPr>
              <w:rPr>
                <w:rFonts w:ascii="Cambria Math" w:hAnsi="Cambria Math" w:cs="Times New Roman"/>
                <w:color w:val="auto"/>
              </w:rPr>
            </m:ctrlPr>
          </m:e>
          <m:sub>
            <m:r>
              <m:rPr/>
              <w:rPr>
                <w:rFonts w:ascii="Cambria Math" w:hAnsi="Cambria Math" w:cs="Times New Roman"/>
                <w:color w:val="auto"/>
              </w:rPr>
              <m:t>f</m:t>
            </m:r>
            <m:ctrlPr>
              <w:rPr>
                <w:rFonts w:ascii="Cambria Math" w:hAnsi="Cambria Math" w:cs="Times New Roman"/>
                <w:color w:val="auto"/>
              </w:rPr>
            </m:ctrlPr>
          </m:sub>
        </m:sSub>
      </m:oMath>
      <w:r>
        <w:rPr>
          <w:rFonts w:hint="eastAsia" w:ascii="Times New Roman" w:hAnsi="Times New Roman" w:eastAsia="宋体"/>
          <w:color w:val="auto"/>
          <w:szCs w:val="21"/>
        </w:rPr>
        <w:t>应满足下列要求</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42"/>
        <w:gridCol w:w="583"/>
        <w:gridCol w:w="4027"/>
        <w:gridCol w:w="2170"/>
      </w:tblGrid>
      <w:tr w14:paraId="73CEE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4" w:type="pct"/>
            <w:gridSpan w:val="2"/>
            <w:vAlign w:val="center"/>
          </w:tcPr>
          <w:p w14:paraId="1AEFA7BF">
            <w:pPr>
              <w:spacing w:line="360" w:lineRule="auto"/>
              <w:rPr>
                <w:rFonts w:hint="eastAsia" w:ascii="等线" w:hAnsi="等线" w:eastAsia="等线" w:cs="Times New Roman"/>
                <w:color w:val="auto"/>
                <w:szCs w:val="21"/>
              </w:rPr>
            </w:pPr>
          </w:p>
        </w:tc>
        <w:tc>
          <w:tcPr>
            <w:tcW w:w="2363" w:type="pct"/>
            <w:vAlign w:val="center"/>
          </w:tcPr>
          <w:p w14:paraId="770319BC">
            <w:pPr>
              <w:spacing w:line="360" w:lineRule="auto"/>
              <w:jc w:val="center"/>
              <w:rPr>
                <w:rFonts w:ascii="Times New Roman" w:hAnsi="Times New Roman" w:eastAsia="宋体"/>
                <w:color w:val="auto"/>
                <w:szCs w:val="21"/>
              </w:rPr>
            </w:pPr>
            <m:oMathPara>
              <m:oMath>
                <m:sSub>
                  <m:sSubPr>
                    <m:ctrlPr>
                      <w:rPr>
                        <w:rFonts w:ascii="Cambria Math" w:hAnsi="Cambria Math"/>
                        <w:i/>
                        <w:color w:val="auto"/>
                      </w:rPr>
                    </m:ctrlPr>
                  </m:sSubPr>
                  <m:e>
                    <m:r>
                      <m:rPr/>
                      <w:rPr>
                        <w:rFonts w:hint="eastAsia" w:ascii="Cambria Math" w:hAnsi="Cambria Math"/>
                        <w:color w:val="auto"/>
                      </w:rPr>
                      <m:t>n</m:t>
                    </m:r>
                    <m:ctrlPr>
                      <w:rPr>
                        <w:rFonts w:ascii="Cambria Math" w:hAnsi="Cambria Math"/>
                        <w:i/>
                        <w:color w:val="auto"/>
                      </w:rPr>
                    </m:ctrlPr>
                  </m:e>
                  <m:sub>
                    <m:r>
                      <m:rPr/>
                      <w:rPr>
                        <w:rFonts w:ascii="Cambria Math" w:hAnsi="Cambria Math"/>
                        <w:color w:val="auto"/>
                      </w:rPr>
                      <m:t>f</m:t>
                    </m:r>
                    <m:ctrlPr>
                      <w:rPr>
                        <w:rFonts w:ascii="Cambria Math" w:hAnsi="Cambria Math"/>
                        <w:i/>
                        <w:color w:val="auto"/>
                      </w:rPr>
                    </m:ctrlPr>
                  </m:sub>
                </m:sSub>
                <m:r>
                  <m:rP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m:rPr/>
                          <w:rPr>
                            <w:rFonts w:ascii="Cambria Math" w:hAnsi="Cambria Math"/>
                            <w:color w:val="auto"/>
                          </w:rPr>
                          <m:t>V</m:t>
                        </m:r>
                        <m:ctrlPr>
                          <w:rPr>
                            <w:rFonts w:ascii="Cambria Math" w:hAnsi="Cambria Math"/>
                            <w:i/>
                            <w:color w:val="auto"/>
                          </w:rPr>
                        </m:ctrlPr>
                      </m:e>
                      <m:sub>
                        <m:r>
                          <m:rPr/>
                          <w:rPr>
                            <w:rFonts w:ascii="Cambria Math" w:hAnsi="Cambria Math" w:cs="Cambria Math"/>
                            <w:color w:val="auto"/>
                          </w:rPr>
                          <m:t>ℎ</m:t>
                        </m:r>
                        <m:ctrlPr>
                          <w:rPr>
                            <w:rFonts w:ascii="Cambria Math" w:hAnsi="Cambria Math"/>
                            <w:i/>
                            <w:color w:val="auto"/>
                          </w:rPr>
                        </m:ctrlPr>
                      </m:sub>
                    </m:sSub>
                    <m:ctrlPr>
                      <w:rPr>
                        <w:rFonts w:ascii="Cambria Math" w:hAnsi="Cambria Math"/>
                        <w:i/>
                        <w:color w:val="auto"/>
                      </w:rPr>
                    </m:ctrlPr>
                  </m:num>
                  <m:den>
                    <m:sSubSup>
                      <m:sSubSupPr>
                        <m:ctrlPr>
                          <w:rPr>
                            <w:rFonts w:ascii="Cambria Math" w:hAnsi="Cambria Math"/>
                            <w:i/>
                            <w:color w:val="auto"/>
                          </w:rPr>
                        </m:ctrlPr>
                      </m:sSubSupPr>
                      <m:e>
                        <m:r>
                          <m:rPr/>
                          <w:rPr>
                            <w:rFonts w:ascii="Cambria Math" w:hAnsi="Cambria Math"/>
                            <w:color w:val="auto"/>
                          </w:rPr>
                          <m:t>N</m:t>
                        </m:r>
                        <m:ctrlPr>
                          <w:rPr>
                            <w:rFonts w:ascii="Cambria Math" w:hAnsi="Cambria Math"/>
                            <w:i/>
                            <w:color w:val="auto"/>
                          </w:rPr>
                        </m:ctrlPr>
                      </m:e>
                      <m:sub>
                        <m:r>
                          <m:rPr/>
                          <w:rPr>
                            <w:rFonts w:ascii="Cambria Math" w:hAnsi="Cambria Math"/>
                            <w:color w:val="auto"/>
                          </w:rPr>
                          <m:t>v</m:t>
                        </m:r>
                        <m:ctrlPr>
                          <w:rPr>
                            <w:rFonts w:ascii="Cambria Math" w:hAnsi="Cambria Math"/>
                            <w:i/>
                            <w:color w:val="auto"/>
                          </w:rPr>
                        </m:ctrlPr>
                      </m:sub>
                      <m:sup>
                        <m:r>
                          <m:rPr/>
                          <w:rPr>
                            <w:rFonts w:ascii="Cambria Math" w:hAnsi="Cambria Math"/>
                            <w:color w:val="auto"/>
                          </w:rPr>
                          <m:t>c</m:t>
                        </m:r>
                        <m:ctrlPr>
                          <w:rPr>
                            <w:rFonts w:ascii="Cambria Math" w:hAnsi="Cambria Math"/>
                            <w:i/>
                            <w:color w:val="auto"/>
                          </w:rPr>
                        </m:ctrlPr>
                      </m:sup>
                    </m:sSubSup>
                    <m:ctrlPr>
                      <w:rPr>
                        <w:rFonts w:ascii="Cambria Math" w:hAnsi="Cambria Math"/>
                        <w:i/>
                        <w:color w:val="auto"/>
                      </w:rPr>
                    </m:ctrlPr>
                  </m:den>
                </m:f>
              </m:oMath>
            </m:oMathPara>
          </w:p>
        </w:tc>
        <w:tc>
          <w:tcPr>
            <w:tcW w:w="1273" w:type="pct"/>
            <w:vAlign w:val="center"/>
          </w:tcPr>
          <w:p w14:paraId="4CFF28D9">
            <w:pPr>
              <w:spacing w:line="360" w:lineRule="auto"/>
              <w:jc w:val="right"/>
              <w:rPr>
                <w:rFonts w:ascii="Times New Roman" w:hAnsi="Times New Roman" w:eastAsia="宋体"/>
                <w:color w:val="auto"/>
                <w:szCs w:val="21"/>
              </w:rPr>
            </w:pPr>
            <w:r>
              <w:rPr>
                <w:rFonts w:ascii="Times New Roman" w:hAnsi="Times New Roman" w:eastAsia="宋体"/>
                <w:color w:val="auto"/>
                <w:szCs w:val="21"/>
              </w:rPr>
              <w:t>(5.</w:t>
            </w:r>
            <w:r>
              <w:rPr>
                <w:rFonts w:hint="eastAsia" w:ascii="Times New Roman" w:hAnsi="Times New Roman" w:eastAsia="宋体"/>
                <w:color w:val="auto"/>
                <w:szCs w:val="21"/>
              </w:rPr>
              <w:t>5</w:t>
            </w:r>
            <w:r>
              <w:rPr>
                <w:rFonts w:ascii="Times New Roman" w:hAnsi="Times New Roman" w:eastAsia="宋体"/>
                <w:color w:val="auto"/>
                <w:szCs w:val="21"/>
              </w:rPr>
              <w:t>.1)</w:t>
            </w:r>
          </w:p>
        </w:tc>
      </w:tr>
      <w:tr w14:paraId="21FCD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tcPr>
          <w:p w14:paraId="63A22416">
            <w:pPr>
              <w:wordWrap w:val="0"/>
              <w:spacing w:line="360" w:lineRule="auto"/>
              <w:jc w:val="right"/>
              <w:rPr>
                <w:rFonts w:ascii="Times New Roman" w:hAnsi="Times New Roman" w:eastAsia="宋体"/>
                <w:color w:val="auto"/>
                <w:szCs w:val="21"/>
              </w:rPr>
            </w:pPr>
            <w:r>
              <w:rPr>
                <w:rFonts w:hint="eastAsia" w:ascii="Times New Roman" w:hAnsi="Times New Roman" w:eastAsia="宋体"/>
                <w:color w:val="auto"/>
                <w:szCs w:val="21"/>
              </w:rPr>
              <w:t xml:space="preserve">式中： </w:t>
            </w:r>
            <w:r>
              <w:rPr>
                <w:rFonts w:ascii="Times New Roman" w:hAnsi="Times New Roman" w:eastAsia="宋体"/>
                <w:color w:val="auto"/>
                <w:szCs w:val="21"/>
              </w:rPr>
              <w:t xml:space="preserve">     </w:t>
            </w:r>
            <m:oMath>
              <m:sSub>
                <m:sSubPr>
                  <m:ctrlPr>
                    <w:rPr>
                      <w:rFonts w:ascii="Cambria Math" w:hAnsi="Cambria Math"/>
                      <w:i/>
                      <w:color w:val="auto"/>
                    </w:rPr>
                  </m:ctrlPr>
                </m:sSubPr>
                <m:e>
                  <m:r>
                    <m:rPr/>
                    <w:rPr>
                      <w:rFonts w:ascii="Cambria Math" w:hAnsi="Cambria Math"/>
                      <w:color w:val="auto"/>
                    </w:rPr>
                    <m:t>V</m:t>
                  </m:r>
                  <m:ctrlPr>
                    <w:rPr>
                      <w:rFonts w:ascii="Cambria Math" w:hAnsi="Cambria Math"/>
                      <w:i/>
                      <w:color w:val="auto"/>
                    </w:rPr>
                  </m:ctrlPr>
                </m:e>
                <m:sub>
                  <m:r>
                    <m:rPr/>
                    <w:rPr>
                      <w:rFonts w:ascii="Cambria Math" w:hAnsi="Cambria Math" w:cs="Cambria Math"/>
                      <w:color w:val="auto"/>
                    </w:rPr>
                    <m:t>ℎ</m:t>
                  </m:r>
                  <m:ctrlPr>
                    <w:rPr>
                      <w:rFonts w:ascii="Cambria Math" w:hAnsi="Cambria Math"/>
                      <w:i/>
                      <w:color w:val="auto"/>
                    </w:rPr>
                  </m:ctrlPr>
                </m:sub>
              </m:sSub>
            </m:oMath>
          </w:p>
        </w:tc>
        <w:tc>
          <w:tcPr>
            <w:tcW w:w="3978" w:type="pct"/>
            <w:gridSpan w:val="3"/>
          </w:tcPr>
          <w:p w14:paraId="5E4F4452">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——倒“T”形组合式盖板结构内超高性能混凝土与普通混凝土交界面的纵向剪力（N）；</w:t>
            </w:r>
          </w:p>
        </w:tc>
      </w:tr>
      <w:tr w14:paraId="3C5D0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tcPr>
          <w:p w14:paraId="7D281ECD">
            <w:pPr>
              <w:spacing w:line="360" w:lineRule="auto"/>
              <w:jc w:val="right"/>
              <w:rPr>
                <w:rFonts w:ascii="Times New Roman" w:hAnsi="Times New Roman" w:eastAsia="宋体"/>
                <w:color w:val="auto"/>
                <w:szCs w:val="21"/>
              </w:rPr>
            </w:pPr>
            <m:oMathPara>
              <m:oMathParaPr>
                <m:jc m:val="right"/>
              </m:oMathParaPr>
              <m:oMath>
                <m:sSubSup>
                  <m:sSubSupPr>
                    <m:ctrlPr>
                      <w:rPr>
                        <w:rFonts w:ascii="Cambria Math" w:hAnsi="Cambria Math"/>
                        <w:i/>
                        <w:color w:val="auto"/>
                      </w:rPr>
                    </m:ctrlPr>
                  </m:sSubSupPr>
                  <m:e>
                    <m:r>
                      <m:rPr/>
                      <w:rPr>
                        <w:rFonts w:ascii="Cambria Math" w:hAnsi="Cambria Math"/>
                        <w:color w:val="auto"/>
                      </w:rPr>
                      <m:t>N</m:t>
                    </m:r>
                    <m:ctrlPr>
                      <w:rPr>
                        <w:rFonts w:ascii="Cambria Math" w:hAnsi="Cambria Math"/>
                        <w:i/>
                        <w:color w:val="auto"/>
                      </w:rPr>
                    </m:ctrlPr>
                  </m:e>
                  <m:sub>
                    <m:r>
                      <m:rPr/>
                      <w:rPr>
                        <w:rFonts w:ascii="Cambria Math" w:hAnsi="Cambria Math"/>
                        <w:color w:val="auto"/>
                      </w:rPr>
                      <m:t>v</m:t>
                    </m:r>
                    <m:ctrlPr>
                      <w:rPr>
                        <w:rFonts w:ascii="Cambria Math" w:hAnsi="Cambria Math"/>
                        <w:i/>
                        <w:color w:val="auto"/>
                      </w:rPr>
                    </m:ctrlPr>
                  </m:sub>
                  <m:sup>
                    <m:r>
                      <m:rPr/>
                      <w:rPr>
                        <w:rFonts w:ascii="Cambria Math" w:hAnsi="Cambria Math"/>
                        <w:color w:val="auto"/>
                      </w:rPr>
                      <m:t>c</m:t>
                    </m:r>
                    <m:ctrlPr>
                      <w:rPr>
                        <w:rFonts w:ascii="Cambria Math" w:hAnsi="Cambria Math"/>
                        <w:i/>
                        <w:color w:val="auto"/>
                      </w:rPr>
                    </m:ctrlPr>
                  </m:sup>
                </m:sSubSup>
              </m:oMath>
            </m:oMathPara>
          </w:p>
        </w:tc>
        <w:tc>
          <w:tcPr>
            <w:tcW w:w="3978" w:type="pct"/>
            <w:gridSpan w:val="3"/>
          </w:tcPr>
          <w:p w14:paraId="0732A127">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——单根抗剪钢筋的抗剪承载力设计值（N）。</w:t>
            </w:r>
          </w:p>
        </w:tc>
      </w:tr>
    </w:tbl>
    <w:p w14:paraId="56DF8219">
      <w:pPr>
        <w:numPr>
          <w:ilvl w:val="2"/>
          <w:numId w:val="0"/>
        </w:numPr>
        <w:spacing w:line="360" w:lineRule="auto"/>
        <w:outlineLvl w:val="2"/>
        <w:rPr>
          <w:rFonts w:ascii="Times New Roman" w:hAnsi="Times New Roman" w:eastAsia="宋体"/>
          <w:color w:val="auto"/>
          <w:szCs w:val="21"/>
        </w:rPr>
      </w:pPr>
      <w:r>
        <w:rPr>
          <w:rFonts w:ascii="Times New Roman" w:hAnsi="Times New Roman" w:eastAsia="宋体"/>
          <w:b/>
          <w:color w:val="auto"/>
          <w:szCs w:val="21"/>
        </w:rPr>
        <w:t>5</w:t>
      </w:r>
      <w:r>
        <w:rPr>
          <w:rFonts w:hint="eastAsia" w:ascii="Times New Roman" w:hAnsi="Times New Roman" w:eastAsia="宋体"/>
          <w:b/>
          <w:color w:val="auto"/>
          <w:szCs w:val="21"/>
        </w:rPr>
        <w:t xml:space="preserve">.5.2  </w:t>
      </w:r>
      <w:r>
        <w:rPr>
          <w:rFonts w:hint="eastAsia" w:ascii="Times New Roman" w:hAnsi="Times New Roman" w:eastAsia="宋体"/>
          <w:color w:val="auto"/>
          <w:szCs w:val="21"/>
        </w:rPr>
        <w:t>一个倒“T”形组合式盖板结构超高性能混凝土与普通混凝土交界面的纵向剪力</w:t>
      </w:r>
      <m:oMath>
        <m:sSub>
          <m:sSubPr>
            <m:ctrlPr>
              <w:rPr>
                <w:rFonts w:ascii="Cambria Math" w:hAnsi="Cambria Math"/>
                <w:i/>
                <w:color w:val="auto"/>
              </w:rPr>
            </m:ctrlPr>
          </m:sSubPr>
          <m:e>
            <m:r>
              <m:rPr/>
              <w:rPr>
                <w:rFonts w:ascii="Cambria Math" w:hAnsi="Cambria Math"/>
                <w:color w:val="auto"/>
              </w:rPr>
              <m:t>V</m:t>
            </m:r>
            <m:ctrlPr>
              <w:rPr>
                <w:rFonts w:ascii="Cambria Math" w:hAnsi="Cambria Math"/>
                <w:i/>
                <w:color w:val="auto"/>
              </w:rPr>
            </m:ctrlPr>
          </m:e>
          <m:sub>
            <m:r>
              <m:rPr/>
              <w:rPr>
                <w:rFonts w:ascii="Cambria Math" w:hAnsi="Cambria Math" w:cs="Cambria Math"/>
                <w:color w:val="auto"/>
              </w:rPr>
              <m:t>ℎ</m:t>
            </m:r>
            <m:ctrlPr>
              <w:rPr>
                <w:rFonts w:ascii="Cambria Math" w:hAnsi="Cambria Math"/>
                <w:i/>
                <w:color w:val="auto"/>
              </w:rPr>
            </m:ctrlPr>
          </m:sub>
        </m:sSub>
      </m:oMath>
      <w:r>
        <w:rPr>
          <w:rFonts w:hint="eastAsia" w:ascii="Times New Roman" w:hAnsi="Times New Roman" w:eastAsia="宋体"/>
          <w:color w:val="auto"/>
          <w:szCs w:val="21"/>
        </w:rPr>
        <w:t>可参照AASHTO LRFD规范提出的方法，仅考虑普通混凝土层与超高性能混凝土底板之间的界面剪力，将组合式盖板简化为矩形截面组合板，按式5.5.2-1至5.5.2-6确定：</w:t>
      </w:r>
    </w:p>
    <w:p w14:paraId="578ED3AB">
      <w:pPr>
        <w:numPr>
          <w:ilvl w:val="2"/>
          <w:numId w:val="0"/>
        </w:numPr>
        <w:spacing w:line="360" w:lineRule="auto"/>
        <w:jc w:val="center"/>
        <w:rPr>
          <w:rFonts w:ascii="Times New Roman" w:hAnsi="Times New Roman" w:eastAsia="宋体"/>
          <w:color w:val="auto"/>
          <w:szCs w:val="21"/>
        </w:rPr>
      </w:pPr>
      <w:r>
        <w:rPr>
          <w:color w:val="auto"/>
        </w:rPr>
        <w:drawing>
          <wp:inline distT="0" distB="0" distL="114300" distR="114300">
            <wp:extent cx="3599815" cy="2983865"/>
            <wp:effectExtent l="0" t="0" r="635" b="6985"/>
            <wp:docPr id="1"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9"/>
                    <pic:cNvPicPr>
                      <a:picLocks noChangeAspect="1"/>
                    </pic:cNvPicPr>
                  </pic:nvPicPr>
                  <pic:blipFill>
                    <a:blip r:embed="rId220"/>
                    <a:srcRect l="5360" t="6385" r="5023" b="3229"/>
                    <a:stretch>
                      <a:fillRect/>
                    </a:stretch>
                  </pic:blipFill>
                  <pic:spPr>
                    <a:xfrm>
                      <a:off x="0" y="0"/>
                      <a:ext cx="3599815" cy="2983865"/>
                    </a:xfrm>
                    <a:prstGeom prst="rect">
                      <a:avLst/>
                    </a:prstGeom>
                    <a:noFill/>
                    <a:ln>
                      <a:noFill/>
                    </a:ln>
                  </pic:spPr>
                </pic:pic>
              </a:graphicData>
            </a:graphic>
          </wp:inline>
        </w:drawing>
      </w:r>
    </w:p>
    <w:p w14:paraId="1D5B381E">
      <w:pPr>
        <w:numPr>
          <w:ilvl w:val="2"/>
          <w:numId w:val="0"/>
        </w:numPr>
        <w:spacing w:line="360" w:lineRule="auto"/>
        <w:jc w:val="center"/>
        <w:rPr>
          <w:rFonts w:ascii="Times New Roman" w:hAnsi="Times New Roman" w:eastAsia="宋体"/>
          <w:color w:val="auto"/>
          <w:szCs w:val="21"/>
        </w:rPr>
      </w:pPr>
      <w:r>
        <w:rPr>
          <w:rFonts w:hint="eastAsia" w:ascii="Times New Roman" w:hAnsi="Times New Roman" w:eastAsia="宋体"/>
          <w:color w:val="auto"/>
          <w:szCs w:val="21"/>
        </w:rPr>
        <w:t>图5.4.1 自由体受力示意图</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6"/>
        <w:gridCol w:w="143"/>
        <w:gridCol w:w="1300"/>
        <w:gridCol w:w="157"/>
        <w:gridCol w:w="4026"/>
        <w:gridCol w:w="2170"/>
      </w:tblGrid>
      <w:tr w14:paraId="6BE12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3" w:type="pct"/>
            <w:gridSpan w:val="3"/>
            <w:vAlign w:val="center"/>
          </w:tcPr>
          <w:p w14:paraId="4F848714">
            <w:pPr>
              <w:pStyle w:val="326"/>
              <w:jc w:val="center"/>
              <w:rPr>
                <w:color w:val="auto"/>
              </w:rPr>
            </w:pPr>
          </w:p>
        </w:tc>
        <w:tc>
          <w:tcPr>
            <w:tcW w:w="2454" w:type="pct"/>
            <w:gridSpan w:val="2"/>
            <w:vAlign w:val="center"/>
          </w:tcPr>
          <w:p w14:paraId="2A3EDC3D">
            <w:pPr>
              <w:pStyle w:val="326"/>
              <w:jc w:val="center"/>
              <w:rPr>
                <w:color w:val="auto"/>
              </w:rPr>
            </w:pPr>
            <w:r>
              <w:rPr>
                <w:rFonts w:hint="eastAsia"/>
                <w:color w:val="auto"/>
                <w:position w:val="-12"/>
              </w:rPr>
              <w:object>
                <v:shape id="_x0000_i1132" o:spt="75" type="#_x0000_t75" style="height:18pt;width:85.95pt;" o:ole="t" filled="f" o:preferrelative="t" stroked="f" coordsize="21600,21600">
                  <v:path/>
                  <v:fill on="f" focussize="0,0"/>
                  <v:stroke on="f" joinstyle="miter"/>
                  <v:imagedata r:id="rId222" o:title=""/>
                  <o:lock v:ext="edit" aspectratio="t"/>
                  <w10:wrap type="none"/>
                  <w10:anchorlock/>
                </v:shape>
                <o:OLEObject Type="Embed" ProgID="Equation.DSMT4" ShapeID="_x0000_i1132" DrawAspect="Content" ObjectID="_1468075832" r:id="rId221">
                  <o:LockedField>false</o:LockedField>
                </o:OLEObject>
              </w:object>
            </w:r>
          </w:p>
        </w:tc>
        <w:tc>
          <w:tcPr>
            <w:tcW w:w="1273" w:type="pct"/>
            <w:vAlign w:val="center"/>
          </w:tcPr>
          <w:p w14:paraId="4893DF0F">
            <w:pPr>
              <w:pStyle w:val="326"/>
              <w:jc w:val="right"/>
              <w:rPr>
                <w:color w:val="auto"/>
              </w:rPr>
            </w:pPr>
            <w:bookmarkStart w:id="76" w:name="OLE_LINK1"/>
            <w:r>
              <w:rPr>
                <w:rFonts w:hint="eastAsia"/>
                <w:color w:val="auto"/>
                <w:szCs w:val="21"/>
              </w:rPr>
              <w:t>(5.5.2-1)</w:t>
            </w:r>
            <w:bookmarkEnd w:id="76"/>
          </w:p>
        </w:tc>
      </w:tr>
      <w:tr w14:paraId="5E17D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3" w:type="pct"/>
            <w:gridSpan w:val="3"/>
            <w:vAlign w:val="center"/>
          </w:tcPr>
          <w:p w14:paraId="3790E2D6">
            <w:pPr>
              <w:pStyle w:val="326"/>
              <w:jc w:val="center"/>
              <w:rPr>
                <w:color w:val="auto"/>
              </w:rPr>
            </w:pPr>
          </w:p>
        </w:tc>
        <w:tc>
          <w:tcPr>
            <w:tcW w:w="2454" w:type="pct"/>
            <w:gridSpan w:val="2"/>
            <w:vAlign w:val="center"/>
          </w:tcPr>
          <w:p w14:paraId="4C5B1012">
            <w:pPr>
              <w:pStyle w:val="326"/>
              <w:jc w:val="center"/>
              <w:rPr>
                <w:color w:val="auto"/>
              </w:rPr>
            </w:pPr>
            <w:r>
              <w:rPr>
                <w:rFonts w:hint="eastAsia"/>
                <w:color w:val="auto"/>
                <w:position w:val="-12"/>
              </w:rPr>
              <w:object>
                <v:shape id="_x0000_i1133" o:spt="75" type="#_x0000_t75" style="height:18pt;width:70pt;" o:ole="t" filled="f" o:preferrelative="t" stroked="f" coordsize="21600,21600">
                  <v:path/>
                  <v:fill on="f" focussize="0,0"/>
                  <v:stroke on="f" joinstyle="miter"/>
                  <v:imagedata r:id="rId224" o:title=""/>
                  <o:lock v:ext="edit" aspectratio="t"/>
                  <w10:wrap type="none"/>
                  <w10:anchorlock/>
                </v:shape>
                <o:OLEObject Type="Embed" ProgID="Equation.DSMT4" ShapeID="_x0000_i1133" DrawAspect="Content" ObjectID="_1468075833" r:id="rId223">
                  <o:LockedField>false</o:LockedField>
                </o:OLEObject>
              </w:object>
            </w:r>
          </w:p>
        </w:tc>
        <w:tc>
          <w:tcPr>
            <w:tcW w:w="1273" w:type="pct"/>
            <w:vAlign w:val="center"/>
          </w:tcPr>
          <w:p w14:paraId="5C8464B2">
            <w:pPr>
              <w:pStyle w:val="326"/>
              <w:jc w:val="right"/>
              <w:rPr>
                <w:color w:val="auto"/>
                <w:szCs w:val="21"/>
              </w:rPr>
            </w:pPr>
            <w:r>
              <w:rPr>
                <w:rFonts w:hint="eastAsia"/>
                <w:color w:val="auto"/>
                <w:szCs w:val="21"/>
              </w:rPr>
              <w:t>(5.5.2-2)</w:t>
            </w:r>
          </w:p>
        </w:tc>
      </w:tr>
      <w:tr w14:paraId="0701B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3" w:type="pct"/>
            <w:gridSpan w:val="3"/>
            <w:vAlign w:val="center"/>
          </w:tcPr>
          <w:p w14:paraId="53DB9BE6">
            <w:pPr>
              <w:pStyle w:val="326"/>
              <w:jc w:val="center"/>
              <w:rPr>
                <w:color w:val="auto"/>
              </w:rPr>
            </w:pPr>
          </w:p>
        </w:tc>
        <w:tc>
          <w:tcPr>
            <w:tcW w:w="2454" w:type="pct"/>
            <w:gridSpan w:val="2"/>
            <w:vAlign w:val="center"/>
          </w:tcPr>
          <w:p w14:paraId="2AF89801">
            <w:pPr>
              <w:pStyle w:val="326"/>
              <w:jc w:val="center"/>
              <w:rPr>
                <w:color w:val="auto"/>
              </w:rPr>
            </w:pPr>
            <w:r>
              <w:rPr>
                <w:rFonts w:hint="eastAsia"/>
                <w:color w:val="auto"/>
                <w:position w:val="-30"/>
              </w:rPr>
              <w:object>
                <v:shape id="_x0000_i1134" o:spt="75" type="#_x0000_t75" style="height:34pt;width:84pt;" o:ole="t" filled="f" o:preferrelative="t" stroked="f" coordsize="21600,21600">
                  <v:path/>
                  <v:fill on="f" focussize="0,0"/>
                  <v:stroke on="f" joinstyle="miter"/>
                  <v:imagedata r:id="rId226" o:title=""/>
                  <o:lock v:ext="edit" aspectratio="t"/>
                  <w10:wrap type="none"/>
                  <w10:anchorlock/>
                </v:shape>
                <o:OLEObject Type="Embed" ProgID="Equation.DSMT4" ShapeID="_x0000_i1134" DrawAspect="Content" ObjectID="_1468075834" r:id="rId225">
                  <o:LockedField>false</o:LockedField>
                </o:OLEObject>
              </w:object>
            </w:r>
          </w:p>
        </w:tc>
        <w:tc>
          <w:tcPr>
            <w:tcW w:w="1273" w:type="pct"/>
            <w:vAlign w:val="center"/>
          </w:tcPr>
          <w:p w14:paraId="1DEC22DA">
            <w:pPr>
              <w:pStyle w:val="326"/>
              <w:jc w:val="right"/>
              <w:rPr>
                <w:color w:val="auto"/>
                <w:szCs w:val="21"/>
              </w:rPr>
            </w:pPr>
            <w:r>
              <w:rPr>
                <w:rFonts w:hint="eastAsia"/>
                <w:color w:val="auto"/>
                <w:szCs w:val="21"/>
              </w:rPr>
              <w:t>(5.5.2-3)</w:t>
            </w:r>
          </w:p>
        </w:tc>
      </w:tr>
      <w:tr w14:paraId="57D1B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3" w:type="pct"/>
            <w:gridSpan w:val="3"/>
            <w:vAlign w:val="center"/>
          </w:tcPr>
          <w:p w14:paraId="68332EDC">
            <w:pPr>
              <w:pStyle w:val="326"/>
              <w:jc w:val="center"/>
              <w:rPr>
                <w:color w:val="auto"/>
              </w:rPr>
            </w:pPr>
          </w:p>
        </w:tc>
        <w:tc>
          <w:tcPr>
            <w:tcW w:w="2454" w:type="pct"/>
            <w:gridSpan w:val="2"/>
            <w:vAlign w:val="center"/>
          </w:tcPr>
          <w:p w14:paraId="0E99AAD5">
            <w:pPr>
              <w:pStyle w:val="326"/>
              <w:jc w:val="center"/>
              <w:rPr>
                <w:color w:val="auto"/>
              </w:rPr>
            </w:pPr>
            <w:r>
              <w:rPr>
                <w:rFonts w:hint="eastAsia"/>
                <w:color w:val="auto"/>
                <w:position w:val="-12"/>
              </w:rPr>
              <w:object>
                <v:shape id="_x0000_i1135" o:spt="75" type="#_x0000_t75" style="height:18pt;width:67.95pt;" o:ole="t" filled="f" o:preferrelative="t" stroked="f" coordsize="21600,21600">
                  <v:path/>
                  <v:fill on="f" focussize="0,0"/>
                  <v:stroke on="f" joinstyle="miter"/>
                  <v:imagedata r:id="rId228" o:title=""/>
                  <o:lock v:ext="edit" aspectratio="t"/>
                  <w10:wrap type="none"/>
                  <w10:anchorlock/>
                </v:shape>
                <o:OLEObject Type="Embed" ProgID="Equation.DSMT4" ShapeID="_x0000_i1135" DrawAspect="Content" ObjectID="_1468075835" r:id="rId227">
                  <o:LockedField>false</o:LockedField>
                </o:OLEObject>
              </w:object>
            </w:r>
          </w:p>
        </w:tc>
        <w:tc>
          <w:tcPr>
            <w:tcW w:w="1273" w:type="pct"/>
            <w:vAlign w:val="center"/>
          </w:tcPr>
          <w:p w14:paraId="383B58FD">
            <w:pPr>
              <w:pStyle w:val="326"/>
              <w:jc w:val="right"/>
              <w:rPr>
                <w:color w:val="auto"/>
                <w:szCs w:val="21"/>
              </w:rPr>
            </w:pPr>
            <w:r>
              <w:rPr>
                <w:rFonts w:hint="eastAsia"/>
                <w:color w:val="auto"/>
                <w:szCs w:val="21"/>
              </w:rPr>
              <w:t>(5.5.2-4)</w:t>
            </w:r>
          </w:p>
        </w:tc>
      </w:tr>
      <w:tr w14:paraId="455E0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3" w:type="pct"/>
            <w:gridSpan w:val="3"/>
            <w:vAlign w:val="center"/>
          </w:tcPr>
          <w:p w14:paraId="2278D94E">
            <w:pPr>
              <w:pStyle w:val="326"/>
              <w:jc w:val="center"/>
              <w:rPr>
                <w:color w:val="auto"/>
              </w:rPr>
            </w:pPr>
          </w:p>
        </w:tc>
        <w:tc>
          <w:tcPr>
            <w:tcW w:w="2454" w:type="pct"/>
            <w:gridSpan w:val="2"/>
            <w:vAlign w:val="center"/>
          </w:tcPr>
          <w:p w14:paraId="11355297">
            <w:pPr>
              <w:pStyle w:val="326"/>
              <w:jc w:val="center"/>
              <w:rPr>
                <w:color w:val="auto"/>
              </w:rPr>
            </w:pPr>
            <w:r>
              <w:rPr>
                <w:rFonts w:hint="eastAsia"/>
                <w:color w:val="auto"/>
                <w:position w:val="-100"/>
              </w:rPr>
              <w:object>
                <v:shape id="_x0000_i1136" o:spt="75" type="#_x0000_t75" style="height:88pt;width:110pt;" o:ole="t" filled="f" o:preferrelative="t" stroked="f" coordsize="21600,21600">
                  <v:path/>
                  <v:fill on="f" focussize="0,0"/>
                  <v:stroke on="f" joinstyle="miter"/>
                  <v:imagedata r:id="rId230" o:title=""/>
                  <o:lock v:ext="edit" aspectratio="t"/>
                  <w10:wrap type="none"/>
                  <w10:anchorlock/>
                </v:shape>
                <o:OLEObject Type="Embed" ProgID="Equation.DSMT4" ShapeID="_x0000_i1136" DrawAspect="Content" ObjectID="_1468075836" r:id="rId229">
                  <o:LockedField>false</o:LockedField>
                </o:OLEObject>
              </w:object>
            </w:r>
          </w:p>
        </w:tc>
        <w:tc>
          <w:tcPr>
            <w:tcW w:w="1273" w:type="pct"/>
            <w:vAlign w:val="center"/>
          </w:tcPr>
          <w:p w14:paraId="45AE28BF">
            <w:pPr>
              <w:pStyle w:val="326"/>
              <w:jc w:val="right"/>
              <w:rPr>
                <w:color w:val="auto"/>
              </w:rPr>
            </w:pPr>
            <w:r>
              <w:rPr>
                <w:rFonts w:hint="eastAsia"/>
                <w:color w:val="auto"/>
                <w:szCs w:val="21"/>
              </w:rPr>
              <w:t>(5.5.2-5)</w:t>
            </w:r>
          </w:p>
        </w:tc>
      </w:tr>
      <w:tr w14:paraId="4020C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3" w:type="pct"/>
            <w:gridSpan w:val="3"/>
            <w:vAlign w:val="center"/>
          </w:tcPr>
          <w:p w14:paraId="42959D6A">
            <w:pPr>
              <w:pStyle w:val="326"/>
              <w:jc w:val="center"/>
              <w:rPr>
                <w:color w:val="auto"/>
              </w:rPr>
            </w:pPr>
          </w:p>
        </w:tc>
        <w:tc>
          <w:tcPr>
            <w:tcW w:w="2454" w:type="pct"/>
            <w:gridSpan w:val="2"/>
            <w:vAlign w:val="center"/>
          </w:tcPr>
          <w:p w14:paraId="00C4C773">
            <w:pPr>
              <w:pStyle w:val="326"/>
              <w:jc w:val="center"/>
              <w:rPr>
                <w:color w:val="auto"/>
              </w:rPr>
            </w:pPr>
            <w:r>
              <w:rPr>
                <w:rFonts w:hint="eastAsia"/>
                <w:color w:val="auto"/>
                <w:position w:val="-30"/>
              </w:rPr>
              <w:object>
                <v:shape id="_x0000_i1137" o:spt="75" type="#_x0000_t75" style="height:34pt;width:41pt;" o:ole="t" filled="f" o:preferrelative="t" stroked="f" coordsize="21600,21600">
                  <v:path/>
                  <v:fill on="f" focussize="0,0"/>
                  <v:stroke on="f" joinstyle="miter"/>
                  <v:imagedata r:id="rId232" o:title=""/>
                  <o:lock v:ext="edit" aspectratio="t"/>
                  <w10:wrap type="none"/>
                  <w10:anchorlock/>
                </v:shape>
                <o:OLEObject Type="Embed" ProgID="Equation.DSMT4" ShapeID="_x0000_i1137" DrawAspect="Content" ObjectID="_1468075837" r:id="rId231">
                  <o:LockedField>false</o:LockedField>
                </o:OLEObject>
              </w:object>
            </w:r>
          </w:p>
        </w:tc>
        <w:tc>
          <w:tcPr>
            <w:tcW w:w="1273" w:type="pct"/>
            <w:vAlign w:val="center"/>
          </w:tcPr>
          <w:p w14:paraId="18243563">
            <w:pPr>
              <w:pStyle w:val="326"/>
              <w:jc w:val="right"/>
              <w:rPr>
                <w:color w:val="auto"/>
                <w:szCs w:val="21"/>
              </w:rPr>
            </w:pPr>
            <w:r>
              <w:rPr>
                <w:rFonts w:hint="eastAsia"/>
                <w:color w:val="auto"/>
                <w:szCs w:val="21"/>
              </w:rPr>
              <w:t>(5.5.2-6)</w:t>
            </w:r>
          </w:p>
        </w:tc>
      </w:tr>
      <w:tr w14:paraId="48E42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0" w:type="pct"/>
            <w:gridSpan w:val="2"/>
            <w:vAlign w:val="center"/>
          </w:tcPr>
          <w:p w14:paraId="07E4E1BB">
            <w:pPr>
              <w:pStyle w:val="326"/>
              <w:jc w:val="center"/>
              <w:textAlignment w:val="auto"/>
              <w:rPr>
                <w:color w:val="auto"/>
              </w:rPr>
            </w:pPr>
            <w:r>
              <w:rPr>
                <w:rFonts w:hint="eastAsia"/>
                <w:color w:val="auto"/>
              </w:rPr>
              <w:t>式中：</w:t>
            </w:r>
          </w:p>
        </w:tc>
        <w:tc>
          <w:tcPr>
            <w:tcW w:w="854" w:type="pct"/>
            <w:gridSpan w:val="2"/>
            <w:vAlign w:val="center"/>
          </w:tcPr>
          <w:p w14:paraId="72B48432">
            <w:pPr>
              <w:pStyle w:val="326"/>
              <w:jc w:val="right"/>
              <w:textAlignment w:val="auto"/>
              <w:rPr>
                <w:b/>
                <w:bCs/>
                <w:color w:val="auto"/>
              </w:rPr>
            </w:pPr>
            <w:r>
              <w:rPr>
                <w:rFonts w:hint="eastAsia"/>
                <w:b/>
                <w:bCs/>
                <w:color w:val="auto"/>
                <w:position w:val="-12"/>
              </w:rPr>
              <w:object>
                <v:shape id="_x0000_i1138" o:spt="75" type="#_x0000_t75" style="height:18pt;width:22pt;" o:ole="t" filled="f" o:preferrelative="t" stroked="f" coordsize="21600,21600">
                  <v:path/>
                  <v:fill on="f" focussize="0,0"/>
                  <v:stroke on="f" joinstyle="miter"/>
                  <v:imagedata r:id="rId234" o:title=""/>
                  <o:lock v:ext="edit" aspectratio="t"/>
                  <w10:wrap type="none"/>
                  <w10:anchorlock/>
                </v:shape>
                <o:OLEObject Type="Embed" ProgID="Equation.DSMT4" ShapeID="_x0000_i1138" DrawAspect="Content" ObjectID="_1468075838" r:id="rId233">
                  <o:LockedField>false</o:LockedField>
                </o:OLEObject>
              </w:object>
            </w:r>
            <w:r>
              <w:rPr>
                <w:rFonts w:hint="eastAsia"/>
                <w:b/>
                <w:bCs/>
                <w:color w:val="auto"/>
              </w:rPr>
              <w:t>、</w:t>
            </w:r>
            <w:r>
              <w:rPr>
                <w:rFonts w:hint="eastAsia"/>
                <w:b/>
                <w:bCs/>
                <w:color w:val="auto"/>
                <w:position w:val="-12"/>
              </w:rPr>
              <w:object>
                <v:shape id="_x0000_i1139" o:spt="75" type="#_x0000_t75" style="height:18pt;width:22pt;" o:ole="t" filled="f" o:preferrelative="t" stroked="f" coordsize="21600,21600">
                  <v:path/>
                  <v:fill on="f" focussize="0,0"/>
                  <v:stroke on="f" joinstyle="miter"/>
                  <v:imagedata r:id="rId236" o:title=""/>
                  <o:lock v:ext="edit" aspectratio="t"/>
                  <w10:wrap type="none"/>
                  <w10:anchorlock/>
                </v:shape>
                <o:OLEObject Type="Embed" ProgID="Equation.DSMT4" ShapeID="_x0000_i1139" DrawAspect="Content" ObjectID="_1468075839" r:id="rId235">
                  <o:LockedField>false</o:LockedField>
                </o:OLEObject>
              </w:object>
            </w:r>
          </w:p>
        </w:tc>
        <w:tc>
          <w:tcPr>
            <w:tcW w:w="3635" w:type="pct"/>
            <w:gridSpan w:val="2"/>
            <w:vAlign w:val="center"/>
          </w:tcPr>
          <w:p w14:paraId="12405406">
            <w:pPr>
              <w:pStyle w:val="326"/>
              <w:textAlignment w:val="auto"/>
              <w:rPr>
                <w:b/>
                <w:bCs/>
                <w:color w:val="auto"/>
                <w:szCs w:val="21"/>
              </w:rPr>
            </w:pPr>
            <w:r>
              <w:rPr>
                <w:rFonts w:hint="eastAsia"/>
                <w:b/>
                <w:bCs/>
                <w:color w:val="auto"/>
                <w:szCs w:val="21"/>
              </w:rPr>
              <w:t>——</w:t>
            </w:r>
            <w:r>
              <w:rPr>
                <w:rFonts w:hint="eastAsia"/>
                <w:color w:val="auto"/>
              </w:rPr>
              <w:t>自由体右、左端弯矩；</w:t>
            </w:r>
          </w:p>
        </w:tc>
      </w:tr>
      <w:tr w14:paraId="7F88A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 w:type="pct"/>
            <w:vAlign w:val="center"/>
          </w:tcPr>
          <w:p w14:paraId="34639387">
            <w:pPr>
              <w:pStyle w:val="326"/>
              <w:jc w:val="center"/>
              <w:textAlignment w:val="auto"/>
              <w:rPr>
                <w:color w:val="auto"/>
              </w:rPr>
            </w:pPr>
          </w:p>
        </w:tc>
        <w:tc>
          <w:tcPr>
            <w:tcW w:w="939" w:type="pct"/>
            <w:gridSpan w:val="3"/>
            <w:vAlign w:val="center"/>
          </w:tcPr>
          <w:p w14:paraId="6B1F8492">
            <w:pPr>
              <w:pStyle w:val="326"/>
              <w:jc w:val="right"/>
              <w:textAlignment w:val="auto"/>
              <w:rPr>
                <w:b/>
                <w:bCs/>
                <w:color w:val="auto"/>
              </w:rPr>
            </w:pPr>
            <w:r>
              <w:rPr>
                <w:rFonts w:hint="eastAsia"/>
                <w:b/>
                <w:bCs/>
                <w:color w:val="auto"/>
                <w:position w:val="-12"/>
              </w:rPr>
              <w:object>
                <v:shape id="_x0000_i1140" o:spt="75" type="#_x0000_t75" style="height:18pt;width:16pt;" o:ole="t" filled="f" o:preferrelative="t" stroked="f" coordsize="21600,21600">
                  <v:path/>
                  <v:fill on="f" focussize="0,0"/>
                  <v:stroke on="f" joinstyle="miter"/>
                  <v:imagedata r:id="rId238" o:title=""/>
                  <o:lock v:ext="edit" aspectratio="t"/>
                  <w10:wrap type="none"/>
                  <w10:anchorlock/>
                </v:shape>
                <o:OLEObject Type="Embed" ProgID="Equation.DSMT4" ShapeID="_x0000_i1140" DrawAspect="Content" ObjectID="_1468075840" r:id="rId237">
                  <o:LockedField>false</o:LockedField>
                </o:OLEObject>
              </w:object>
            </w:r>
            <w:r>
              <w:rPr>
                <w:rFonts w:hint="eastAsia"/>
                <w:b/>
                <w:bCs/>
                <w:color w:val="auto"/>
              </w:rPr>
              <w:t>、</w:t>
            </w:r>
            <w:r>
              <w:rPr>
                <w:rFonts w:hint="eastAsia"/>
                <w:b/>
                <w:bCs/>
                <w:color w:val="auto"/>
                <w:position w:val="-12"/>
              </w:rPr>
              <w:object>
                <v:shape id="_x0000_i1141" o:spt="75" type="#_x0000_t75" style="height:18pt;width:17pt;" o:ole="t" filled="f" o:preferrelative="t" stroked="f" coordsize="21600,21600">
                  <v:path/>
                  <v:fill on="f" focussize="0,0"/>
                  <v:stroke on="f" joinstyle="miter"/>
                  <v:imagedata r:id="rId240" o:title=""/>
                  <o:lock v:ext="edit" aspectratio="t"/>
                  <w10:wrap type="none"/>
                  <w10:anchorlock/>
                </v:shape>
                <o:OLEObject Type="Embed" ProgID="Equation.DSMT4" ShapeID="_x0000_i1141" DrawAspect="Content" ObjectID="_1468075841" r:id="rId239">
                  <o:LockedField>false</o:LockedField>
                </o:OLEObject>
              </w:object>
            </w:r>
          </w:p>
        </w:tc>
        <w:tc>
          <w:tcPr>
            <w:tcW w:w="3635" w:type="pct"/>
            <w:gridSpan w:val="2"/>
            <w:vAlign w:val="center"/>
          </w:tcPr>
          <w:p w14:paraId="332DCFC6">
            <w:pPr>
              <w:pStyle w:val="326"/>
              <w:textAlignment w:val="auto"/>
              <w:rPr>
                <w:b/>
                <w:bCs/>
                <w:color w:val="auto"/>
                <w:szCs w:val="21"/>
              </w:rPr>
            </w:pPr>
            <w:r>
              <w:rPr>
                <w:rFonts w:hint="eastAsia"/>
                <w:b/>
                <w:bCs/>
                <w:color w:val="auto"/>
                <w:szCs w:val="21"/>
              </w:rPr>
              <w:t>——</w:t>
            </w:r>
            <w:r>
              <w:rPr>
                <w:rFonts w:hint="eastAsia"/>
                <w:color w:val="auto"/>
              </w:rPr>
              <w:t>自由体右、左端剪力；</w:t>
            </w:r>
          </w:p>
        </w:tc>
      </w:tr>
      <w:tr w14:paraId="22C68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 w:type="pct"/>
            <w:vAlign w:val="center"/>
          </w:tcPr>
          <w:p w14:paraId="5A2D55C0">
            <w:pPr>
              <w:pStyle w:val="326"/>
              <w:jc w:val="center"/>
              <w:textAlignment w:val="auto"/>
              <w:rPr>
                <w:color w:val="auto"/>
              </w:rPr>
            </w:pPr>
          </w:p>
        </w:tc>
        <w:tc>
          <w:tcPr>
            <w:tcW w:w="939" w:type="pct"/>
            <w:gridSpan w:val="3"/>
            <w:vAlign w:val="center"/>
          </w:tcPr>
          <w:p w14:paraId="183F963F">
            <w:pPr>
              <w:pStyle w:val="326"/>
              <w:jc w:val="right"/>
              <w:textAlignment w:val="auto"/>
              <w:rPr>
                <w:color w:val="auto"/>
              </w:rPr>
            </w:pPr>
            <w:r>
              <w:rPr>
                <w:rFonts w:hint="eastAsia"/>
                <w:color w:val="auto"/>
                <w:position w:val="-12"/>
              </w:rPr>
              <w:object>
                <v:shape id="_x0000_i1142" o:spt="75" type="#_x0000_t75" style="height:18pt;width:18pt;" o:ole="t" filled="f" o:preferrelative="t" stroked="f" coordsize="21600,21600">
                  <v:path/>
                  <v:fill on="f" focussize="0,0"/>
                  <v:stroke on="f" joinstyle="miter"/>
                  <v:imagedata r:id="rId242" o:title=""/>
                  <o:lock v:ext="edit" aspectratio="t"/>
                  <w10:wrap type="none"/>
                  <w10:anchorlock/>
                </v:shape>
                <o:OLEObject Type="Embed" ProgID="Equation.DSMT4" ShapeID="_x0000_i1142" DrawAspect="Content" ObjectID="_1468075842" r:id="rId241">
                  <o:LockedField>false</o:LockedField>
                </o:OLEObject>
              </w:object>
            </w:r>
            <w:r>
              <w:rPr>
                <w:rFonts w:hint="eastAsia"/>
                <w:color w:val="auto"/>
              </w:rPr>
              <w:t>、</w:t>
            </w:r>
            <w:r>
              <w:rPr>
                <w:rFonts w:hint="eastAsia"/>
                <w:color w:val="auto"/>
                <w:position w:val="-12"/>
              </w:rPr>
              <w:object>
                <v:shape id="_x0000_i1143" o:spt="75" type="#_x0000_t75" style="height:18pt;width:19pt;" o:ole="t" filled="f" o:preferrelative="t" stroked="f" coordsize="21600,21600">
                  <v:path/>
                  <v:fill on="f" focussize="0,0"/>
                  <v:stroke on="f" joinstyle="miter"/>
                  <v:imagedata r:id="rId244" o:title=""/>
                  <o:lock v:ext="edit" aspectratio="t"/>
                  <w10:wrap type="none"/>
                  <w10:anchorlock/>
                </v:shape>
                <o:OLEObject Type="Embed" ProgID="Equation.DSMT4" ShapeID="_x0000_i1143" DrawAspect="Content" ObjectID="_1468075843" r:id="rId243">
                  <o:LockedField>false</o:LockedField>
                </o:OLEObject>
              </w:object>
            </w:r>
          </w:p>
        </w:tc>
        <w:tc>
          <w:tcPr>
            <w:tcW w:w="3635" w:type="pct"/>
            <w:gridSpan w:val="2"/>
            <w:vAlign w:val="center"/>
          </w:tcPr>
          <w:p w14:paraId="5A73AD27">
            <w:pPr>
              <w:pStyle w:val="326"/>
              <w:textAlignment w:val="auto"/>
              <w:rPr>
                <w:color w:val="auto"/>
                <w:szCs w:val="21"/>
              </w:rPr>
            </w:pPr>
            <w:r>
              <w:rPr>
                <w:rFonts w:hint="eastAsia"/>
                <w:color w:val="auto"/>
                <w:szCs w:val="21"/>
              </w:rPr>
              <w:t>——</w:t>
            </w:r>
            <w:r>
              <w:rPr>
                <w:rFonts w:hint="eastAsia"/>
                <w:color w:val="auto"/>
              </w:rPr>
              <w:t>自由体右、左端压力；</w:t>
            </w:r>
          </w:p>
        </w:tc>
      </w:tr>
      <w:tr w14:paraId="3CEB5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 w:type="pct"/>
            <w:vAlign w:val="center"/>
          </w:tcPr>
          <w:p w14:paraId="376133B5">
            <w:pPr>
              <w:pStyle w:val="326"/>
              <w:jc w:val="center"/>
              <w:textAlignment w:val="auto"/>
              <w:rPr>
                <w:color w:val="auto"/>
              </w:rPr>
            </w:pPr>
          </w:p>
        </w:tc>
        <w:tc>
          <w:tcPr>
            <w:tcW w:w="939" w:type="pct"/>
            <w:gridSpan w:val="3"/>
            <w:vAlign w:val="center"/>
          </w:tcPr>
          <w:p w14:paraId="27096984">
            <w:pPr>
              <w:pStyle w:val="326"/>
              <w:jc w:val="right"/>
              <w:textAlignment w:val="auto"/>
              <w:rPr>
                <w:color w:val="auto"/>
              </w:rPr>
            </w:pPr>
            <w:r>
              <w:rPr>
                <w:rFonts w:hint="eastAsia"/>
                <w:color w:val="auto"/>
                <w:position w:val="-6"/>
              </w:rPr>
              <w:object>
                <v:shape id="_x0000_i1144" o:spt="75" type="#_x0000_t75" style="height:13.95pt;width:15pt;" o:ole="t" filled="f" o:preferrelative="t" stroked="f" coordsize="21600,21600">
                  <v:path/>
                  <v:fill on="f" focussize="0,0"/>
                  <v:stroke on="f" joinstyle="miter"/>
                  <v:imagedata r:id="rId180" o:title=""/>
                  <o:lock v:ext="edit" aspectratio="t"/>
                  <w10:wrap type="none"/>
                  <w10:anchorlock/>
                </v:shape>
                <o:OLEObject Type="Embed" ProgID="Equation.DSMT4" ShapeID="_x0000_i1144" DrawAspect="Content" ObjectID="_1468075844" r:id="rId245">
                  <o:LockedField>false</o:LockedField>
                </o:OLEObject>
              </w:object>
            </w:r>
          </w:p>
        </w:tc>
        <w:tc>
          <w:tcPr>
            <w:tcW w:w="3635" w:type="pct"/>
            <w:gridSpan w:val="2"/>
            <w:vAlign w:val="center"/>
          </w:tcPr>
          <w:p w14:paraId="2F21C0B9">
            <w:pPr>
              <w:pStyle w:val="326"/>
              <w:textAlignment w:val="auto"/>
              <w:rPr>
                <w:color w:val="auto"/>
                <w:szCs w:val="21"/>
              </w:rPr>
            </w:pPr>
            <w:r>
              <w:rPr>
                <w:rFonts w:hint="eastAsia"/>
                <w:color w:val="auto"/>
                <w:szCs w:val="21"/>
              </w:rPr>
              <w:t>——</w:t>
            </w:r>
            <w:r>
              <w:rPr>
                <w:rFonts w:hint="eastAsia"/>
                <w:color w:val="auto"/>
              </w:rPr>
              <w:t>自由体长度；</w:t>
            </w:r>
          </w:p>
        </w:tc>
      </w:tr>
      <w:tr w14:paraId="14CAF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 w:type="pct"/>
            <w:vAlign w:val="center"/>
          </w:tcPr>
          <w:p w14:paraId="0E3CE7AB">
            <w:pPr>
              <w:pStyle w:val="326"/>
              <w:jc w:val="center"/>
              <w:textAlignment w:val="auto"/>
              <w:rPr>
                <w:color w:val="auto"/>
              </w:rPr>
            </w:pPr>
          </w:p>
        </w:tc>
        <w:tc>
          <w:tcPr>
            <w:tcW w:w="939" w:type="pct"/>
            <w:gridSpan w:val="3"/>
            <w:vAlign w:val="center"/>
          </w:tcPr>
          <w:p w14:paraId="5190554D">
            <w:pPr>
              <w:pStyle w:val="326"/>
              <w:jc w:val="right"/>
              <w:textAlignment w:val="auto"/>
              <w:rPr>
                <w:color w:val="auto"/>
              </w:rPr>
            </w:pPr>
            <w:r>
              <w:rPr>
                <w:rFonts w:hint="eastAsia"/>
                <w:color w:val="auto"/>
                <w:position w:val="-12"/>
              </w:rPr>
              <w:object>
                <v:shape id="_x0000_i1145" o:spt="75" type="#_x0000_t75" style="height:18pt;width:13.95pt;" o:ole="t" filled="f" o:preferrelative="t" stroked="f" coordsize="21600,21600">
                  <v:path/>
                  <v:fill on="f" focussize="0,0"/>
                  <v:stroke on="f" joinstyle="miter"/>
                  <v:imagedata r:id="rId184" o:title=""/>
                  <o:lock v:ext="edit" aspectratio="t"/>
                  <w10:wrap type="none"/>
                  <w10:anchorlock/>
                </v:shape>
                <o:OLEObject Type="Embed" ProgID="Equation.DSMT4" ShapeID="_x0000_i1145" DrawAspect="Content" ObjectID="_1468075845" r:id="rId246">
                  <o:LockedField>false</o:LockedField>
                </o:OLEObject>
              </w:object>
            </w:r>
          </w:p>
        </w:tc>
        <w:tc>
          <w:tcPr>
            <w:tcW w:w="3635" w:type="pct"/>
            <w:gridSpan w:val="2"/>
            <w:vAlign w:val="center"/>
          </w:tcPr>
          <w:p w14:paraId="29253E12">
            <w:pPr>
              <w:pStyle w:val="326"/>
              <w:rPr>
                <w:color w:val="auto"/>
                <w:szCs w:val="21"/>
              </w:rPr>
            </w:pPr>
            <w:r>
              <w:rPr>
                <w:rFonts w:hint="eastAsia"/>
                <w:color w:val="auto"/>
                <w:szCs w:val="21"/>
              </w:rPr>
              <w:t>——压力作用线与底部受拉钢筋的竖向距离。</w:t>
            </w:r>
          </w:p>
        </w:tc>
      </w:tr>
    </w:tbl>
    <w:p w14:paraId="46BAFCDA">
      <w:pPr>
        <w:numPr>
          <w:ilvl w:val="2"/>
          <w:numId w:val="0"/>
        </w:numPr>
        <w:spacing w:line="360" w:lineRule="auto"/>
        <w:outlineLvl w:val="2"/>
        <w:rPr>
          <w:rFonts w:ascii="Times New Roman" w:hAnsi="Times New Roman" w:eastAsia="宋体"/>
          <w:color w:val="auto"/>
          <w:szCs w:val="21"/>
        </w:rPr>
      </w:pPr>
      <w:r>
        <w:rPr>
          <w:rFonts w:ascii="Times New Roman" w:hAnsi="Times New Roman" w:eastAsia="宋体"/>
          <w:b/>
          <w:color w:val="auto"/>
          <w:szCs w:val="21"/>
        </w:rPr>
        <w:t>5.</w:t>
      </w:r>
      <w:r>
        <w:rPr>
          <w:rFonts w:hint="eastAsia" w:ascii="Times New Roman" w:hAnsi="Times New Roman" w:eastAsia="宋体"/>
          <w:b/>
          <w:color w:val="auto"/>
          <w:szCs w:val="21"/>
        </w:rPr>
        <w:t xml:space="preserve">5.3  </w:t>
      </w:r>
      <w:r>
        <w:rPr>
          <w:rFonts w:hint="eastAsia" w:ascii="Times New Roman" w:hAnsi="Times New Roman" w:eastAsia="宋体"/>
          <w:color w:val="auto"/>
          <w:szCs w:val="21"/>
        </w:rPr>
        <w:t>根据（式</w:t>
      </w:r>
      <w:r>
        <w:rPr>
          <w:rFonts w:ascii="Times New Roman" w:hAnsi="Times New Roman" w:eastAsia="宋体"/>
          <w:color w:val="auto"/>
          <w:szCs w:val="21"/>
        </w:rPr>
        <w:t>5.</w:t>
      </w:r>
      <w:r>
        <w:rPr>
          <w:rFonts w:hint="eastAsia" w:ascii="Times New Roman" w:hAnsi="Times New Roman" w:eastAsia="宋体"/>
          <w:color w:val="auto"/>
          <w:szCs w:val="21"/>
        </w:rPr>
        <w:t>5.1）计算得到的抗剪连接件的数目</w:t>
      </w:r>
      <m:oMath>
        <m:sSub>
          <m:sSubPr>
            <m:ctrlPr>
              <w:rPr>
                <w:rFonts w:ascii="Cambria Math" w:hAnsi="Cambria Math" w:cs="Times New Roman"/>
                <w:color w:val="auto"/>
              </w:rPr>
            </m:ctrlPr>
          </m:sSubPr>
          <m:e>
            <m:r>
              <m:rPr/>
              <w:rPr>
                <w:rFonts w:ascii="Cambria Math" w:hAnsi="Cambria Math" w:cs="Times New Roman"/>
                <w:color w:val="auto"/>
              </w:rPr>
              <m:t>n</m:t>
            </m:r>
            <m:ctrlPr>
              <w:rPr>
                <w:rFonts w:ascii="Cambria Math" w:hAnsi="Cambria Math" w:cs="Times New Roman"/>
                <w:color w:val="auto"/>
              </w:rPr>
            </m:ctrlPr>
          </m:e>
          <m:sub>
            <m:r>
              <m:rPr/>
              <w:rPr>
                <w:rFonts w:ascii="Cambria Math" w:hAnsi="Cambria Math" w:cs="Times New Roman"/>
                <w:color w:val="auto"/>
              </w:rPr>
              <m:t>f</m:t>
            </m:r>
            <m:ctrlPr>
              <w:rPr>
                <w:rFonts w:ascii="Cambria Math" w:hAnsi="Cambria Math" w:cs="Times New Roman"/>
                <w:color w:val="auto"/>
              </w:rPr>
            </m:ctrlPr>
          </m:sub>
        </m:sSub>
      </m:oMath>
      <w:r>
        <w:rPr>
          <w:rFonts w:hint="eastAsia" w:ascii="Times New Roman" w:hAnsi="Times New Roman" w:eastAsia="宋体"/>
          <w:color w:val="auto"/>
          <w:szCs w:val="21"/>
        </w:rPr>
        <w:t>在组合式盖板结构跨中截面至梁端均匀布置。</w:t>
      </w:r>
    </w:p>
    <w:p w14:paraId="0E8302E0">
      <w:pPr>
        <w:pStyle w:val="326"/>
        <w:rPr>
          <w:color w:val="auto"/>
        </w:rPr>
      </w:pPr>
    </w:p>
    <w:p w14:paraId="53121062">
      <w:pPr>
        <w:pStyle w:val="326"/>
        <w:rPr>
          <w:color w:val="auto"/>
        </w:rPr>
      </w:pPr>
    </w:p>
    <w:p w14:paraId="770B649A">
      <w:pPr>
        <w:rPr>
          <w:rFonts w:hint="eastAsia"/>
          <w:color w:val="auto"/>
        </w:rPr>
      </w:pPr>
      <w:r>
        <w:rPr>
          <w:color w:val="auto"/>
        </w:rPr>
        <w:br w:type="page"/>
      </w:r>
    </w:p>
    <w:p w14:paraId="0B1F6275">
      <w:pPr>
        <w:pStyle w:val="2"/>
        <w:spacing w:before="312" w:after="312"/>
        <w:rPr>
          <w:color w:val="auto"/>
        </w:rPr>
      </w:pPr>
      <w:bookmarkStart w:id="77" w:name="_Toc14824"/>
      <w:bookmarkStart w:id="78" w:name="_Toc13491"/>
      <w:bookmarkStart w:id="79" w:name="_Toc22290"/>
      <w:r>
        <w:rPr>
          <w:rFonts w:hint="eastAsia"/>
          <w:color w:val="auto"/>
        </w:rPr>
        <w:t>6  持久状况正常使用极限状态计算</w:t>
      </w:r>
      <w:bookmarkEnd w:id="77"/>
      <w:bookmarkEnd w:id="78"/>
      <w:bookmarkEnd w:id="79"/>
    </w:p>
    <w:p w14:paraId="4E10D561">
      <w:pPr>
        <w:pStyle w:val="3"/>
        <w:rPr>
          <w:color w:val="auto"/>
        </w:rPr>
      </w:pPr>
      <w:bookmarkStart w:id="80" w:name="_Toc17554"/>
      <w:bookmarkStart w:id="81" w:name="_Toc1804"/>
      <w:bookmarkStart w:id="82" w:name="_Toc3855"/>
      <w:r>
        <w:rPr>
          <w:rFonts w:hint="eastAsia"/>
          <w:color w:val="auto"/>
        </w:rPr>
        <w:t>6.1  一般规定</w:t>
      </w:r>
      <w:bookmarkEnd w:id="80"/>
      <w:bookmarkEnd w:id="81"/>
      <w:bookmarkEnd w:id="82"/>
    </w:p>
    <w:p w14:paraId="76D6D0E3">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color w:val="auto"/>
          <w:szCs w:val="21"/>
        </w:rPr>
        <w:t xml:space="preserve">6.1.1  </w:t>
      </w:r>
      <w:r>
        <w:rPr>
          <w:rFonts w:hint="eastAsia" w:ascii="Times New Roman" w:hAnsi="Times New Roman" w:eastAsia="宋体"/>
          <w:color w:val="auto"/>
          <w:szCs w:val="21"/>
        </w:rPr>
        <w:t>超高性能混凝土－普通混凝土组合式盖板结构的持久状况设计应按正常使用极限状态的要求，采用作用频遇组合、作用准永久组合或作用频遇组合并考虑作用长期效应的影响，对构件的抗裂、裂缝宽度和挠度进行验算，各项计算值不应超过本规程规定的相应限值。上述的各种组合中，汽车荷载效应可不计冲击系数。</w:t>
      </w:r>
    </w:p>
    <w:p w14:paraId="2A188ED3">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color w:val="auto"/>
          <w:szCs w:val="21"/>
        </w:rPr>
        <w:t>6.1.2  计算超高性能混凝土－普通混凝土组合式盖板结构的挠度和应力时应计入施工顺序的影响，并应计入混凝土徐变、收缩以及温度等作用的影响。</w:t>
      </w:r>
    </w:p>
    <w:p w14:paraId="0B2BFFF5">
      <w:pPr>
        <w:pStyle w:val="3"/>
        <w:rPr>
          <w:color w:val="auto"/>
        </w:rPr>
      </w:pPr>
      <w:bookmarkStart w:id="83" w:name="_Toc7019"/>
      <w:bookmarkStart w:id="84" w:name="_Toc19476"/>
      <w:bookmarkStart w:id="85" w:name="_Toc26647"/>
      <w:r>
        <w:rPr>
          <w:rFonts w:hint="eastAsia"/>
          <w:color w:val="auto"/>
        </w:rPr>
        <w:t>6.2  裂缝宽度验算</w:t>
      </w:r>
      <w:bookmarkEnd w:id="83"/>
      <w:bookmarkEnd w:id="84"/>
      <w:bookmarkEnd w:id="85"/>
    </w:p>
    <w:p w14:paraId="32072289">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color w:val="auto"/>
          <w:szCs w:val="21"/>
        </w:rPr>
        <w:t xml:space="preserve">6.2.1  </w:t>
      </w:r>
      <w:r>
        <w:rPr>
          <w:rFonts w:hint="eastAsia" w:ascii="Times New Roman" w:hAnsi="Times New Roman" w:eastAsia="宋体"/>
          <w:color w:val="auto"/>
          <w:szCs w:val="21"/>
        </w:rPr>
        <w:t>超高性能混凝土－普通混凝土组合式盖板结构应按作用频遇组合并考虑长期效应的影响验算裂缝宽度。</w:t>
      </w:r>
    </w:p>
    <w:p w14:paraId="56C4B504">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color w:val="auto"/>
          <w:szCs w:val="21"/>
        </w:rPr>
        <w:t xml:space="preserve">6.2.2  </w:t>
      </w:r>
      <w:r>
        <w:rPr>
          <w:rFonts w:hint="eastAsia" w:ascii="Times New Roman" w:hAnsi="Times New Roman" w:eastAsia="宋体"/>
          <w:color w:val="auto"/>
          <w:szCs w:val="21"/>
        </w:rPr>
        <w:t>当组合式盖板结构的超高性能混凝土的拉应力不大于</w:t>
      </w:r>
      <m:oMath>
        <m:f>
          <m:fPr>
            <m:type m:val="lin"/>
            <m:ctrlPr>
              <w:rPr>
                <w:rFonts w:ascii="Cambria Math" w:hAnsi="Cambria Math"/>
                <w:color w:val="auto"/>
              </w:rPr>
            </m:ctrlPr>
          </m:fPr>
          <m:num>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ftk</m:t>
                </m:r>
                <m:ctrlPr>
                  <w:rPr>
                    <w:rFonts w:ascii="Cambria Math" w:hAnsi="Cambria Math"/>
                    <w:i/>
                    <w:color w:val="auto"/>
                  </w:rPr>
                </m:ctrlPr>
              </m:sub>
            </m:sSub>
            <m:ctrlPr>
              <w:rPr>
                <w:rFonts w:ascii="Cambria Math" w:hAnsi="Cambria Math"/>
                <w:color w:val="auto"/>
              </w:rPr>
            </m:ctrlPr>
          </m:num>
          <m:den>
            <m:sSub>
              <m:sSubPr>
                <m:ctrlPr>
                  <w:rPr>
                    <w:rFonts w:ascii="Cambria Math" w:hAnsi="Cambria Math"/>
                    <w:i/>
                    <w:color w:val="auto"/>
                  </w:rPr>
                </m:ctrlPr>
              </m:sSubPr>
              <m:e>
                <m:r>
                  <m:rPr/>
                  <w:rPr>
                    <w:rFonts w:ascii="Cambria Math" w:hAnsi="Cambria Math"/>
                    <w:color w:val="auto"/>
                  </w:rPr>
                  <m:t>K</m:t>
                </m:r>
                <m:ctrlPr>
                  <w:rPr>
                    <w:rFonts w:ascii="Cambria Math" w:hAnsi="Cambria Math"/>
                    <w:i/>
                    <w:color w:val="auto"/>
                  </w:rPr>
                </m:ctrlPr>
              </m:e>
              <m:sub>
                <m:r>
                  <m:rPr/>
                  <w:rPr>
                    <w:rFonts w:ascii="Cambria Math" w:hAnsi="Cambria Math"/>
                    <w:color w:val="auto"/>
                  </w:rPr>
                  <m:t>global</m:t>
                </m:r>
                <m:ctrlPr>
                  <w:rPr>
                    <w:rFonts w:ascii="Cambria Math" w:hAnsi="Cambria Math"/>
                    <w:i/>
                    <w:color w:val="auto"/>
                  </w:rPr>
                </m:ctrlPr>
              </m:sub>
            </m:sSub>
            <m:ctrlPr>
              <w:rPr>
                <w:rFonts w:ascii="Cambria Math" w:hAnsi="Cambria Math"/>
                <w:color w:val="auto"/>
              </w:rPr>
            </m:ctrlPr>
          </m:den>
        </m:f>
      </m:oMath>
      <w:r>
        <w:rPr>
          <w:rFonts w:hint="eastAsia" w:ascii="Times New Roman" w:hAnsi="Times New Roman" w:eastAsia="宋体"/>
          <w:color w:val="auto"/>
          <w:szCs w:val="21"/>
        </w:rPr>
        <w:t>时，可不验算钢筋超高性能混凝土构件裂缝宽度；当组合式盖板结构的超高性能混凝土的拉应力大于</w:t>
      </w:r>
      <m:oMath>
        <m:f>
          <m:fPr>
            <m:type m:val="lin"/>
            <m:ctrlPr>
              <w:rPr>
                <w:rFonts w:ascii="Cambria Math" w:hAnsi="Cambria Math"/>
                <w:color w:val="auto"/>
              </w:rPr>
            </m:ctrlPr>
          </m:fPr>
          <m:num>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ftk</m:t>
                </m:r>
                <m:ctrlPr>
                  <w:rPr>
                    <w:rFonts w:ascii="Cambria Math" w:hAnsi="Cambria Math"/>
                    <w:i/>
                    <w:color w:val="auto"/>
                  </w:rPr>
                </m:ctrlPr>
              </m:sub>
            </m:sSub>
            <m:ctrlPr>
              <w:rPr>
                <w:rFonts w:ascii="Cambria Math" w:hAnsi="Cambria Math"/>
                <w:color w:val="auto"/>
              </w:rPr>
            </m:ctrlPr>
          </m:num>
          <m:den>
            <m:sSub>
              <m:sSubPr>
                <m:ctrlPr>
                  <w:rPr>
                    <w:rFonts w:ascii="Cambria Math" w:hAnsi="Cambria Math"/>
                    <w:i/>
                    <w:color w:val="auto"/>
                  </w:rPr>
                </m:ctrlPr>
              </m:sSubPr>
              <m:e>
                <m:r>
                  <m:rPr/>
                  <w:rPr>
                    <w:rFonts w:ascii="Cambria Math" w:hAnsi="Cambria Math"/>
                    <w:color w:val="auto"/>
                  </w:rPr>
                  <m:t>K</m:t>
                </m:r>
                <m:ctrlPr>
                  <w:rPr>
                    <w:rFonts w:ascii="Cambria Math" w:hAnsi="Cambria Math"/>
                    <w:i/>
                    <w:color w:val="auto"/>
                  </w:rPr>
                </m:ctrlPr>
              </m:e>
              <m:sub>
                <m:r>
                  <m:rPr/>
                  <w:rPr>
                    <w:rFonts w:ascii="Cambria Math" w:hAnsi="Cambria Math"/>
                    <w:color w:val="auto"/>
                  </w:rPr>
                  <m:t>global</m:t>
                </m:r>
                <m:ctrlPr>
                  <w:rPr>
                    <w:rFonts w:ascii="Cambria Math" w:hAnsi="Cambria Math"/>
                    <w:i/>
                    <w:color w:val="auto"/>
                  </w:rPr>
                </m:ctrlPr>
              </m:sub>
            </m:sSub>
            <m:ctrlPr>
              <w:rPr>
                <w:rFonts w:ascii="Cambria Math" w:hAnsi="Cambria Math"/>
                <w:color w:val="auto"/>
              </w:rPr>
            </m:ctrlPr>
          </m:den>
        </m:f>
      </m:oMath>
      <w:r>
        <w:rPr>
          <w:rFonts w:hint="eastAsia" w:ascii="Times New Roman" w:hAnsi="Times New Roman" w:eastAsia="宋体"/>
          <w:color w:val="auto"/>
          <w:szCs w:val="21"/>
        </w:rPr>
        <w:t>时，应验算组合式盖板结构的超高性能混凝土的裂缝宽度。</w:t>
      </w:r>
    </w:p>
    <w:p w14:paraId="53612CB9">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color w:val="auto"/>
          <w:szCs w:val="21"/>
        </w:rPr>
        <w:t xml:space="preserve">6.2.3  </w:t>
      </w:r>
      <w:r>
        <w:rPr>
          <w:rFonts w:hint="eastAsia" w:ascii="Times New Roman" w:hAnsi="Times New Roman" w:eastAsia="宋体"/>
          <w:color w:val="auto"/>
          <w:szCs w:val="21"/>
        </w:rPr>
        <w:t>超高性能混凝土构件的裂缝宽度验算是指验算超高性能混凝土表面裂缝宽度。普通混凝土的裂缝宽度验算是指验算交界面处普通混凝土下表面的裂缝宽度。各类环境中混凝土最大裂缝宽度不应超过表6.2.3规定的限值</w:t>
      </w:r>
      <m:oMath>
        <m:sSub>
          <m:sSubPr>
            <m:ctrlPr>
              <w:rPr>
                <w:rFonts w:ascii="Cambria Math" w:hAnsi="Cambria Math"/>
                <w:color w:val="auto"/>
              </w:rPr>
            </m:ctrlPr>
          </m:sSubPr>
          <m:e>
            <m:r>
              <m:rPr/>
              <w:rPr>
                <w:rFonts w:ascii="Cambria Math" w:hAnsi="Cambria Math"/>
                <w:color w:val="auto"/>
              </w:rPr>
              <m:t>w</m:t>
            </m:r>
            <m:ctrlPr>
              <w:rPr>
                <w:rFonts w:ascii="Cambria Math" w:hAnsi="Cambria Math"/>
                <w:color w:val="auto"/>
              </w:rPr>
            </m:ctrlPr>
          </m:e>
          <m:sub>
            <m:r>
              <m:rPr/>
              <w:rPr>
                <w:rFonts w:ascii="Cambria Math" w:hAnsi="Cambria Math"/>
                <w:color w:val="auto"/>
              </w:rPr>
              <m:t>tumax</m:t>
            </m:r>
            <m:ctrlPr>
              <w:rPr>
                <w:rFonts w:ascii="Cambria Math" w:hAnsi="Cambria Math"/>
                <w:color w:val="auto"/>
              </w:rPr>
            </m:ctrlPr>
          </m:sub>
        </m:sSub>
        <m:r>
          <m:rPr/>
          <w:rPr>
            <w:rFonts w:hint="eastAsia" w:ascii="Cambria Math" w:hAnsi="Cambria Math"/>
            <w:color w:val="auto"/>
          </w:rPr>
          <m:t>、</m:t>
        </m:r>
        <m:sSub>
          <m:sSubPr>
            <m:ctrlPr>
              <w:rPr>
                <w:rFonts w:ascii="Cambria Math" w:hAnsi="Cambria Math"/>
                <w:color w:val="auto"/>
              </w:rPr>
            </m:ctrlPr>
          </m:sSubPr>
          <m:e>
            <m:r>
              <m:rPr/>
              <w:rPr>
                <w:rFonts w:ascii="Cambria Math" w:hAnsi="Cambria Math"/>
                <w:color w:val="auto"/>
              </w:rPr>
              <m:t>w</m:t>
            </m:r>
            <m:ctrlPr>
              <w:rPr>
                <w:rFonts w:ascii="Cambria Math" w:hAnsi="Cambria Math"/>
                <w:color w:val="auto"/>
              </w:rPr>
            </m:ctrlPr>
          </m:e>
          <m:sub>
            <m:r>
              <m:rPr/>
              <w:rPr>
                <w:rFonts w:ascii="Cambria Math" w:hAnsi="Cambria Math"/>
                <w:color w:val="auto"/>
              </w:rPr>
              <m:t>tcmax</m:t>
            </m:r>
            <m:ctrlPr>
              <w:rPr>
                <w:rFonts w:ascii="Cambria Math" w:hAnsi="Cambria Math"/>
                <w:color w:val="auto"/>
              </w:rPr>
            </m:ctrlPr>
          </m:sub>
        </m:sSub>
      </m:oMath>
      <w:r>
        <w:rPr>
          <w:rFonts w:hint="eastAsia" w:ascii="Times New Roman" w:hAnsi="Times New Roman" w:eastAsia="宋体"/>
          <w:color w:val="auto"/>
          <w:szCs w:val="21"/>
        </w:rPr>
        <w:t>，即应同时满足下列要求：</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42"/>
        <w:gridCol w:w="1333"/>
        <w:gridCol w:w="2722"/>
        <w:gridCol w:w="2725"/>
      </w:tblGrid>
      <w:tr w14:paraId="68253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804" w:type="pct"/>
            <w:gridSpan w:val="2"/>
            <w:vAlign w:val="center"/>
          </w:tcPr>
          <w:p w14:paraId="51FD9FFB">
            <w:pPr>
              <w:spacing w:line="360" w:lineRule="auto"/>
              <w:rPr>
                <w:rFonts w:hint="eastAsia" w:ascii="等线" w:hAnsi="等线" w:eastAsia="等线" w:cs="Times New Roman"/>
                <w:color w:val="auto"/>
                <w:szCs w:val="21"/>
              </w:rPr>
            </w:pPr>
          </w:p>
        </w:tc>
        <w:tc>
          <w:tcPr>
            <w:tcW w:w="1597" w:type="pct"/>
            <w:vAlign w:val="center"/>
          </w:tcPr>
          <w:p w14:paraId="09EF33CF">
            <w:pPr>
              <w:spacing w:line="360" w:lineRule="auto"/>
              <w:jc w:val="center"/>
              <w:rPr>
                <w:rFonts w:ascii="Times New Roman" w:hAnsi="Times New Roman" w:eastAsia="宋体"/>
                <w:color w:val="auto"/>
                <w:szCs w:val="21"/>
              </w:rPr>
            </w:pPr>
            <m:oMathPara>
              <m:oMath>
                <m:sSub>
                  <m:sSubPr>
                    <m:ctrlPr>
                      <w:rPr>
                        <w:rFonts w:ascii="Cambria Math" w:hAnsi="Cambria Math"/>
                        <w:color w:val="auto"/>
                      </w:rPr>
                    </m:ctrlPr>
                  </m:sSubPr>
                  <m:e>
                    <m:r>
                      <m:rPr/>
                      <w:rPr>
                        <w:rFonts w:ascii="Cambria Math" w:hAnsi="Cambria Math"/>
                        <w:color w:val="auto"/>
                      </w:rPr>
                      <m:t>w</m:t>
                    </m:r>
                    <m:ctrlPr>
                      <w:rPr>
                        <w:rFonts w:ascii="Cambria Math" w:hAnsi="Cambria Math"/>
                        <w:color w:val="auto"/>
                      </w:rPr>
                    </m:ctrlPr>
                  </m:e>
                  <m:sub>
                    <m:r>
                      <m:rPr/>
                      <w:rPr>
                        <w:rFonts w:ascii="Cambria Math" w:hAnsi="Cambria Math"/>
                        <w:color w:val="auto"/>
                      </w:rPr>
                      <m:t>tumax</m:t>
                    </m:r>
                    <m:ctrlPr>
                      <w:rPr>
                        <w:rFonts w:ascii="Cambria Math" w:hAnsi="Cambria Math"/>
                        <w:color w:val="auto"/>
                      </w:rPr>
                    </m:ctrlPr>
                  </m:sub>
                </m:sSub>
                <m:r>
                  <m:rPr/>
                  <w:rPr>
                    <w:rFonts w:ascii="Cambria Math" w:hAnsi="Cambria Math"/>
                    <w:color w:val="auto"/>
                  </w:rPr>
                  <m:t>≤</m:t>
                </m:r>
                <m:sSub>
                  <m:sSubPr>
                    <m:ctrlPr>
                      <w:rPr>
                        <w:rFonts w:ascii="Cambria Math" w:hAnsi="Cambria Math"/>
                        <w:color w:val="auto"/>
                      </w:rPr>
                    </m:ctrlPr>
                  </m:sSubPr>
                  <m:e>
                    <m:r>
                      <m:rPr/>
                      <w:rPr>
                        <w:rFonts w:ascii="Cambria Math" w:hAnsi="Cambria Math"/>
                        <w:color w:val="auto"/>
                      </w:rPr>
                      <m:t>w</m:t>
                    </m:r>
                    <m:ctrlPr>
                      <w:rPr>
                        <w:rFonts w:ascii="Cambria Math" w:hAnsi="Cambria Math"/>
                        <w:color w:val="auto"/>
                      </w:rPr>
                    </m:ctrlPr>
                  </m:e>
                  <m:sub>
                    <m:r>
                      <m:rPr/>
                      <w:rPr>
                        <w:rFonts w:ascii="Cambria Math" w:hAnsi="Cambria Math"/>
                        <w:color w:val="auto"/>
                      </w:rPr>
                      <m:t>u max</m:t>
                    </m:r>
                    <m:ctrlPr>
                      <w:rPr>
                        <w:rFonts w:ascii="Cambria Math" w:hAnsi="Cambria Math"/>
                        <w:color w:val="auto"/>
                      </w:rPr>
                    </m:ctrlPr>
                  </m:sub>
                </m:sSub>
              </m:oMath>
            </m:oMathPara>
          </w:p>
        </w:tc>
        <w:tc>
          <w:tcPr>
            <w:tcW w:w="1599" w:type="pct"/>
            <w:vAlign w:val="center"/>
          </w:tcPr>
          <w:p w14:paraId="38A33496">
            <w:pPr>
              <w:spacing w:line="360" w:lineRule="auto"/>
              <w:jc w:val="right"/>
              <w:rPr>
                <w:rFonts w:ascii="Times New Roman" w:hAnsi="Times New Roman" w:eastAsia="宋体"/>
                <w:color w:val="auto"/>
                <w:szCs w:val="21"/>
              </w:rPr>
            </w:pPr>
            <w:r>
              <w:rPr>
                <w:rFonts w:ascii="Times New Roman" w:hAnsi="Times New Roman" w:eastAsia="宋体"/>
                <w:color w:val="auto"/>
                <w:szCs w:val="21"/>
              </w:rPr>
              <w:t>(6.2.3-1)</w:t>
            </w:r>
          </w:p>
        </w:tc>
      </w:tr>
      <w:tr w14:paraId="08B84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4" w:type="pct"/>
            <w:gridSpan w:val="2"/>
            <w:vAlign w:val="center"/>
          </w:tcPr>
          <w:p w14:paraId="76620CE2">
            <w:pPr>
              <w:spacing w:line="360" w:lineRule="auto"/>
              <w:rPr>
                <w:rFonts w:hint="eastAsia" w:ascii="等线" w:hAnsi="等线" w:eastAsia="等线" w:cs="Times New Roman"/>
                <w:color w:val="auto"/>
                <w:szCs w:val="21"/>
              </w:rPr>
            </w:pPr>
          </w:p>
        </w:tc>
        <w:tc>
          <w:tcPr>
            <w:tcW w:w="1597" w:type="pct"/>
            <w:vAlign w:val="center"/>
          </w:tcPr>
          <w:p w14:paraId="2A9543F9">
            <w:pPr>
              <w:spacing w:line="360" w:lineRule="auto"/>
              <w:jc w:val="center"/>
              <w:rPr>
                <w:rFonts w:ascii="Times New Roman" w:hAnsi="Times New Roman" w:eastAsia="宋体"/>
                <w:color w:val="auto"/>
                <w:szCs w:val="21"/>
              </w:rPr>
            </w:pPr>
            <m:oMathPara>
              <m:oMath>
                <m:sSub>
                  <m:sSubPr>
                    <m:ctrlPr>
                      <w:rPr>
                        <w:rFonts w:ascii="Cambria Math" w:hAnsi="Cambria Math"/>
                        <w:color w:val="auto"/>
                      </w:rPr>
                    </m:ctrlPr>
                  </m:sSubPr>
                  <m:e>
                    <m:r>
                      <m:rPr/>
                      <w:rPr>
                        <w:rFonts w:ascii="Cambria Math" w:hAnsi="Cambria Math"/>
                        <w:color w:val="auto"/>
                      </w:rPr>
                      <m:t>w</m:t>
                    </m:r>
                    <m:ctrlPr>
                      <w:rPr>
                        <w:rFonts w:ascii="Cambria Math" w:hAnsi="Cambria Math"/>
                        <w:color w:val="auto"/>
                      </w:rPr>
                    </m:ctrlPr>
                  </m:e>
                  <m:sub>
                    <m:r>
                      <m:rPr/>
                      <w:rPr>
                        <w:rFonts w:ascii="Cambria Math" w:hAnsi="Cambria Math"/>
                        <w:color w:val="auto"/>
                      </w:rPr>
                      <m:t>tcmax</m:t>
                    </m:r>
                    <m:ctrlPr>
                      <w:rPr>
                        <w:rFonts w:ascii="Cambria Math" w:hAnsi="Cambria Math"/>
                        <w:color w:val="auto"/>
                      </w:rPr>
                    </m:ctrlPr>
                  </m:sub>
                </m:sSub>
                <m:r>
                  <m:rPr/>
                  <w:rPr>
                    <w:rFonts w:ascii="Cambria Math" w:hAnsi="Cambria Math"/>
                    <w:color w:val="auto"/>
                  </w:rPr>
                  <m:t>≤</m:t>
                </m:r>
                <m:sSub>
                  <m:sSubPr>
                    <m:ctrlPr>
                      <w:rPr>
                        <w:rFonts w:ascii="Cambria Math" w:hAnsi="Cambria Math"/>
                        <w:color w:val="auto"/>
                      </w:rPr>
                    </m:ctrlPr>
                  </m:sSubPr>
                  <m:e>
                    <m:r>
                      <m:rPr/>
                      <w:rPr>
                        <w:rFonts w:ascii="Cambria Math" w:hAnsi="Cambria Math"/>
                        <w:color w:val="auto"/>
                      </w:rPr>
                      <m:t>w</m:t>
                    </m:r>
                    <m:ctrlPr>
                      <w:rPr>
                        <w:rFonts w:ascii="Cambria Math" w:hAnsi="Cambria Math"/>
                        <w:color w:val="auto"/>
                      </w:rPr>
                    </m:ctrlPr>
                  </m:e>
                  <m:sub>
                    <m:r>
                      <m:rPr/>
                      <w:rPr>
                        <w:rFonts w:ascii="Cambria Math" w:hAnsi="Cambria Math"/>
                        <w:color w:val="auto"/>
                      </w:rPr>
                      <m:t>c max</m:t>
                    </m:r>
                    <m:ctrlPr>
                      <w:rPr>
                        <w:rFonts w:ascii="Cambria Math" w:hAnsi="Cambria Math"/>
                        <w:color w:val="auto"/>
                      </w:rPr>
                    </m:ctrlPr>
                  </m:sub>
                </m:sSub>
              </m:oMath>
            </m:oMathPara>
          </w:p>
        </w:tc>
        <w:tc>
          <w:tcPr>
            <w:tcW w:w="1599" w:type="pct"/>
            <w:vAlign w:val="center"/>
          </w:tcPr>
          <w:p w14:paraId="3B5D6353">
            <w:pPr>
              <w:spacing w:line="360" w:lineRule="auto"/>
              <w:jc w:val="right"/>
              <w:rPr>
                <w:rFonts w:ascii="Times New Roman" w:hAnsi="Times New Roman" w:eastAsia="宋体"/>
                <w:color w:val="auto"/>
                <w:szCs w:val="21"/>
              </w:rPr>
            </w:pPr>
            <w:r>
              <w:rPr>
                <w:rFonts w:ascii="Times New Roman" w:hAnsi="Times New Roman" w:eastAsia="宋体"/>
                <w:color w:val="auto"/>
                <w:szCs w:val="21"/>
              </w:rPr>
              <w:t>(6.2.3-2)</w:t>
            </w:r>
          </w:p>
        </w:tc>
      </w:tr>
      <w:tr w14:paraId="4ADFE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tcPr>
          <w:p w14:paraId="2062B948">
            <w:pPr>
              <w:wordWrap w:val="0"/>
              <w:spacing w:line="360" w:lineRule="auto"/>
              <w:jc w:val="right"/>
              <w:rPr>
                <w:rFonts w:ascii="Times New Roman" w:hAnsi="Times New Roman" w:eastAsia="宋体"/>
                <w:color w:val="auto"/>
                <w:szCs w:val="21"/>
              </w:rPr>
            </w:pPr>
            <w:r>
              <w:rPr>
                <w:rFonts w:hint="eastAsia" w:ascii="Times New Roman" w:hAnsi="Times New Roman" w:eastAsia="宋体"/>
                <w:color w:val="auto"/>
                <w:szCs w:val="21"/>
              </w:rPr>
              <w:t>式中：</w:t>
            </w:r>
            <m:oMath>
              <m:sSub>
                <m:sSubPr>
                  <m:ctrlPr>
                    <w:rPr>
                      <w:rFonts w:ascii="Cambria Math" w:hAnsi="Cambria Math"/>
                      <w:color w:val="auto"/>
                    </w:rPr>
                  </m:ctrlPr>
                </m:sSubPr>
                <m:e>
                  <m:r>
                    <m:rPr/>
                    <w:rPr>
                      <w:rFonts w:ascii="Cambria Math" w:hAnsi="Cambria Math"/>
                      <w:color w:val="auto"/>
                    </w:rPr>
                    <m:t>w</m:t>
                  </m:r>
                  <m:ctrlPr>
                    <w:rPr>
                      <w:rFonts w:ascii="Cambria Math" w:hAnsi="Cambria Math"/>
                      <w:color w:val="auto"/>
                    </w:rPr>
                  </m:ctrlPr>
                </m:e>
                <m:sub>
                  <m:r>
                    <m:rPr/>
                    <w:rPr>
                      <w:rFonts w:ascii="Cambria Math" w:hAnsi="Cambria Math"/>
                      <w:color w:val="auto"/>
                    </w:rPr>
                    <m:t>tumax</m:t>
                  </m:r>
                  <m:ctrlPr>
                    <w:rPr>
                      <w:rFonts w:ascii="Cambria Math" w:hAnsi="Cambria Math"/>
                      <w:color w:val="auto"/>
                    </w:rPr>
                  </m:ctrlPr>
                </m:sub>
              </m:sSub>
            </m:oMath>
          </w:p>
        </w:tc>
        <w:tc>
          <w:tcPr>
            <w:tcW w:w="3978" w:type="pct"/>
            <w:gridSpan w:val="3"/>
          </w:tcPr>
          <w:p w14:paraId="066AD0FB">
            <w:pPr>
              <w:spacing w:line="360" w:lineRule="auto"/>
              <w:rPr>
                <w:rFonts w:ascii="Times New Roman" w:hAnsi="Times New Roman" w:eastAsia="宋体"/>
                <w:color w:val="auto"/>
                <w:szCs w:val="21"/>
              </w:rPr>
            </w:pPr>
            <w:r>
              <w:rPr>
                <w:rFonts w:hint="eastAsia" w:ascii="Times New Roman" w:hAnsi="Times New Roman" w:eastAsia="宋体"/>
                <w:color w:val="auto"/>
                <w:szCs w:val="21"/>
              </w:rPr>
              <w:t>——超高性能混凝土表面裂缝宽度（mm）；</w:t>
            </w:r>
          </w:p>
        </w:tc>
      </w:tr>
      <w:tr w14:paraId="1D040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tcPr>
          <w:p w14:paraId="0BBFEDCB">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w</m:t>
                    </m:r>
                    <m:ctrlPr>
                      <w:rPr>
                        <w:rFonts w:ascii="Cambria Math" w:hAnsi="Cambria Math"/>
                        <w:color w:val="auto"/>
                      </w:rPr>
                    </m:ctrlPr>
                  </m:e>
                  <m:sub>
                    <m:r>
                      <m:rPr/>
                      <w:rPr>
                        <w:rFonts w:ascii="Cambria Math" w:hAnsi="Cambria Math"/>
                        <w:color w:val="auto"/>
                      </w:rPr>
                      <m:t>tcmax</m:t>
                    </m:r>
                    <m:ctrlPr>
                      <w:rPr>
                        <w:rFonts w:ascii="Cambria Math" w:hAnsi="Cambria Math"/>
                        <w:color w:val="auto"/>
                      </w:rPr>
                    </m:ctrlPr>
                  </m:sub>
                </m:sSub>
              </m:oMath>
            </m:oMathPara>
          </w:p>
        </w:tc>
        <w:tc>
          <w:tcPr>
            <w:tcW w:w="3978" w:type="pct"/>
            <w:gridSpan w:val="3"/>
          </w:tcPr>
          <w:p w14:paraId="5D122AE2">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——普通混凝土表面裂缝宽度（mm）；</w:t>
            </w:r>
          </w:p>
        </w:tc>
      </w:tr>
      <w:tr w14:paraId="509D6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tcPr>
          <w:p w14:paraId="3F362617">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w</m:t>
                    </m:r>
                    <m:ctrlPr>
                      <w:rPr>
                        <w:rFonts w:ascii="Cambria Math" w:hAnsi="Cambria Math"/>
                        <w:color w:val="auto"/>
                      </w:rPr>
                    </m:ctrlPr>
                  </m:e>
                  <m:sub>
                    <m:r>
                      <m:rPr/>
                      <w:rPr>
                        <w:rFonts w:ascii="Cambria Math" w:hAnsi="Cambria Math"/>
                        <w:color w:val="auto"/>
                      </w:rPr>
                      <m:t>umax</m:t>
                    </m:r>
                    <m:ctrlPr>
                      <w:rPr>
                        <w:rFonts w:ascii="Cambria Math" w:hAnsi="Cambria Math"/>
                        <w:color w:val="auto"/>
                      </w:rPr>
                    </m:ctrlPr>
                  </m:sub>
                </m:sSub>
              </m:oMath>
            </m:oMathPara>
          </w:p>
        </w:tc>
        <w:tc>
          <w:tcPr>
            <w:tcW w:w="3978" w:type="pct"/>
            <w:gridSpan w:val="3"/>
          </w:tcPr>
          <w:p w14:paraId="1B6018A0">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——超高性能混凝土最大裂缝宽度限值（mm）；</w:t>
            </w:r>
          </w:p>
        </w:tc>
      </w:tr>
      <w:tr w14:paraId="28622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tcPr>
          <w:p w14:paraId="4127586E">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w</m:t>
                    </m:r>
                    <m:ctrlPr>
                      <w:rPr>
                        <w:rFonts w:ascii="Cambria Math" w:hAnsi="Cambria Math"/>
                        <w:color w:val="auto"/>
                      </w:rPr>
                    </m:ctrlPr>
                  </m:e>
                  <m:sub>
                    <m:r>
                      <m:rPr/>
                      <w:rPr>
                        <w:rFonts w:ascii="Cambria Math" w:hAnsi="Cambria Math"/>
                        <w:color w:val="auto"/>
                      </w:rPr>
                      <m:t>cmax</m:t>
                    </m:r>
                    <m:ctrlPr>
                      <w:rPr>
                        <w:rFonts w:ascii="Cambria Math" w:hAnsi="Cambria Math"/>
                        <w:color w:val="auto"/>
                      </w:rPr>
                    </m:ctrlPr>
                  </m:sub>
                </m:sSub>
              </m:oMath>
            </m:oMathPara>
          </w:p>
        </w:tc>
        <w:tc>
          <w:tcPr>
            <w:tcW w:w="3978" w:type="pct"/>
            <w:gridSpan w:val="3"/>
          </w:tcPr>
          <w:p w14:paraId="1D783A52">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——普通混凝土最大裂缝宽度限值（mm）。</w:t>
            </w:r>
          </w:p>
        </w:tc>
      </w:tr>
    </w:tbl>
    <w:p w14:paraId="58297042">
      <w:pPr>
        <w:spacing w:line="360" w:lineRule="auto"/>
        <w:jc w:val="center"/>
        <w:rPr>
          <w:rFonts w:ascii="Times New Roman" w:hAnsi="Times New Roman" w:eastAsia="黑体" w:cs="Times New Roman"/>
          <w:color w:val="auto"/>
          <w:sz w:val="18"/>
          <w:szCs w:val="20"/>
        </w:rPr>
      </w:pPr>
      <w:r>
        <w:rPr>
          <w:rFonts w:ascii="Times New Roman" w:hAnsi="Times New Roman" w:eastAsia="黑体" w:cs="Times New Roman"/>
          <w:color w:val="auto"/>
          <w:sz w:val="18"/>
          <w:szCs w:val="20"/>
        </w:rPr>
        <w:t>表6.2.3 最大裂缝宽度限值</w:t>
      </w:r>
      <m:oMath>
        <m:sSub>
          <m:sSubPr>
            <m:ctrlPr>
              <w:rPr>
                <w:rFonts w:ascii="Cambria Math" w:hAnsi="Cambria Math" w:eastAsia="宋体" w:cs="Times New Roman"/>
                <w:color w:val="auto"/>
                <w:szCs w:val="21"/>
              </w:rPr>
            </m:ctrlPr>
          </m:sSubPr>
          <m:e>
            <m:r>
              <m:rPr/>
              <w:rPr>
                <w:rFonts w:ascii="Cambria Math" w:hAnsi="Cambria Math" w:cs="Times New Roman"/>
                <w:color w:val="auto"/>
              </w:rPr>
              <m:t>w</m:t>
            </m:r>
            <m:ctrlPr>
              <w:rPr>
                <w:rFonts w:ascii="Cambria Math" w:hAnsi="Cambria Math" w:eastAsia="宋体" w:cs="Times New Roman"/>
                <w:color w:val="auto"/>
                <w:szCs w:val="21"/>
              </w:rPr>
            </m:ctrlPr>
          </m:e>
          <m:sub>
            <m:r>
              <m:rPr/>
              <w:rPr>
                <w:rFonts w:ascii="Cambria Math" w:hAnsi="Cambria Math" w:cs="Times New Roman"/>
                <w:color w:val="auto"/>
              </w:rPr>
              <m:t>tumax</m:t>
            </m:r>
            <m:ctrlPr>
              <w:rPr>
                <w:rFonts w:ascii="Cambria Math" w:hAnsi="Cambria Math" w:eastAsia="宋体" w:cs="Times New Roman"/>
                <w:color w:val="auto"/>
                <w:szCs w:val="21"/>
              </w:rPr>
            </m:ctrlPr>
          </m:sub>
        </m:sSub>
        <m:r>
          <m:rPr/>
          <w:rPr>
            <w:rFonts w:ascii="Cambria Math" w:hAnsi="Cambria Math" w:cs="Times New Roman"/>
            <w:color w:val="auto"/>
          </w:rPr>
          <m:t>、</m:t>
        </m:r>
        <m:sSub>
          <m:sSubPr>
            <m:ctrlPr>
              <w:rPr>
                <w:rFonts w:ascii="Cambria Math" w:hAnsi="Cambria Math" w:eastAsia="宋体" w:cs="Times New Roman"/>
                <w:color w:val="auto"/>
                <w:szCs w:val="21"/>
              </w:rPr>
            </m:ctrlPr>
          </m:sSubPr>
          <m:e>
            <m:r>
              <m:rPr/>
              <w:rPr>
                <w:rFonts w:ascii="Cambria Math" w:hAnsi="Cambria Math" w:cs="Times New Roman"/>
                <w:color w:val="auto"/>
              </w:rPr>
              <m:t>w</m:t>
            </m:r>
            <m:ctrlPr>
              <w:rPr>
                <w:rFonts w:ascii="Cambria Math" w:hAnsi="Cambria Math" w:eastAsia="宋体" w:cs="Times New Roman"/>
                <w:color w:val="auto"/>
                <w:szCs w:val="21"/>
              </w:rPr>
            </m:ctrlPr>
          </m:e>
          <m:sub>
            <m:r>
              <m:rPr/>
              <w:rPr>
                <w:rFonts w:ascii="Cambria Math" w:hAnsi="Cambria Math" w:cs="Times New Roman"/>
                <w:color w:val="auto"/>
              </w:rPr>
              <m:t>tcmax</m:t>
            </m:r>
            <m:ctrlPr>
              <w:rPr>
                <w:rFonts w:ascii="Cambria Math" w:hAnsi="Cambria Math" w:eastAsia="宋体" w:cs="Times New Roman"/>
                <w:color w:val="auto"/>
                <w:szCs w:val="21"/>
              </w:rPr>
            </m:ctrlPr>
          </m:sub>
        </m:sSub>
      </m:oMath>
      <w:r>
        <w:rPr>
          <w:rFonts w:ascii="Times New Roman" w:hAnsi="Times New Roman" w:eastAsia="黑体" w:cs="Times New Roman"/>
          <w:color w:val="auto"/>
          <w:sz w:val="18"/>
          <w:szCs w:val="20"/>
        </w:rPr>
        <w:t>（mm）</w:t>
      </w:r>
    </w:p>
    <w:tbl>
      <w:tblPr>
        <w:tblStyle w:val="46"/>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5"/>
        <w:gridCol w:w="2767"/>
        <w:gridCol w:w="2830"/>
      </w:tblGrid>
      <w:tr w14:paraId="12370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25" w:type="dxa"/>
            <w:vAlign w:val="center"/>
          </w:tcPr>
          <w:p w14:paraId="48C473E2">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环境类别</w:t>
            </w:r>
          </w:p>
        </w:tc>
        <w:tc>
          <w:tcPr>
            <w:tcW w:w="2767" w:type="dxa"/>
            <w:vAlign w:val="center"/>
          </w:tcPr>
          <w:p w14:paraId="339E9220">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 xml:space="preserve">超高性能混凝土 </w:t>
            </w:r>
            <m:oMath>
              <m:sSub>
                <m:sSubPr>
                  <m:ctrlPr>
                    <w:rPr>
                      <w:rFonts w:ascii="Cambria Math" w:hAnsi="Cambria Math" w:eastAsia="宋体" w:cs="Times New Roman"/>
                      <w:color w:val="auto"/>
                      <w:szCs w:val="21"/>
                    </w:rPr>
                  </m:ctrlPr>
                </m:sSubPr>
                <m:e>
                  <m:r>
                    <m:rPr/>
                    <w:rPr>
                      <w:rFonts w:ascii="Cambria Math" w:hAnsi="Cambria Math" w:cs="Times New Roman"/>
                      <w:color w:val="auto"/>
                    </w:rPr>
                    <m:t>w</m:t>
                  </m:r>
                  <m:ctrlPr>
                    <w:rPr>
                      <w:rFonts w:ascii="Cambria Math" w:hAnsi="Cambria Math" w:eastAsia="宋体" w:cs="Times New Roman"/>
                      <w:color w:val="auto"/>
                      <w:szCs w:val="21"/>
                    </w:rPr>
                  </m:ctrlPr>
                </m:e>
                <m:sub>
                  <m:r>
                    <m:rPr/>
                    <w:rPr>
                      <w:rFonts w:ascii="Cambria Math" w:hAnsi="Cambria Math" w:cs="Times New Roman"/>
                      <w:color w:val="auto"/>
                    </w:rPr>
                    <m:t>tumax</m:t>
                  </m:r>
                  <m:ctrlPr>
                    <w:rPr>
                      <w:rFonts w:ascii="Cambria Math" w:hAnsi="Cambria Math" w:eastAsia="宋体" w:cs="Times New Roman"/>
                      <w:color w:val="auto"/>
                      <w:szCs w:val="21"/>
                    </w:rPr>
                  </m:ctrlPr>
                </m:sub>
              </m:sSub>
            </m:oMath>
          </w:p>
        </w:tc>
        <w:tc>
          <w:tcPr>
            <w:tcW w:w="2830" w:type="dxa"/>
            <w:vAlign w:val="center"/>
          </w:tcPr>
          <w:p w14:paraId="6558941D">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 xml:space="preserve">普通混凝土 </w:t>
            </w:r>
            <m:oMath>
              <m:sSub>
                <m:sSubPr>
                  <m:ctrlPr>
                    <w:rPr>
                      <w:rFonts w:ascii="Cambria Math" w:hAnsi="Cambria Math" w:eastAsia="宋体" w:cs="Times New Roman"/>
                      <w:color w:val="auto"/>
                      <w:szCs w:val="21"/>
                    </w:rPr>
                  </m:ctrlPr>
                </m:sSubPr>
                <m:e>
                  <m:r>
                    <m:rPr/>
                    <w:rPr>
                      <w:rFonts w:ascii="Cambria Math" w:hAnsi="Cambria Math" w:cs="Times New Roman"/>
                      <w:color w:val="auto"/>
                    </w:rPr>
                    <m:t>w</m:t>
                  </m:r>
                  <m:ctrlPr>
                    <w:rPr>
                      <w:rFonts w:ascii="Cambria Math" w:hAnsi="Cambria Math" w:eastAsia="宋体" w:cs="Times New Roman"/>
                      <w:color w:val="auto"/>
                      <w:szCs w:val="21"/>
                    </w:rPr>
                  </m:ctrlPr>
                </m:e>
                <m:sub>
                  <m:r>
                    <m:rPr/>
                    <w:rPr>
                      <w:rFonts w:ascii="Cambria Math" w:hAnsi="Cambria Math" w:cs="Times New Roman"/>
                      <w:color w:val="auto"/>
                    </w:rPr>
                    <m:t>tcmax</m:t>
                  </m:r>
                  <m:ctrlPr>
                    <w:rPr>
                      <w:rFonts w:ascii="Cambria Math" w:hAnsi="Cambria Math" w:eastAsia="宋体" w:cs="Times New Roman"/>
                      <w:color w:val="auto"/>
                      <w:szCs w:val="21"/>
                    </w:rPr>
                  </m:ctrlPr>
                </m:sub>
              </m:sSub>
            </m:oMath>
          </w:p>
        </w:tc>
      </w:tr>
      <w:tr w14:paraId="1166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25" w:type="dxa"/>
            <w:vAlign w:val="center"/>
          </w:tcPr>
          <w:p w14:paraId="64653237">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I类-一般环境</w:t>
            </w:r>
          </w:p>
        </w:tc>
        <w:tc>
          <w:tcPr>
            <w:tcW w:w="2767" w:type="dxa"/>
            <w:vAlign w:val="center"/>
          </w:tcPr>
          <w:p w14:paraId="194446EB">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0.10</w:t>
            </w:r>
          </w:p>
        </w:tc>
        <w:tc>
          <w:tcPr>
            <w:tcW w:w="2830" w:type="dxa"/>
            <w:vAlign w:val="center"/>
          </w:tcPr>
          <w:p w14:paraId="6B615E2A">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0.20</w:t>
            </w:r>
          </w:p>
        </w:tc>
      </w:tr>
      <w:tr w14:paraId="57E1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25" w:type="dxa"/>
            <w:vAlign w:val="center"/>
          </w:tcPr>
          <w:p w14:paraId="2049E291">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I</w:t>
            </w:r>
            <w:r>
              <w:rPr>
                <w:rFonts w:ascii="Times New Roman" w:hAnsi="Times New Roman" w:eastAsia="宋体"/>
                <w:color w:val="auto"/>
                <w:sz w:val="18"/>
                <w:szCs w:val="18"/>
              </w:rPr>
              <w:t>I</w:t>
            </w:r>
            <w:r>
              <w:rPr>
                <w:rFonts w:hint="eastAsia" w:ascii="Times New Roman" w:hAnsi="Times New Roman" w:eastAsia="宋体"/>
                <w:color w:val="auto"/>
                <w:sz w:val="18"/>
                <w:szCs w:val="18"/>
              </w:rPr>
              <w:t>I类-近海或海洋氯化物环境</w:t>
            </w:r>
          </w:p>
        </w:tc>
        <w:tc>
          <w:tcPr>
            <w:tcW w:w="2767" w:type="dxa"/>
            <w:vAlign w:val="center"/>
          </w:tcPr>
          <w:p w14:paraId="4D859E1B">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0.05</w:t>
            </w:r>
          </w:p>
        </w:tc>
        <w:tc>
          <w:tcPr>
            <w:tcW w:w="2830" w:type="dxa"/>
            <w:vAlign w:val="center"/>
          </w:tcPr>
          <w:p w14:paraId="1A0F4BF3">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0.15</w:t>
            </w:r>
          </w:p>
        </w:tc>
      </w:tr>
    </w:tbl>
    <w:p w14:paraId="7EA427C5">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color w:val="auto"/>
          <w:szCs w:val="21"/>
        </w:rPr>
        <w:t xml:space="preserve">6.2.4  </w:t>
      </w:r>
      <w:r>
        <w:rPr>
          <w:rFonts w:hint="eastAsia" w:ascii="Times New Roman" w:hAnsi="Times New Roman" w:eastAsia="宋体"/>
          <w:color w:val="auto"/>
          <w:szCs w:val="21"/>
        </w:rPr>
        <w:t>超高性能混凝土和普通混凝土最大裂缝宽度</w:t>
      </w:r>
      <m:oMath>
        <m:sSub>
          <m:sSubPr>
            <m:ctrlPr>
              <w:rPr>
                <w:rFonts w:ascii="Cambria Math" w:hAnsi="Cambria Math"/>
                <w:color w:val="auto"/>
              </w:rPr>
            </m:ctrlPr>
          </m:sSubPr>
          <m:e>
            <m:r>
              <m:rPr/>
              <w:rPr>
                <w:rFonts w:ascii="Cambria Math" w:hAnsi="Cambria Math"/>
                <w:color w:val="auto"/>
              </w:rPr>
              <m:t>w</m:t>
            </m:r>
            <m:ctrlPr>
              <w:rPr>
                <w:rFonts w:ascii="Cambria Math" w:hAnsi="Cambria Math"/>
                <w:color w:val="auto"/>
              </w:rPr>
            </m:ctrlPr>
          </m:e>
          <m:sub>
            <m:r>
              <m:rPr/>
              <w:rPr>
                <w:rFonts w:ascii="Cambria Math" w:hAnsi="Cambria Math"/>
                <w:color w:val="auto"/>
              </w:rPr>
              <m:t>tumax</m:t>
            </m:r>
            <m:ctrlPr>
              <w:rPr>
                <w:rFonts w:ascii="Cambria Math" w:hAnsi="Cambria Math"/>
                <w:color w:val="auto"/>
              </w:rPr>
            </m:ctrlPr>
          </m:sub>
        </m:sSub>
        <m:r>
          <m:rPr/>
          <w:rPr>
            <w:rFonts w:hint="eastAsia" w:ascii="Cambria Math" w:hAnsi="Cambria Math"/>
            <w:color w:val="auto"/>
          </w:rPr>
          <m:t>、</m:t>
        </m:r>
        <m:sSub>
          <m:sSubPr>
            <m:ctrlPr>
              <w:rPr>
                <w:rFonts w:ascii="Cambria Math" w:hAnsi="Cambria Math"/>
                <w:color w:val="auto"/>
              </w:rPr>
            </m:ctrlPr>
          </m:sSubPr>
          <m:e>
            <m:r>
              <m:rPr/>
              <w:rPr>
                <w:rFonts w:ascii="Cambria Math" w:hAnsi="Cambria Math"/>
                <w:color w:val="auto"/>
              </w:rPr>
              <m:t>w</m:t>
            </m:r>
            <m:ctrlPr>
              <w:rPr>
                <w:rFonts w:ascii="Cambria Math" w:hAnsi="Cambria Math"/>
                <w:color w:val="auto"/>
              </w:rPr>
            </m:ctrlPr>
          </m:e>
          <m:sub>
            <m:r>
              <m:rPr/>
              <w:rPr>
                <w:rFonts w:ascii="Cambria Math" w:hAnsi="Cambria Math"/>
                <w:color w:val="auto"/>
              </w:rPr>
              <m:t>tcmax</m:t>
            </m:r>
            <m:ctrlPr>
              <w:rPr>
                <w:rFonts w:ascii="Cambria Math" w:hAnsi="Cambria Math"/>
                <w:color w:val="auto"/>
              </w:rPr>
            </m:ctrlPr>
          </m:sub>
        </m:sSub>
      </m:oMath>
      <w:r>
        <w:rPr>
          <w:rFonts w:hint="eastAsia" w:ascii="Times New Roman" w:hAnsi="Times New Roman" w:eastAsia="宋体"/>
          <w:color w:val="auto"/>
          <w:szCs w:val="21"/>
        </w:rPr>
        <w:t>可按下列公式计算：</w:t>
      </w:r>
    </w:p>
    <w:p w14:paraId="7A96A6A6">
      <w:pPr>
        <w:spacing w:line="360" w:lineRule="auto"/>
        <w:ind w:firstLine="422" w:firstLineChars="200"/>
        <w:rPr>
          <w:rFonts w:ascii="Times New Roman" w:hAnsi="Times New Roman" w:eastAsia="宋体"/>
          <w:color w:val="auto"/>
          <w:szCs w:val="21"/>
        </w:rPr>
      </w:pPr>
      <w:r>
        <w:rPr>
          <w:rFonts w:hint="eastAsia" w:ascii="Times New Roman" w:hAnsi="Times New Roman" w:eastAsia="宋体"/>
          <w:b/>
          <w:color w:val="auto"/>
          <w:szCs w:val="21"/>
        </w:rPr>
        <w:t>1</w:t>
      </w:r>
      <w:r>
        <w:rPr>
          <w:rFonts w:hint="eastAsia" w:ascii="Times New Roman" w:hAnsi="Times New Roman" w:eastAsia="宋体"/>
          <w:color w:val="auto"/>
          <w:szCs w:val="21"/>
        </w:rPr>
        <w:t xml:space="preserve"> 超高性能混凝土板底面最大裂缝宽度</w:t>
      </w:r>
      <m:oMath>
        <m:sSub>
          <m:sSubPr>
            <m:ctrlPr>
              <w:rPr>
                <w:rFonts w:ascii="Cambria Math" w:hAnsi="Cambria Math"/>
                <w:color w:val="auto"/>
              </w:rPr>
            </m:ctrlPr>
          </m:sSubPr>
          <m:e>
            <m:r>
              <m:rPr/>
              <w:rPr>
                <w:rFonts w:ascii="Cambria Math" w:hAnsi="Cambria Math"/>
                <w:color w:val="auto"/>
              </w:rPr>
              <m:t>w</m:t>
            </m:r>
            <m:ctrlPr>
              <w:rPr>
                <w:rFonts w:ascii="Cambria Math" w:hAnsi="Cambria Math"/>
                <w:color w:val="auto"/>
              </w:rPr>
            </m:ctrlPr>
          </m:e>
          <m:sub>
            <m:r>
              <m:rPr/>
              <w:rPr>
                <w:rFonts w:ascii="Cambria Math" w:hAnsi="Cambria Math"/>
                <w:color w:val="auto"/>
              </w:rPr>
              <m:t>tumax</m:t>
            </m:r>
            <m:ctrlPr>
              <w:rPr>
                <w:rFonts w:ascii="Cambria Math" w:hAnsi="Cambria Math"/>
                <w:color w:val="auto"/>
              </w:rPr>
            </m:ctrlPr>
          </m:sub>
        </m:sSub>
      </m:oMath>
      <w:r>
        <w:rPr>
          <w:rFonts w:hint="eastAsia" w:ascii="Times New Roman" w:hAnsi="Times New Roman" w:eastAsia="宋体"/>
          <w:color w:val="auto"/>
          <w:szCs w:val="21"/>
        </w:rPr>
        <w:t>计算公式如下：</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25"/>
        <w:gridCol w:w="5127"/>
        <w:gridCol w:w="1970"/>
      </w:tblGrid>
      <w:tr w14:paraId="390EC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6" w:type="pct"/>
            <w:vAlign w:val="center"/>
          </w:tcPr>
          <w:p w14:paraId="008438B4">
            <w:pPr>
              <w:spacing w:line="360" w:lineRule="auto"/>
              <w:rPr>
                <w:rFonts w:hint="eastAsia" w:ascii="等线" w:hAnsi="等线" w:eastAsia="等线" w:cs="Times New Roman"/>
                <w:color w:val="auto"/>
                <w:szCs w:val="21"/>
              </w:rPr>
            </w:pPr>
          </w:p>
        </w:tc>
        <w:tc>
          <w:tcPr>
            <w:tcW w:w="3008" w:type="pct"/>
            <w:vAlign w:val="center"/>
          </w:tcPr>
          <w:p w14:paraId="6B7FF162">
            <w:pPr>
              <w:spacing w:line="360" w:lineRule="auto"/>
              <w:jc w:val="center"/>
              <w:rPr>
                <w:rFonts w:ascii="Times New Roman" w:hAnsi="Times New Roman" w:eastAsia="宋体"/>
                <w:color w:val="auto"/>
                <w:szCs w:val="21"/>
              </w:rPr>
            </w:pPr>
            <m:oMathPara>
              <m:oMath>
                <m:sSub>
                  <m:sSubPr>
                    <m:ctrlPr>
                      <w:rPr>
                        <w:rFonts w:ascii="Cambria Math" w:hAnsi="Cambria Math"/>
                        <w:color w:val="auto"/>
                      </w:rPr>
                    </m:ctrlPr>
                  </m:sSubPr>
                  <m:e>
                    <m:r>
                      <m:rPr/>
                      <w:rPr>
                        <w:rFonts w:ascii="Cambria Math" w:hAnsi="Cambria Math"/>
                        <w:color w:val="auto"/>
                      </w:rPr>
                      <m:t>w</m:t>
                    </m:r>
                    <m:ctrlPr>
                      <w:rPr>
                        <w:rFonts w:ascii="Cambria Math" w:hAnsi="Cambria Math"/>
                        <w:color w:val="auto"/>
                      </w:rPr>
                    </m:ctrlPr>
                  </m:e>
                  <m:sub>
                    <m:r>
                      <m:rPr/>
                      <w:rPr>
                        <w:rFonts w:ascii="Cambria Math" w:hAnsi="Cambria Math"/>
                        <w:color w:val="auto"/>
                      </w:rPr>
                      <m:t>tumax</m:t>
                    </m:r>
                    <m:ctrlPr>
                      <w:rPr>
                        <w:rFonts w:ascii="Cambria Math" w:hAnsi="Cambria Math"/>
                        <w:color w:val="auto"/>
                      </w:rPr>
                    </m:ctrlPr>
                  </m:sub>
                </m:sSub>
                <m:r>
                  <m:rPr/>
                  <w:rPr>
                    <w:rFonts w:ascii="Cambria Math" w:hAnsi="Cambria Math"/>
                    <w:color w:val="auto"/>
                  </w:rPr>
                  <m:t>=</m:t>
                </m:r>
                <m:f>
                  <m:fPr>
                    <m:type m:val="lin"/>
                    <m:ctrlPr>
                      <w:rPr>
                        <w:rFonts w:ascii="Cambria Math" w:hAnsi="Cambria Math"/>
                        <w:color w:val="auto"/>
                      </w:rPr>
                    </m:ctrlPr>
                  </m:fPr>
                  <m:num>
                    <m:sSub>
                      <m:sSubPr>
                        <m:ctrlPr>
                          <w:rPr>
                            <w:rFonts w:ascii="Cambria Math" w:hAnsi="Cambria Math"/>
                            <w:color w:val="auto"/>
                          </w:rPr>
                        </m:ctrlPr>
                      </m:sSubPr>
                      <m:e>
                        <m:r>
                          <m:rPr/>
                          <w:rPr>
                            <w:rFonts w:ascii="Cambria Math" w:hAnsi="Cambria Math"/>
                            <w:color w:val="auto"/>
                          </w:rPr>
                          <m:t>w</m:t>
                        </m:r>
                        <m:ctrlPr>
                          <w:rPr>
                            <w:rFonts w:ascii="Cambria Math" w:hAnsi="Cambria Math"/>
                            <w:color w:val="auto"/>
                          </w:rPr>
                        </m:ctrlPr>
                      </m:e>
                      <m:sub>
                        <m:r>
                          <m:rPr/>
                          <w:rPr>
                            <w:rFonts w:ascii="Cambria Math" w:hAnsi="Cambria Math"/>
                            <w:color w:val="auto"/>
                          </w:rPr>
                          <m:t>usmax</m:t>
                        </m:r>
                        <m:ctrlPr>
                          <w:rPr>
                            <w:rFonts w:ascii="Cambria Math" w:hAnsi="Cambria Math"/>
                            <w:color w:val="auto"/>
                          </w:rPr>
                        </m:ctrlPr>
                      </m:sub>
                    </m:sSub>
                    <m:d>
                      <m:dPr>
                        <m:ctrlPr>
                          <w:rPr>
                            <w:rFonts w:ascii="Cambria Math" w:hAnsi="Cambria Math"/>
                            <w:i/>
                            <w:color w:val="auto"/>
                          </w:rPr>
                        </m:ctrlPr>
                      </m:dPr>
                      <m:e>
                        <m:r>
                          <m:rPr/>
                          <w:rPr>
                            <w:rFonts w:ascii="Cambria Math" w:hAnsi="Cambria Math"/>
                            <w:color w:val="auto"/>
                          </w:rPr>
                          <m:t>ℎ−</m:t>
                        </m:r>
                        <m:sSub>
                          <m:sSubPr>
                            <m:ctrlPr>
                              <w:rPr>
                                <w:rFonts w:ascii="Cambria Math" w:hAnsi="Cambria Math"/>
                                <w:i/>
                                <w:color w:val="auto"/>
                              </w:rPr>
                            </m:ctrlPr>
                          </m:sSubPr>
                          <m:e>
                            <m:r>
                              <m:rPr/>
                              <w:rPr>
                                <w:rFonts w:ascii="Cambria Math" w:hAnsi="Cambria Math"/>
                                <w:color w:val="auto"/>
                              </w:rPr>
                              <m:t>x</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r>
                          <m:rPr/>
                          <w:rPr>
                            <w:rFonts w:ascii="Cambria Math" w:hAnsi="Cambria Math"/>
                            <w:color w:val="auto"/>
                          </w:rPr>
                          <m:t>−</m:t>
                        </m:r>
                        <m:sSup>
                          <m:sSupPr>
                            <m:ctrlPr>
                              <w:rPr>
                                <w:rFonts w:ascii="Cambria Math" w:hAnsi="Cambria Math"/>
                                <w:i/>
                                <w:color w:val="auto"/>
                              </w:rPr>
                            </m:ctrlPr>
                          </m:sSupPr>
                          <m:e>
                            <m:r>
                              <m:rPr/>
                              <w:rPr>
                                <w:rFonts w:ascii="Cambria Math" w:hAnsi="Cambria Math"/>
                                <w:color w:val="auto"/>
                              </w:rPr>
                              <m:t>x</m:t>
                            </m:r>
                            <m:ctrlPr>
                              <w:rPr>
                                <w:rFonts w:ascii="Cambria Math" w:hAnsi="Cambria Math"/>
                                <w:i/>
                                <w:color w:val="auto"/>
                              </w:rPr>
                            </m:ctrlPr>
                          </m:e>
                          <m:sup>
                            <m:r>
                              <m:rPr/>
                              <w:rPr>
                                <w:rFonts w:ascii="Cambria Math" w:hAnsi="Cambria Math"/>
                                <w:color w:val="auto"/>
                              </w:rPr>
                              <m:t>'</m:t>
                            </m:r>
                            <m:ctrlPr>
                              <w:rPr>
                                <w:rFonts w:ascii="Cambria Math" w:hAnsi="Cambria Math"/>
                                <w:i/>
                                <w:color w:val="auto"/>
                              </w:rPr>
                            </m:ctrlPr>
                          </m:sup>
                        </m:sSup>
                        <m:ctrlPr>
                          <w:rPr>
                            <w:rFonts w:ascii="Cambria Math" w:hAnsi="Cambria Math"/>
                            <w:i/>
                            <w:color w:val="auto"/>
                          </w:rPr>
                        </m:ctrlPr>
                      </m:e>
                    </m:d>
                    <m:ctrlPr>
                      <w:rPr>
                        <w:rFonts w:ascii="Cambria Math" w:hAnsi="Cambria Math"/>
                        <w:color w:val="auto"/>
                      </w:rPr>
                    </m:ctrlPr>
                  </m:num>
                  <m:den>
                    <m:d>
                      <m:dPr>
                        <m:ctrlPr>
                          <w:rPr>
                            <w:rFonts w:ascii="Cambria Math" w:hAnsi="Cambria Math"/>
                            <w:i/>
                            <w:color w:val="auto"/>
                          </w:rPr>
                        </m:ctrlPr>
                      </m:dPr>
                      <m:e>
                        <m:r>
                          <m:rPr/>
                          <w:rPr>
                            <w:rFonts w:ascii="Cambria Math" w:hAnsi="Cambria Math"/>
                            <w:color w:val="auto"/>
                          </w:rPr>
                          <m:t>ℎ−</m:t>
                        </m:r>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s2</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x</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r>
                          <m:rPr/>
                          <w:rPr>
                            <w:rFonts w:ascii="Cambria Math" w:hAnsi="Cambria Math"/>
                            <w:color w:val="auto"/>
                          </w:rPr>
                          <m:t>−x</m:t>
                        </m:r>
                        <m:ctrlPr>
                          <w:rPr>
                            <w:rFonts w:ascii="Cambria Math" w:hAnsi="Cambria Math"/>
                            <w:i/>
                            <w:color w:val="auto"/>
                          </w:rPr>
                        </m:ctrlPr>
                      </m:e>
                    </m:d>
                    <m:ctrlPr>
                      <w:rPr>
                        <w:rFonts w:ascii="Cambria Math" w:hAnsi="Cambria Math"/>
                        <w:color w:val="auto"/>
                      </w:rPr>
                    </m:ctrlPr>
                  </m:den>
                </m:f>
              </m:oMath>
            </m:oMathPara>
          </w:p>
        </w:tc>
        <w:tc>
          <w:tcPr>
            <w:tcW w:w="1156" w:type="pct"/>
            <w:vAlign w:val="center"/>
          </w:tcPr>
          <w:p w14:paraId="265C2BF3">
            <w:pPr>
              <w:spacing w:line="360" w:lineRule="auto"/>
              <w:jc w:val="right"/>
              <w:rPr>
                <w:rFonts w:ascii="Times New Roman" w:hAnsi="Times New Roman" w:eastAsia="宋体"/>
                <w:color w:val="auto"/>
                <w:szCs w:val="21"/>
              </w:rPr>
            </w:pPr>
            <w:r>
              <w:rPr>
                <w:rFonts w:ascii="Times New Roman" w:hAnsi="Times New Roman" w:eastAsia="宋体"/>
                <w:color w:val="auto"/>
                <w:szCs w:val="21"/>
              </w:rPr>
              <w:t>(6.2.4-1)</w:t>
            </w:r>
          </w:p>
        </w:tc>
      </w:tr>
      <w:tr w14:paraId="1A4C4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6" w:type="pct"/>
            <w:vAlign w:val="center"/>
          </w:tcPr>
          <w:p w14:paraId="06ADFB4E">
            <w:pPr>
              <w:spacing w:line="360" w:lineRule="auto"/>
              <w:rPr>
                <w:rFonts w:hint="eastAsia" w:ascii="等线" w:hAnsi="等线" w:eastAsia="等线" w:cs="Times New Roman"/>
                <w:color w:val="auto"/>
                <w:szCs w:val="21"/>
              </w:rPr>
            </w:pPr>
          </w:p>
        </w:tc>
        <w:tc>
          <w:tcPr>
            <w:tcW w:w="3008" w:type="pct"/>
            <w:vAlign w:val="center"/>
          </w:tcPr>
          <w:p w14:paraId="5B8E9129">
            <w:pPr>
              <w:spacing w:line="360" w:lineRule="auto"/>
              <w:jc w:val="center"/>
              <w:rPr>
                <w:rFonts w:hint="eastAsia" w:ascii="等线" w:hAnsi="等线" w:eastAsia="等线" w:cs="Times New Roman"/>
                <w:color w:val="auto"/>
                <w:szCs w:val="21"/>
              </w:rPr>
            </w:pPr>
            <m:oMathPara>
              <m:oMath>
                <m:sSub>
                  <m:sSubPr>
                    <m:ctrlPr>
                      <w:rPr>
                        <w:rFonts w:ascii="Cambria Math" w:hAnsi="Cambria Math" w:eastAsia="等线" w:cs="Times New Roman"/>
                        <w:color w:val="auto"/>
                      </w:rPr>
                    </m:ctrlPr>
                  </m:sSubPr>
                  <m:e>
                    <m:r>
                      <m:rPr/>
                      <w:rPr>
                        <w:rFonts w:ascii="Cambria Math" w:hAnsi="Cambria Math" w:eastAsia="等线" w:cs="Times New Roman"/>
                        <w:color w:val="auto"/>
                      </w:rPr>
                      <m:t>w</m:t>
                    </m:r>
                    <m:ctrlPr>
                      <w:rPr>
                        <w:rFonts w:ascii="Cambria Math" w:hAnsi="Cambria Math" w:eastAsia="等线" w:cs="Times New Roman"/>
                        <w:color w:val="auto"/>
                      </w:rPr>
                    </m:ctrlPr>
                  </m:e>
                  <m:sub>
                    <m:r>
                      <m:rPr/>
                      <w:rPr>
                        <w:rFonts w:ascii="Cambria Math" w:hAnsi="Cambria Math" w:eastAsia="等线" w:cs="Times New Roman"/>
                        <w:color w:val="auto"/>
                      </w:rPr>
                      <m:t>usmax</m:t>
                    </m:r>
                    <m:ctrlPr>
                      <w:rPr>
                        <w:rFonts w:ascii="Cambria Math" w:hAnsi="Cambria Math" w:eastAsia="等线" w:cs="Times New Roman"/>
                        <w:color w:val="auto"/>
                      </w:rPr>
                    </m:ctrlPr>
                  </m:sub>
                </m:sSub>
                <m:r>
                  <m:rPr/>
                  <w:rPr>
                    <w:rFonts w:ascii="Cambria Math" w:hAnsi="Cambria Math" w:eastAsia="等线" w:cs="Times New Roman"/>
                    <w:color w:val="auto"/>
                  </w:rPr>
                  <m:t>=</m:t>
                </m:r>
                <m:sSub>
                  <m:sSubPr>
                    <m:ctrlPr>
                      <w:rPr>
                        <w:rFonts w:ascii="Cambria Math" w:hAnsi="Cambria Math" w:eastAsia="等线" w:cs="Times New Roman"/>
                        <w:i/>
                        <w:color w:val="auto"/>
                      </w:rPr>
                    </m:ctrlPr>
                  </m:sSubPr>
                  <m:e>
                    <m:r>
                      <m:rPr/>
                      <w:rPr>
                        <w:rFonts w:ascii="Cambria Math" w:hAnsi="Cambria Math" w:eastAsia="等线" w:cs="Times New Roman"/>
                        <w:color w:val="auto"/>
                      </w:rPr>
                      <m:t>α</m:t>
                    </m:r>
                    <m:ctrlPr>
                      <w:rPr>
                        <w:rFonts w:ascii="Cambria Math" w:hAnsi="Cambria Math" w:eastAsia="等线" w:cs="Times New Roman"/>
                        <w:i/>
                        <w:color w:val="auto"/>
                      </w:rPr>
                    </m:ctrlPr>
                  </m:e>
                  <m:sub>
                    <m:r>
                      <m:rPr/>
                      <w:rPr>
                        <w:rFonts w:ascii="Cambria Math" w:hAnsi="Cambria Math" w:eastAsia="等线" w:cs="Times New Roman"/>
                        <w:color w:val="auto"/>
                      </w:rPr>
                      <m:t>cr</m:t>
                    </m:r>
                    <m:ctrlPr>
                      <w:rPr>
                        <w:rFonts w:ascii="Cambria Math" w:hAnsi="Cambria Math" w:eastAsia="等线" w:cs="Times New Roman"/>
                        <w:i/>
                        <w:color w:val="auto"/>
                      </w:rPr>
                    </m:ctrlPr>
                  </m:sub>
                </m:sSub>
                <m:r>
                  <m:rPr/>
                  <w:rPr>
                    <w:rFonts w:ascii="Cambria Math" w:hAnsi="Cambria Math" w:eastAsia="等线" w:cs="Times New Roman"/>
                    <w:color w:val="auto"/>
                  </w:rPr>
                  <m:t>ψ</m:t>
                </m:r>
                <m:f>
                  <m:fPr>
                    <m:ctrlPr>
                      <w:rPr>
                        <w:rFonts w:ascii="Cambria Math" w:hAnsi="Cambria Math" w:eastAsia="等线" w:cs="Times New Roman"/>
                        <w:i/>
                        <w:color w:val="auto"/>
                      </w:rPr>
                    </m:ctrlPr>
                  </m:fPr>
                  <m:num>
                    <m:sSub>
                      <m:sSubPr>
                        <m:ctrlPr>
                          <w:rPr>
                            <w:rFonts w:ascii="Cambria Math" w:hAnsi="Cambria Math" w:eastAsia="等线" w:cs="Times New Roman"/>
                            <w:i/>
                            <w:color w:val="auto"/>
                          </w:rPr>
                        </m:ctrlPr>
                      </m:sSubPr>
                      <m:e>
                        <m:r>
                          <m:rPr/>
                          <w:rPr>
                            <w:rFonts w:ascii="Cambria Math" w:hAnsi="Cambria Math" w:eastAsia="等线" w:cs="Times New Roman"/>
                            <w:color w:val="auto"/>
                          </w:rPr>
                          <m:t>σ</m:t>
                        </m:r>
                        <m:ctrlPr>
                          <w:rPr>
                            <w:rFonts w:ascii="Cambria Math" w:hAnsi="Cambria Math" w:eastAsia="等线" w:cs="Times New Roman"/>
                            <w:i/>
                            <w:color w:val="auto"/>
                          </w:rPr>
                        </m:ctrlPr>
                      </m:e>
                      <m:sub>
                        <m:r>
                          <m:rPr/>
                          <w:rPr>
                            <w:rFonts w:ascii="Cambria Math" w:hAnsi="Cambria Math" w:eastAsia="等线" w:cs="Times New Roman"/>
                            <w:color w:val="auto"/>
                          </w:rPr>
                          <m:t>su</m:t>
                        </m:r>
                        <m:ctrlPr>
                          <w:rPr>
                            <w:rFonts w:ascii="Cambria Math" w:hAnsi="Cambria Math" w:eastAsia="等线" w:cs="Times New Roman"/>
                            <w:i/>
                            <w:color w:val="auto"/>
                          </w:rPr>
                        </m:ctrlPr>
                      </m:sub>
                    </m:sSub>
                    <m:ctrlPr>
                      <w:rPr>
                        <w:rFonts w:ascii="Cambria Math" w:hAnsi="Cambria Math" w:eastAsia="等线" w:cs="Times New Roman"/>
                        <w:i/>
                        <w:color w:val="auto"/>
                      </w:rPr>
                    </m:ctrlPr>
                  </m:num>
                  <m:den>
                    <m:sSub>
                      <m:sSubPr>
                        <m:ctrlPr>
                          <w:rPr>
                            <w:rFonts w:ascii="Cambria Math" w:hAnsi="Cambria Math" w:eastAsia="等线" w:cs="Times New Roman"/>
                            <w:i/>
                            <w:color w:val="auto"/>
                          </w:rPr>
                        </m:ctrlPr>
                      </m:sSubPr>
                      <m:e>
                        <m:r>
                          <m:rPr/>
                          <w:rPr>
                            <w:rFonts w:ascii="Cambria Math" w:hAnsi="Cambria Math" w:eastAsia="等线" w:cs="Times New Roman"/>
                            <w:color w:val="auto"/>
                          </w:rPr>
                          <m:t>E</m:t>
                        </m:r>
                        <m:ctrlPr>
                          <w:rPr>
                            <w:rFonts w:ascii="Cambria Math" w:hAnsi="Cambria Math" w:eastAsia="等线" w:cs="Times New Roman"/>
                            <w:i/>
                            <w:color w:val="auto"/>
                          </w:rPr>
                        </m:ctrlPr>
                      </m:e>
                      <m:sub>
                        <m:r>
                          <m:rPr/>
                          <w:rPr>
                            <w:rFonts w:ascii="Cambria Math" w:hAnsi="Cambria Math" w:eastAsia="等线" w:cs="Times New Roman"/>
                            <w:color w:val="auto"/>
                          </w:rPr>
                          <m:t>s</m:t>
                        </m:r>
                        <m:ctrlPr>
                          <w:rPr>
                            <w:rFonts w:ascii="Cambria Math" w:hAnsi="Cambria Math" w:eastAsia="等线" w:cs="Times New Roman"/>
                            <w:i/>
                            <w:color w:val="auto"/>
                          </w:rPr>
                        </m:ctrlPr>
                      </m:sub>
                    </m:sSub>
                    <m:ctrlPr>
                      <w:rPr>
                        <w:rFonts w:ascii="Cambria Math" w:hAnsi="Cambria Math" w:eastAsia="等线" w:cs="Times New Roman"/>
                        <w:i/>
                        <w:color w:val="auto"/>
                      </w:rPr>
                    </m:ctrlPr>
                  </m:den>
                </m:f>
                <m:d>
                  <m:dPr>
                    <m:ctrlPr>
                      <w:rPr>
                        <w:rFonts w:ascii="Cambria Math" w:hAnsi="Cambria Math" w:eastAsia="等线" w:cs="Times New Roman"/>
                        <w:i/>
                        <w:color w:val="auto"/>
                      </w:rPr>
                    </m:ctrlPr>
                  </m:dPr>
                  <m:e>
                    <m:r>
                      <m:rPr/>
                      <w:rPr>
                        <w:rFonts w:ascii="Cambria Math" w:hAnsi="Cambria Math" w:eastAsia="等线" w:cs="Times New Roman"/>
                        <w:color w:val="auto"/>
                      </w:rPr>
                      <m:t>1.62c+0.07</m:t>
                    </m:r>
                    <m:f>
                      <m:fPr>
                        <m:ctrlPr>
                          <w:rPr>
                            <w:rFonts w:ascii="Cambria Math" w:hAnsi="Cambria Math" w:eastAsia="等线" w:cs="Times New Roman"/>
                            <w:i/>
                            <w:color w:val="auto"/>
                          </w:rPr>
                        </m:ctrlPr>
                      </m:fPr>
                      <m:num>
                        <m:r>
                          <m:rPr/>
                          <w:rPr>
                            <w:rFonts w:ascii="Cambria Math" w:hAnsi="Cambria Math" w:eastAsia="等线" w:cs="Times New Roman"/>
                            <w:color w:val="auto"/>
                          </w:rPr>
                          <m:t>d</m:t>
                        </m:r>
                        <m:ctrlPr>
                          <w:rPr>
                            <w:rFonts w:ascii="Cambria Math" w:hAnsi="Cambria Math" w:eastAsia="等线" w:cs="Times New Roman"/>
                            <w:i/>
                            <w:color w:val="auto"/>
                          </w:rPr>
                        </m:ctrlPr>
                      </m:num>
                      <m:den>
                        <m:sSub>
                          <m:sSubPr>
                            <m:ctrlPr>
                              <w:rPr>
                                <w:rFonts w:ascii="Cambria Math" w:hAnsi="Cambria Math" w:eastAsia="等线" w:cs="Times New Roman"/>
                                <w:i/>
                                <w:color w:val="auto"/>
                              </w:rPr>
                            </m:ctrlPr>
                          </m:sSubPr>
                          <m:e>
                            <m:r>
                              <m:rPr/>
                              <w:rPr>
                                <w:rFonts w:ascii="Cambria Math" w:hAnsi="Cambria Math" w:eastAsia="等线" w:cs="Times New Roman"/>
                                <w:color w:val="auto"/>
                              </w:rPr>
                              <m:t>ρ</m:t>
                            </m:r>
                            <m:ctrlPr>
                              <w:rPr>
                                <w:rFonts w:ascii="Cambria Math" w:hAnsi="Cambria Math" w:eastAsia="等线" w:cs="Times New Roman"/>
                                <w:i/>
                                <w:color w:val="auto"/>
                              </w:rPr>
                            </m:ctrlPr>
                          </m:e>
                          <m:sub>
                            <m:r>
                              <m:rPr/>
                              <w:rPr>
                                <w:rFonts w:ascii="Cambria Math" w:hAnsi="Cambria Math" w:eastAsia="等线" w:cs="Times New Roman"/>
                                <w:color w:val="auto"/>
                              </w:rPr>
                              <m:t>te</m:t>
                            </m:r>
                            <m:ctrlPr>
                              <w:rPr>
                                <w:rFonts w:ascii="Cambria Math" w:hAnsi="Cambria Math" w:eastAsia="等线" w:cs="Times New Roman"/>
                                <w:i/>
                                <w:color w:val="auto"/>
                              </w:rPr>
                            </m:ctrlPr>
                          </m:sub>
                        </m:sSub>
                        <m:ctrlPr>
                          <w:rPr>
                            <w:rFonts w:ascii="Cambria Math" w:hAnsi="Cambria Math" w:eastAsia="等线" w:cs="Times New Roman"/>
                            <w:i/>
                            <w:color w:val="auto"/>
                          </w:rPr>
                        </m:ctrlPr>
                      </m:den>
                    </m:f>
                    <m:ctrlPr>
                      <w:rPr>
                        <w:rFonts w:ascii="Cambria Math" w:hAnsi="Cambria Math" w:eastAsia="等线" w:cs="Times New Roman"/>
                        <w:i/>
                        <w:color w:val="auto"/>
                      </w:rPr>
                    </m:ctrlPr>
                  </m:e>
                </m:d>
              </m:oMath>
            </m:oMathPara>
          </w:p>
        </w:tc>
        <w:tc>
          <w:tcPr>
            <w:tcW w:w="1156" w:type="pct"/>
            <w:vAlign w:val="center"/>
          </w:tcPr>
          <w:p w14:paraId="0763CA15">
            <w:pPr>
              <w:spacing w:line="360" w:lineRule="auto"/>
              <w:jc w:val="right"/>
              <w:rPr>
                <w:rFonts w:ascii="Times New Roman" w:hAnsi="Times New Roman" w:eastAsia="宋体"/>
                <w:color w:val="auto"/>
                <w:szCs w:val="21"/>
              </w:rPr>
            </w:pPr>
            <w:r>
              <w:rPr>
                <w:rFonts w:ascii="Times New Roman" w:hAnsi="Times New Roman" w:eastAsia="宋体"/>
                <w:color w:val="auto"/>
                <w:szCs w:val="21"/>
              </w:rPr>
              <w:t>(6.2.4-2)</w:t>
            </w:r>
          </w:p>
        </w:tc>
      </w:tr>
      <w:tr w14:paraId="6652B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6" w:type="pct"/>
            <w:vAlign w:val="center"/>
          </w:tcPr>
          <w:p w14:paraId="7B89B533">
            <w:pPr>
              <w:spacing w:line="360" w:lineRule="auto"/>
              <w:rPr>
                <w:rFonts w:hint="eastAsia" w:ascii="等线" w:hAnsi="等线" w:eastAsia="等线" w:cs="Times New Roman"/>
                <w:color w:val="auto"/>
                <w:szCs w:val="21"/>
              </w:rPr>
            </w:pPr>
          </w:p>
        </w:tc>
        <w:tc>
          <w:tcPr>
            <w:tcW w:w="3008" w:type="pct"/>
            <w:vAlign w:val="center"/>
          </w:tcPr>
          <w:p w14:paraId="6CF95864">
            <w:pPr>
              <w:spacing w:line="360" w:lineRule="auto"/>
              <w:jc w:val="center"/>
              <w:rPr>
                <w:rFonts w:hint="eastAsia" w:ascii="等线" w:hAnsi="等线" w:eastAsia="等线" w:cs="Times New Roman"/>
                <w:color w:val="auto"/>
                <w:szCs w:val="21"/>
              </w:rPr>
            </w:pPr>
            <m:oMathPara>
              <m:oMath>
                <m:r>
                  <m:rPr/>
                  <w:rPr>
                    <w:rFonts w:ascii="Cambria Math" w:hAnsi="Cambria Math" w:eastAsia="等线" w:cs="Times New Roman"/>
                    <w:color w:val="auto"/>
                  </w:rPr>
                  <m:t>ψ</m:t>
                </m:r>
                <m:r>
                  <m:rPr>
                    <m:sty m:val="p"/>
                  </m:rPr>
                  <w:rPr>
                    <w:rFonts w:ascii="Cambria Math" w:hAnsi="Cambria Math" w:eastAsia="等线" w:cs="Times New Roman"/>
                    <w:color w:val="auto"/>
                  </w:rPr>
                  <m:t>=1−</m:t>
                </m:r>
                <m:f>
                  <m:fPr>
                    <m:ctrlPr>
                      <w:rPr>
                        <w:rFonts w:ascii="Cambria Math" w:hAnsi="Cambria Math" w:eastAsia="等线" w:cs="Times New Roman"/>
                        <w:color w:val="auto"/>
                      </w:rPr>
                    </m:ctrlPr>
                  </m:fPr>
                  <m:num>
                    <m:r>
                      <m:rPr/>
                      <w:rPr>
                        <w:rFonts w:ascii="Cambria Math" w:hAnsi="Cambria Math" w:eastAsia="等线" w:cs="Times New Roman"/>
                        <w:color w:val="auto"/>
                      </w:rPr>
                      <m:t>0.4</m:t>
                    </m:r>
                    <m:d>
                      <m:dPr>
                        <m:ctrlPr>
                          <w:rPr>
                            <w:rFonts w:ascii="Cambria Math" w:hAnsi="Cambria Math" w:eastAsia="等线" w:cs="Times New Roman"/>
                            <w:i/>
                            <w:color w:val="auto"/>
                          </w:rPr>
                        </m:ctrlPr>
                      </m:dPr>
                      <m:e>
                        <m:sSub>
                          <m:sSubPr>
                            <m:ctrlPr>
                              <w:rPr>
                                <w:rFonts w:ascii="Cambria Math" w:hAnsi="Cambria Math" w:eastAsia="等线" w:cs="Times New Roman"/>
                                <w:i/>
                                <w:color w:val="auto"/>
                              </w:rPr>
                            </m:ctrlPr>
                          </m:sSubPr>
                          <m:e>
                            <m:r>
                              <m:rPr/>
                              <w:rPr>
                                <w:rFonts w:ascii="Cambria Math" w:hAnsi="Cambria Math" w:eastAsia="等线" w:cs="Times New Roman"/>
                                <w:color w:val="auto"/>
                              </w:rPr>
                              <m:t>f</m:t>
                            </m:r>
                            <m:ctrlPr>
                              <w:rPr>
                                <w:rFonts w:ascii="Cambria Math" w:hAnsi="Cambria Math" w:eastAsia="等线" w:cs="Times New Roman"/>
                                <w:i/>
                                <w:color w:val="auto"/>
                              </w:rPr>
                            </m:ctrlPr>
                          </m:e>
                          <m:sub>
                            <m:r>
                              <m:rPr/>
                              <w:rPr>
                                <w:rFonts w:ascii="Cambria Math" w:hAnsi="Cambria Math" w:eastAsia="等线" w:cs="Times New Roman"/>
                                <w:color w:val="auto"/>
                              </w:rPr>
                              <m:t>tk</m:t>
                            </m:r>
                            <m:ctrlPr>
                              <w:rPr>
                                <w:rFonts w:ascii="Cambria Math" w:hAnsi="Cambria Math" w:eastAsia="等线" w:cs="Times New Roman"/>
                                <w:i/>
                                <w:color w:val="auto"/>
                              </w:rPr>
                            </m:ctrlPr>
                          </m:sub>
                        </m:sSub>
                        <m:r>
                          <m:rPr/>
                          <w:rPr>
                            <w:rFonts w:ascii="Cambria Math" w:hAnsi="Cambria Math" w:eastAsia="等线" w:cs="Times New Roman"/>
                            <w:color w:val="auto"/>
                          </w:rPr>
                          <m:t>−</m:t>
                        </m:r>
                        <m:f>
                          <m:fPr>
                            <m:type m:val="lin"/>
                            <m:ctrlPr>
                              <w:rPr>
                                <w:rFonts w:ascii="Cambria Math" w:hAnsi="Cambria Math" w:eastAsia="等线" w:cs="Times New Roman"/>
                                <w:i/>
                                <w:color w:val="auto"/>
                              </w:rPr>
                            </m:ctrlPr>
                          </m:fPr>
                          <m:num>
                            <m:sSub>
                              <m:sSubPr>
                                <m:ctrlPr>
                                  <w:rPr>
                                    <w:rFonts w:ascii="Cambria Math" w:hAnsi="Cambria Math" w:eastAsia="等线" w:cs="Times New Roman"/>
                                    <w:i/>
                                    <w:color w:val="auto"/>
                                  </w:rPr>
                                </m:ctrlPr>
                              </m:sSubPr>
                              <m:e>
                                <m:r>
                                  <m:rPr/>
                                  <w:rPr>
                                    <w:rFonts w:ascii="Cambria Math" w:hAnsi="Cambria Math" w:eastAsia="等线" w:cs="Times New Roman"/>
                                    <w:color w:val="auto"/>
                                  </w:rPr>
                                  <m:t>f</m:t>
                                </m:r>
                                <m:ctrlPr>
                                  <w:rPr>
                                    <w:rFonts w:ascii="Cambria Math" w:hAnsi="Cambria Math" w:eastAsia="等线" w:cs="Times New Roman"/>
                                    <w:i/>
                                    <w:color w:val="auto"/>
                                  </w:rPr>
                                </m:ctrlPr>
                              </m:e>
                              <m:sub>
                                <m:r>
                                  <m:rPr/>
                                  <w:rPr>
                                    <w:rFonts w:ascii="Cambria Math" w:hAnsi="Cambria Math" w:eastAsia="等线" w:cs="Times New Roman"/>
                                    <w:color w:val="auto"/>
                                  </w:rPr>
                                  <m:t>tk</m:t>
                                </m:r>
                                <m:ctrlPr>
                                  <w:rPr>
                                    <w:rFonts w:ascii="Cambria Math" w:hAnsi="Cambria Math" w:eastAsia="等线" w:cs="Times New Roman"/>
                                    <w:i/>
                                    <w:color w:val="auto"/>
                                  </w:rPr>
                                </m:ctrlPr>
                              </m:sub>
                            </m:sSub>
                            <m:ctrlPr>
                              <w:rPr>
                                <w:rFonts w:ascii="Cambria Math" w:hAnsi="Cambria Math" w:eastAsia="等线" w:cs="Times New Roman"/>
                                <w:i/>
                                <w:color w:val="auto"/>
                              </w:rPr>
                            </m:ctrlPr>
                          </m:num>
                          <m:den>
                            <m:sSub>
                              <m:sSubPr>
                                <m:ctrlPr>
                                  <w:rPr>
                                    <w:rFonts w:ascii="Cambria Math" w:hAnsi="Cambria Math" w:eastAsia="等线" w:cs="Times New Roman"/>
                                    <w:i/>
                                    <w:color w:val="auto"/>
                                  </w:rPr>
                                </m:ctrlPr>
                              </m:sSubPr>
                              <m:e>
                                <m:r>
                                  <m:rPr/>
                                  <w:rPr>
                                    <w:rFonts w:ascii="Cambria Math" w:hAnsi="Cambria Math" w:eastAsia="等线" w:cs="Times New Roman"/>
                                    <w:color w:val="auto"/>
                                  </w:rPr>
                                  <m:t>K</m:t>
                                </m:r>
                                <m:ctrlPr>
                                  <w:rPr>
                                    <w:rFonts w:ascii="Cambria Math" w:hAnsi="Cambria Math" w:eastAsia="等线" w:cs="Times New Roman"/>
                                    <w:i/>
                                    <w:color w:val="auto"/>
                                  </w:rPr>
                                </m:ctrlPr>
                              </m:e>
                              <m:sub>
                                <m:r>
                                  <m:rPr/>
                                  <w:rPr>
                                    <w:rFonts w:ascii="Cambria Math" w:hAnsi="Cambria Math" w:eastAsia="等线" w:cs="Times New Roman"/>
                                    <w:color w:val="auto"/>
                                  </w:rPr>
                                  <m:t>global</m:t>
                                </m:r>
                                <m:ctrlPr>
                                  <w:rPr>
                                    <w:rFonts w:ascii="Cambria Math" w:hAnsi="Cambria Math" w:eastAsia="等线" w:cs="Times New Roman"/>
                                    <w:i/>
                                    <w:color w:val="auto"/>
                                  </w:rPr>
                                </m:ctrlPr>
                              </m:sub>
                            </m:sSub>
                            <m:ctrlPr>
                              <w:rPr>
                                <w:rFonts w:ascii="Cambria Math" w:hAnsi="Cambria Math" w:eastAsia="等线" w:cs="Times New Roman"/>
                                <w:i/>
                                <w:color w:val="auto"/>
                              </w:rPr>
                            </m:ctrlPr>
                          </m:den>
                        </m:f>
                        <m:ctrlPr>
                          <w:rPr>
                            <w:rFonts w:ascii="Cambria Math" w:hAnsi="Cambria Math" w:eastAsia="等线" w:cs="Times New Roman"/>
                            <w:i/>
                            <w:color w:val="auto"/>
                          </w:rPr>
                        </m:ctrlPr>
                      </m:e>
                    </m:d>
                    <m:ctrlPr>
                      <w:rPr>
                        <w:rFonts w:ascii="Cambria Math" w:hAnsi="Cambria Math" w:eastAsia="等线" w:cs="Times New Roman"/>
                        <w:color w:val="auto"/>
                      </w:rPr>
                    </m:ctrlPr>
                  </m:num>
                  <m:den>
                    <m:sSub>
                      <m:sSubPr>
                        <m:ctrlPr>
                          <w:rPr>
                            <w:rFonts w:ascii="Cambria Math" w:hAnsi="Cambria Math" w:eastAsia="等线" w:cs="Times New Roman"/>
                            <w:i/>
                            <w:color w:val="auto"/>
                          </w:rPr>
                        </m:ctrlPr>
                      </m:sSubPr>
                      <m:e>
                        <m:r>
                          <m:rPr/>
                          <w:rPr>
                            <w:rFonts w:ascii="Cambria Math" w:hAnsi="Cambria Math" w:eastAsia="等线" w:cs="Times New Roman"/>
                            <w:color w:val="auto"/>
                          </w:rPr>
                          <m:t>ρ</m:t>
                        </m:r>
                        <m:ctrlPr>
                          <w:rPr>
                            <w:rFonts w:ascii="Cambria Math" w:hAnsi="Cambria Math" w:eastAsia="等线" w:cs="Times New Roman"/>
                            <w:i/>
                            <w:color w:val="auto"/>
                          </w:rPr>
                        </m:ctrlPr>
                      </m:e>
                      <m:sub>
                        <m:r>
                          <m:rPr/>
                          <w:rPr>
                            <w:rFonts w:ascii="Cambria Math" w:hAnsi="Cambria Math" w:eastAsia="等线" w:cs="Times New Roman"/>
                            <w:color w:val="auto"/>
                          </w:rPr>
                          <m:t>te</m:t>
                        </m:r>
                        <m:ctrlPr>
                          <w:rPr>
                            <w:rFonts w:ascii="Cambria Math" w:hAnsi="Cambria Math" w:eastAsia="等线" w:cs="Times New Roman"/>
                            <w:i/>
                            <w:color w:val="auto"/>
                          </w:rPr>
                        </m:ctrlPr>
                      </m:sub>
                    </m:sSub>
                    <m:sSub>
                      <m:sSubPr>
                        <m:ctrlPr>
                          <w:rPr>
                            <w:rFonts w:ascii="Cambria Math" w:hAnsi="Cambria Math" w:eastAsia="等线" w:cs="Times New Roman"/>
                            <w:i/>
                            <w:color w:val="auto"/>
                          </w:rPr>
                        </m:ctrlPr>
                      </m:sSubPr>
                      <m:e>
                        <m:r>
                          <m:rPr/>
                          <w:rPr>
                            <w:rFonts w:ascii="Cambria Math" w:hAnsi="Cambria Math" w:eastAsia="等线" w:cs="Times New Roman"/>
                            <w:color w:val="auto"/>
                          </w:rPr>
                          <m:t>σ</m:t>
                        </m:r>
                        <m:ctrlPr>
                          <w:rPr>
                            <w:rFonts w:ascii="Cambria Math" w:hAnsi="Cambria Math" w:eastAsia="等线" w:cs="Times New Roman"/>
                            <w:i/>
                            <w:color w:val="auto"/>
                          </w:rPr>
                        </m:ctrlPr>
                      </m:e>
                      <m:sub>
                        <m:r>
                          <m:rPr/>
                          <w:rPr>
                            <w:rFonts w:ascii="Cambria Math" w:hAnsi="Cambria Math" w:eastAsia="等线" w:cs="Times New Roman"/>
                            <w:color w:val="auto"/>
                          </w:rPr>
                          <m:t>su</m:t>
                        </m:r>
                        <m:ctrlPr>
                          <w:rPr>
                            <w:rFonts w:ascii="Cambria Math" w:hAnsi="Cambria Math" w:eastAsia="等线" w:cs="Times New Roman"/>
                            <w:i/>
                            <w:color w:val="auto"/>
                          </w:rPr>
                        </m:ctrlPr>
                      </m:sub>
                    </m:sSub>
                    <m:ctrlPr>
                      <w:rPr>
                        <w:rFonts w:ascii="Cambria Math" w:hAnsi="Cambria Math" w:eastAsia="等线" w:cs="Times New Roman"/>
                        <w:color w:val="auto"/>
                      </w:rPr>
                    </m:ctrlPr>
                  </m:den>
                </m:f>
              </m:oMath>
            </m:oMathPara>
          </w:p>
        </w:tc>
        <w:tc>
          <w:tcPr>
            <w:tcW w:w="1156" w:type="pct"/>
            <w:vAlign w:val="center"/>
          </w:tcPr>
          <w:p w14:paraId="34C0DFB4">
            <w:pPr>
              <w:spacing w:line="360" w:lineRule="auto"/>
              <w:jc w:val="right"/>
              <w:rPr>
                <w:rFonts w:ascii="Times New Roman" w:hAnsi="Times New Roman" w:eastAsia="宋体"/>
                <w:color w:val="auto"/>
                <w:szCs w:val="21"/>
              </w:rPr>
            </w:pPr>
            <w:r>
              <w:rPr>
                <w:rFonts w:ascii="Times New Roman" w:hAnsi="Times New Roman" w:eastAsia="宋体"/>
                <w:color w:val="auto"/>
                <w:szCs w:val="21"/>
              </w:rPr>
              <w:t>(6.2.4-3)</w:t>
            </w:r>
          </w:p>
        </w:tc>
      </w:tr>
      <w:tr w14:paraId="0B966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6" w:type="pct"/>
            <w:vAlign w:val="center"/>
          </w:tcPr>
          <w:p w14:paraId="0EE0D5ED">
            <w:pPr>
              <w:spacing w:line="360" w:lineRule="auto"/>
              <w:rPr>
                <w:rFonts w:hint="eastAsia" w:ascii="等线" w:hAnsi="等线" w:eastAsia="等线" w:cs="Times New Roman"/>
                <w:color w:val="auto"/>
                <w:szCs w:val="21"/>
              </w:rPr>
            </w:pPr>
          </w:p>
        </w:tc>
        <w:tc>
          <w:tcPr>
            <w:tcW w:w="3008" w:type="pct"/>
            <w:vAlign w:val="center"/>
          </w:tcPr>
          <w:p w14:paraId="627B93C7">
            <w:pPr>
              <w:spacing w:line="360" w:lineRule="auto"/>
              <w:jc w:val="center"/>
              <w:rPr>
                <w:rFonts w:hint="eastAsia" w:ascii="等线" w:hAnsi="等线" w:eastAsia="等线" w:cs="Times New Roman"/>
                <w:color w:val="auto"/>
                <w:szCs w:val="21"/>
              </w:rPr>
            </w:pPr>
            <m:oMathPara>
              <m:oMath>
                <m:r>
                  <m:rPr/>
                  <w:rPr>
                    <w:rFonts w:ascii="Cambria Math" w:hAnsi="Cambria Math" w:eastAsia="等线" w:cs="Times New Roman"/>
                    <w:color w:val="auto"/>
                  </w:rPr>
                  <m:t>d</m:t>
                </m:r>
                <m:r>
                  <m:rPr>
                    <m:sty m:val="p"/>
                  </m:rPr>
                  <w:rPr>
                    <w:rFonts w:ascii="Cambria Math" w:hAnsi="Cambria Math" w:eastAsia="等线" w:cs="Times New Roman"/>
                    <w:color w:val="auto"/>
                  </w:rPr>
                  <m:t>=</m:t>
                </m:r>
                <m:f>
                  <m:fPr>
                    <m:ctrlPr>
                      <w:rPr>
                        <w:rFonts w:ascii="Cambria Math" w:hAnsi="Cambria Math" w:eastAsia="等线" w:cs="Times New Roman"/>
                        <w:color w:val="auto"/>
                      </w:rPr>
                    </m:ctrlPr>
                  </m:fPr>
                  <m:num>
                    <m:nary>
                      <m:naryPr>
                        <m:chr m:val="∑"/>
                        <m:limLoc m:val="undOvr"/>
                        <m:subHide m:val="1"/>
                        <m:supHide m:val="1"/>
                        <m:ctrlPr>
                          <w:rPr>
                            <w:rFonts w:ascii="Cambria Math" w:hAnsi="Cambria Math" w:eastAsia="等线" w:cs="Times New Roman"/>
                            <w:i/>
                            <w:color w:val="auto"/>
                          </w:rPr>
                        </m:ctrlPr>
                      </m:naryPr>
                      <m:sub>
                        <m:ctrlPr>
                          <w:rPr>
                            <w:rFonts w:ascii="Cambria Math" w:hAnsi="Cambria Math" w:eastAsia="等线" w:cs="Times New Roman"/>
                            <w:i/>
                            <w:color w:val="auto"/>
                          </w:rPr>
                        </m:ctrlPr>
                      </m:sub>
                      <m:sup>
                        <m:ctrlPr>
                          <w:rPr>
                            <w:rFonts w:ascii="Cambria Math" w:hAnsi="Cambria Math" w:eastAsia="等线" w:cs="Times New Roman"/>
                            <w:i/>
                            <w:color w:val="auto"/>
                          </w:rPr>
                        </m:ctrlPr>
                      </m:sup>
                      <m:e>
                        <m:sSub>
                          <m:sSubPr>
                            <m:ctrlPr>
                              <w:rPr>
                                <w:rFonts w:ascii="Cambria Math" w:hAnsi="Cambria Math" w:eastAsia="等线" w:cs="Times New Roman"/>
                                <w:i/>
                                <w:color w:val="auto"/>
                              </w:rPr>
                            </m:ctrlPr>
                          </m:sSubPr>
                          <m:e>
                            <m:r>
                              <m:rPr/>
                              <w:rPr>
                                <w:rFonts w:ascii="Cambria Math" w:hAnsi="Cambria Math" w:eastAsia="等线" w:cs="Times New Roman"/>
                                <w:color w:val="auto"/>
                              </w:rPr>
                              <m:t>n</m:t>
                            </m:r>
                            <m:ctrlPr>
                              <w:rPr>
                                <w:rFonts w:ascii="Cambria Math" w:hAnsi="Cambria Math" w:eastAsia="等线" w:cs="Times New Roman"/>
                                <w:i/>
                                <w:color w:val="auto"/>
                              </w:rPr>
                            </m:ctrlPr>
                          </m:e>
                          <m:sub>
                            <m:r>
                              <m:rPr/>
                              <w:rPr>
                                <w:rFonts w:ascii="Cambria Math" w:hAnsi="Cambria Math" w:eastAsia="等线" w:cs="Times New Roman"/>
                                <w:color w:val="auto"/>
                              </w:rPr>
                              <m:t>i</m:t>
                            </m:r>
                            <m:ctrlPr>
                              <w:rPr>
                                <w:rFonts w:ascii="Cambria Math" w:hAnsi="Cambria Math" w:eastAsia="等线" w:cs="Times New Roman"/>
                                <w:i/>
                                <w:color w:val="auto"/>
                              </w:rPr>
                            </m:ctrlPr>
                          </m:sub>
                        </m:sSub>
                        <m:sSubSup>
                          <m:sSubSupPr>
                            <m:ctrlPr>
                              <w:rPr>
                                <w:rFonts w:ascii="Cambria Math" w:hAnsi="Cambria Math" w:eastAsia="等线" w:cs="Times New Roman"/>
                                <w:i/>
                                <w:color w:val="auto"/>
                              </w:rPr>
                            </m:ctrlPr>
                          </m:sSubSupPr>
                          <m:e>
                            <m:r>
                              <m:rPr/>
                              <w:rPr>
                                <w:rFonts w:ascii="Cambria Math" w:hAnsi="Cambria Math" w:eastAsia="等线" w:cs="Times New Roman"/>
                                <w:color w:val="auto"/>
                              </w:rPr>
                              <m:t>d</m:t>
                            </m:r>
                            <m:ctrlPr>
                              <w:rPr>
                                <w:rFonts w:ascii="Cambria Math" w:hAnsi="Cambria Math" w:eastAsia="等线" w:cs="Times New Roman"/>
                                <w:i/>
                                <w:color w:val="auto"/>
                              </w:rPr>
                            </m:ctrlPr>
                          </m:e>
                          <m:sub>
                            <m:r>
                              <m:rPr/>
                              <w:rPr>
                                <w:rFonts w:ascii="Cambria Math" w:hAnsi="Cambria Math" w:eastAsia="等线" w:cs="Times New Roman"/>
                                <w:color w:val="auto"/>
                              </w:rPr>
                              <m:t>i</m:t>
                            </m:r>
                            <m:ctrlPr>
                              <w:rPr>
                                <w:rFonts w:ascii="Cambria Math" w:hAnsi="Cambria Math" w:eastAsia="等线" w:cs="Times New Roman"/>
                                <w:i/>
                                <w:color w:val="auto"/>
                              </w:rPr>
                            </m:ctrlPr>
                          </m:sub>
                          <m:sup>
                            <m:r>
                              <m:rPr/>
                              <w:rPr>
                                <w:rFonts w:ascii="Cambria Math" w:hAnsi="Cambria Math" w:eastAsia="等线" w:cs="Times New Roman"/>
                                <w:color w:val="auto"/>
                              </w:rPr>
                              <m:t>2</m:t>
                            </m:r>
                            <m:ctrlPr>
                              <w:rPr>
                                <w:rFonts w:ascii="Cambria Math" w:hAnsi="Cambria Math" w:eastAsia="等线" w:cs="Times New Roman"/>
                                <w:i/>
                                <w:color w:val="auto"/>
                              </w:rPr>
                            </m:ctrlPr>
                          </m:sup>
                        </m:sSubSup>
                        <m:ctrlPr>
                          <w:rPr>
                            <w:rFonts w:ascii="Cambria Math" w:hAnsi="Cambria Math" w:eastAsia="等线" w:cs="Times New Roman"/>
                            <w:i/>
                            <w:color w:val="auto"/>
                          </w:rPr>
                        </m:ctrlPr>
                      </m:e>
                    </m:nary>
                    <m:ctrlPr>
                      <w:rPr>
                        <w:rFonts w:ascii="Cambria Math" w:hAnsi="Cambria Math" w:eastAsia="等线" w:cs="Times New Roman"/>
                        <w:color w:val="auto"/>
                      </w:rPr>
                    </m:ctrlPr>
                  </m:num>
                  <m:den>
                    <m:nary>
                      <m:naryPr>
                        <m:chr m:val="∑"/>
                        <m:limLoc m:val="undOvr"/>
                        <m:subHide m:val="1"/>
                        <m:supHide m:val="1"/>
                        <m:ctrlPr>
                          <w:rPr>
                            <w:rFonts w:ascii="Cambria Math" w:hAnsi="Cambria Math" w:eastAsia="等线" w:cs="Times New Roman"/>
                            <w:i/>
                            <w:color w:val="auto"/>
                          </w:rPr>
                        </m:ctrlPr>
                      </m:naryPr>
                      <m:sub>
                        <m:ctrlPr>
                          <w:rPr>
                            <w:rFonts w:ascii="Cambria Math" w:hAnsi="Cambria Math" w:eastAsia="等线" w:cs="Times New Roman"/>
                            <w:i/>
                            <w:color w:val="auto"/>
                          </w:rPr>
                        </m:ctrlPr>
                      </m:sub>
                      <m:sup>
                        <m:ctrlPr>
                          <w:rPr>
                            <w:rFonts w:ascii="Cambria Math" w:hAnsi="Cambria Math" w:eastAsia="等线" w:cs="Times New Roman"/>
                            <w:i/>
                            <w:color w:val="auto"/>
                          </w:rPr>
                        </m:ctrlPr>
                      </m:sup>
                      <m:e>
                        <m:sSub>
                          <m:sSubPr>
                            <m:ctrlPr>
                              <w:rPr>
                                <w:rFonts w:ascii="Cambria Math" w:hAnsi="Cambria Math" w:eastAsia="等线" w:cs="Times New Roman"/>
                                <w:i/>
                                <w:color w:val="auto"/>
                              </w:rPr>
                            </m:ctrlPr>
                          </m:sSubPr>
                          <m:e>
                            <m:r>
                              <m:rPr/>
                              <w:rPr>
                                <w:rFonts w:ascii="Cambria Math" w:hAnsi="Cambria Math" w:eastAsia="等线" w:cs="Times New Roman"/>
                                <w:color w:val="auto"/>
                              </w:rPr>
                              <m:t>n</m:t>
                            </m:r>
                            <m:ctrlPr>
                              <w:rPr>
                                <w:rFonts w:ascii="Cambria Math" w:hAnsi="Cambria Math" w:eastAsia="等线" w:cs="Times New Roman"/>
                                <w:i/>
                                <w:color w:val="auto"/>
                              </w:rPr>
                            </m:ctrlPr>
                          </m:e>
                          <m:sub>
                            <m:r>
                              <m:rPr/>
                              <w:rPr>
                                <w:rFonts w:ascii="Cambria Math" w:hAnsi="Cambria Math" w:eastAsia="等线" w:cs="Times New Roman"/>
                                <w:color w:val="auto"/>
                              </w:rPr>
                              <m:t>i</m:t>
                            </m:r>
                            <m:ctrlPr>
                              <w:rPr>
                                <w:rFonts w:ascii="Cambria Math" w:hAnsi="Cambria Math" w:eastAsia="等线" w:cs="Times New Roman"/>
                                <w:i/>
                                <w:color w:val="auto"/>
                              </w:rPr>
                            </m:ctrlPr>
                          </m:sub>
                        </m:sSub>
                        <m:sSub>
                          <m:sSubPr>
                            <m:ctrlPr>
                              <w:rPr>
                                <w:rFonts w:ascii="Cambria Math" w:hAnsi="Cambria Math" w:eastAsia="等线" w:cs="Times New Roman"/>
                                <w:i/>
                                <w:color w:val="auto"/>
                              </w:rPr>
                            </m:ctrlPr>
                          </m:sSubPr>
                          <m:e>
                            <m:r>
                              <m:rPr/>
                              <w:rPr>
                                <w:rFonts w:ascii="Cambria Math" w:hAnsi="Cambria Math" w:eastAsia="等线" w:cs="Times New Roman"/>
                                <w:color w:val="auto"/>
                              </w:rPr>
                              <m:t>d</m:t>
                            </m:r>
                            <m:ctrlPr>
                              <w:rPr>
                                <w:rFonts w:ascii="Cambria Math" w:hAnsi="Cambria Math" w:eastAsia="等线" w:cs="Times New Roman"/>
                                <w:i/>
                                <w:color w:val="auto"/>
                              </w:rPr>
                            </m:ctrlPr>
                          </m:e>
                          <m:sub>
                            <m:r>
                              <m:rPr/>
                              <w:rPr>
                                <w:rFonts w:ascii="Cambria Math" w:hAnsi="Cambria Math" w:eastAsia="等线" w:cs="Times New Roman"/>
                                <w:color w:val="auto"/>
                              </w:rPr>
                              <m:t>i</m:t>
                            </m:r>
                            <m:ctrlPr>
                              <w:rPr>
                                <w:rFonts w:ascii="Cambria Math" w:hAnsi="Cambria Math" w:eastAsia="等线" w:cs="Times New Roman"/>
                                <w:i/>
                                <w:color w:val="auto"/>
                              </w:rPr>
                            </m:ctrlPr>
                          </m:sub>
                        </m:sSub>
                        <m:ctrlPr>
                          <w:rPr>
                            <w:rFonts w:ascii="Cambria Math" w:hAnsi="Cambria Math" w:eastAsia="等线" w:cs="Times New Roman"/>
                            <w:i/>
                            <w:color w:val="auto"/>
                          </w:rPr>
                        </m:ctrlPr>
                      </m:e>
                    </m:nary>
                    <m:ctrlPr>
                      <w:rPr>
                        <w:rFonts w:ascii="Cambria Math" w:hAnsi="Cambria Math" w:eastAsia="等线" w:cs="Times New Roman"/>
                        <w:color w:val="auto"/>
                      </w:rPr>
                    </m:ctrlPr>
                  </m:den>
                </m:f>
              </m:oMath>
            </m:oMathPara>
          </w:p>
        </w:tc>
        <w:tc>
          <w:tcPr>
            <w:tcW w:w="1156" w:type="pct"/>
            <w:vAlign w:val="center"/>
          </w:tcPr>
          <w:p w14:paraId="39E1195A">
            <w:pPr>
              <w:spacing w:line="360" w:lineRule="auto"/>
              <w:jc w:val="right"/>
              <w:rPr>
                <w:rFonts w:ascii="Times New Roman" w:hAnsi="Times New Roman" w:eastAsia="宋体"/>
                <w:color w:val="auto"/>
                <w:szCs w:val="21"/>
              </w:rPr>
            </w:pPr>
            <w:r>
              <w:rPr>
                <w:rFonts w:ascii="Times New Roman" w:hAnsi="Times New Roman" w:eastAsia="宋体"/>
                <w:color w:val="auto"/>
                <w:szCs w:val="21"/>
              </w:rPr>
              <w:t>(6.2.4-4)</w:t>
            </w:r>
          </w:p>
        </w:tc>
      </w:tr>
      <w:tr w14:paraId="590B5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6" w:type="pct"/>
            <w:vAlign w:val="center"/>
          </w:tcPr>
          <w:p w14:paraId="23DF017F">
            <w:pPr>
              <w:spacing w:line="360" w:lineRule="auto"/>
              <w:rPr>
                <w:rFonts w:hint="eastAsia" w:ascii="等线" w:hAnsi="等线" w:eastAsia="等线" w:cs="Times New Roman"/>
                <w:color w:val="auto"/>
                <w:szCs w:val="21"/>
              </w:rPr>
            </w:pPr>
          </w:p>
        </w:tc>
        <w:tc>
          <w:tcPr>
            <w:tcW w:w="3008" w:type="pct"/>
            <w:vAlign w:val="center"/>
          </w:tcPr>
          <w:p w14:paraId="3D492C18">
            <w:pPr>
              <w:spacing w:line="360" w:lineRule="auto"/>
              <w:jc w:val="center"/>
              <w:rPr>
                <w:rFonts w:hint="eastAsia" w:ascii="等线" w:hAnsi="等线" w:eastAsia="等线" w:cs="Times New Roman"/>
                <w:color w:val="auto"/>
                <w:szCs w:val="21"/>
              </w:rPr>
            </w:pPr>
            <m:oMathPara>
              <m:oMath>
                <m:sSub>
                  <m:sSubPr>
                    <m:ctrlPr>
                      <w:rPr>
                        <w:rFonts w:ascii="Cambria Math" w:hAnsi="Cambria Math" w:eastAsia="等线" w:cs="Times New Roman"/>
                        <w:i/>
                        <w:color w:val="auto"/>
                      </w:rPr>
                    </m:ctrlPr>
                  </m:sSubPr>
                  <m:e>
                    <m:r>
                      <m:rPr/>
                      <w:rPr>
                        <w:rFonts w:ascii="Cambria Math" w:hAnsi="Cambria Math" w:eastAsia="等线" w:cs="Times New Roman"/>
                        <w:color w:val="auto"/>
                      </w:rPr>
                      <m:t>ρ</m:t>
                    </m:r>
                    <m:ctrlPr>
                      <w:rPr>
                        <w:rFonts w:ascii="Cambria Math" w:hAnsi="Cambria Math" w:eastAsia="等线" w:cs="Times New Roman"/>
                        <w:i/>
                        <w:color w:val="auto"/>
                      </w:rPr>
                    </m:ctrlPr>
                  </m:e>
                  <m:sub>
                    <m:r>
                      <m:rPr/>
                      <w:rPr>
                        <w:rFonts w:ascii="Cambria Math" w:hAnsi="Cambria Math" w:eastAsia="等线" w:cs="Times New Roman"/>
                        <w:color w:val="auto"/>
                      </w:rPr>
                      <m:t>te</m:t>
                    </m:r>
                    <m:ctrlPr>
                      <w:rPr>
                        <w:rFonts w:ascii="Cambria Math" w:hAnsi="Cambria Math" w:eastAsia="等线" w:cs="Times New Roman"/>
                        <w:i/>
                        <w:color w:val="auto"/>
                      </w:rPr>
                    </m:ctrlPr>
                  </m:sub>
                </m:sSub>
                <m:r>
                  <m:rPr>
                    <m:sty m:val="p"/>
                  </m:rPr>
                  <w:rPr>
                    <w:rFonts w:ascii="Cambria Math" w:hAnsi="Cambria Math" w:eastAsia="等线" w:cs="Times New Roman"/>
                    <w:color w:val="auto"/>
                  </w:rPr>
                  <m:t>=</m:t>
                </m:r>
                <m:f>
                  <m:fPr>
                    <m:ctrlPr>
                      <w:rPr>
                        <w:rFonts w:ascii="Cambria Math" w:hAnsi="Cambria Math" w:eastAsia="等线" w:cs="Times New Roman"/>
                        <w:color w:val="auto"/>
                      </w:rPr>
                    </m:ctrlPr>
                  </m:fPr>
                  <m:num>
                    <m:sSub>
                      <m:sSubPr>
                        <m:ctrlPr>
                          <w:rPr>
                            <w:rFonts w:ascii="Cambria Math" w:hAnsi="Cambria Math" w:eastAsia="等线" w:cs="Times New Roman"/>
                            <w:i/>
                            <w:color w:val="auto"/>
                          </w:rPr>
                        </m:ctrlPr>
                      </m:sSubPr>
                      <m:e>
                        <m:r>
                          <m:rPr/>
                          <w:rPr>
                            <w:rFonts w:ascii="Cambria Math" w:hAnsi="Cambria Math" w:eastAsia="等线" w:cs="Times New Roman"/>
                            <w:color w:val="auto"/>
                          </w:rPr>
                          <m:t>A</m:t>
                        </m:r>
                        <m:ctrlPr>
                          <w:rPr>
                            <w:rFonts w:ascii="Cambria Math" w:hAnsi="Cambria Math" w:eastAsia="等线" w:cs="Times New Roman"/>
                            <w:i/>
                            <w:color w:val="auto"/>
                          </w:rPr>
                        </m:ctrlPr>
                      </m:e>
                      <m:sub>
                        <m:r>
                          <m:rPr/>
                          <w:rPr>
                            <w:rFonts w:ascii="Cambria Math" w:hAnsi="Cambria Math" w:eastAsia="等线" w:cs="Times New Roman"/>
                            <w:color w:val="auto"/>
                          </w:rPr>
                          <m:t>su</m:t>
                        </m:r>
                        <m:ctrlPr>
                          <w:rPr>
                            <w:rFonts w:ascii="Cambria Math" w:hAnsi="Cambria Math" w:eastAsia="等线" w:cs="Times New Roman"/>
                            <w:i/>
                            <w:color w:val="auto"/>
                          </w:rPr>
                        </m:ctrlPr>
                      </m:sub>
                    </m:sSub>
                    <m:ctrlPr>
                      <w:rPr>
                        <w:rFonts w:ascii="Cambria Math" w:hAnsi="Cambria Math" w:eastAsia="等线" w:cs="Times New Roman"/>
                        <w:color w:val="auto"/>
                      </w:rPr>
                    </m:ctrlPr>
                  </m:num>
                  <m:den>
                    <m:sSub>
                      <m:sSubPr>
                        <m:ctrlPr>
                          <w:rPr>
                            <w:rFonts w:ascii="Cambria Math" w:hAnsi="Cambria Math" w:eastAsia="等线" w:cs="Times New Roman"/>
                            <w:i/>
                            <w:color w:val="auto"/>
                          </w:rPr>
                        </m:ctrlPr>
                      </m:sSubPr>
                      <m:e>
                        <m:r>
                          <m:rPr/>
                          <w:rPr>
                            <w:rFonts w:ascii="Cambria Math" w:hAnsi="Cambria Math" w:eastAsia="等线" w:cs="Times New Roman"/>
                            <w:color w:val="auto"/>
                          </w:rPr>
                          <m:t>A</m:t>
                        </m:r>
                        <m:ctrlPr>
                          <w:rPr>
                            <w:rFonts w:ascii="Cambria Math" w:hAnsi="Cambria Math" w:eastAsia="等线" w:cs="Times New Roman"/>
                            <w:i/>
                            <w:color w:val="auto"/>
                          </w:rPr>
                        </m:ctrlPr>
                      </m:e>
                      <m:sub>
                        <m:r>
                          <m:rPr/>
                          <w:rPr>
                            <w:rFonts w:ascii="Cambria Math" w:hAnsi="Cambria Math" w:eastAsia="等线" w:cs="Times New Roman"/>
                            <w:color w:val="auto"/>
                          </w:rPr>
                          <m:t>te</m:t>
                        </m:r>
                        <m:ctrlPr>
                          <w:rPr>
                            <w:rFonts w:ascii="Cambria Math" w:hAnsi="Cambria Math" w:eastAsia="等线" w:cs="Times New Roman"/>
                            <w:i/>
                            <w:color w:val="auto"/>
                          </w:rPr>
                        </m:ctrlPr>
                      </m:sub>
                    </m:sSub>
                    <m:ctrlPr>
                      <w:rPr>
                        <w:rFonts w:ascii="Cambria Math" w:hAnsi="Cambria Math" w:eastAsia="等线" w:cs="Times New Roman"/>
                        <w:color w:val="auto"/>
                      </w:rPr>
                    </m:ctrlPr>
                  </m:den>
                </m:f>
              </m:oMath>
            </m:oMathPara>
          </w:p>
        </w:tc>
        <w:tc>
          <w:tcPr>
            <w:tcW w:w="1156" w:type="pct"/>
            <w:vAlign w:val="center"/>
          </w:tcPr>
          <w:p w14:paraId="3B2D6F15">
            <w:pPr>
              <w:spacing w:line="360" w:lineRule="auto"/>
              <w:jc w:val="right"/>
              <w:rPr>
                <w:rFonts w:ascii="Times New Roman" w:hAnsi="Times New Roman" w:eastAsia="宋体"/>
                <w:color w:val="auto"/>
                <w:szCs w:val="21"/>
              </w:rPr>
            </w:pPr>
            <w:r>
              <w:rPr>
                <w:rFonts w:ascii="Times New Roman" w:hAnsi="Times New Roman" w:eastAsia="宋体"/>
                <w:color w:val="auto"/>
                <w:szCs w:val="21"/>
              </w:rPr>
              <w:t>(6.2.4-5)</w:t>
            </w:r>
          </w:p>
        </w:tc>
      </w:tr>
    </w:tbl>
    <w:p w14:paraId="22BDD363">
      <w:pPr>
        <w:spacing w:line="360" w:lineRule="auto"/>
        <w:ind w:firstLine="422" w:firstLineChars="200"/>
        <w:rPr>
          <w:rFonts w:ascii="Times New Roman" w:hAnsi="Times New Roman" w:eastAsia="宋体"/>
          <w:color w:val="auto"/>
          <w:szCs w:val="21"/>
        </w:rPr>
      </w:pPr>
      <w:r>
        <w:rPr>
          <w:rFonts w:ascii="Times New Roman" w:hAnsi="Times New Roman" w:eastAsia="宋体"/>
          <w:b/>
          <w:color w:val="auto"/>
          <w:szCs w:val="21"/>
        </w:rPr>
        <w:t>2</w:t>
      </w:r>
      <w:r>
        <w:rPr>
          <w:rFonts w:hint="eastAsia" w:ascii="Times New Roman" w:hAnsi="Times New Roman" w:eastAsia="宋体"/>
          <w:color w:val="auto"/>
          <w:szCs w:val="21"/>
        </w:rPr>
        <w:t xml:space="preserve"> 普通混凝土最大裂缝宽度</w:t>
      </w:r>
      <m:oMath>
        <m:sSub>
          <m:sSubPr>
            <m:ctrlPr>
              <w:rPr>
                <w:rFonts w:ascii="Cambria Math" w:hAnsi="Cambria Math"/>
                <w:color w:val="auto"/>
              </w:rPr>
            </m:ctrlPr>
          </m:sSubPr>
          <m:e>
            <m:r>
              <m:rPr/>
              <w:rPr>
                <w:rFonts w:ascii="Cambria Math" w:hAnsi="Cambria Math"/>
                <w:color w:val="auto"/>
              </w:rPr>
              <m:t>w</m:t>
            </m:r>
            <m:ctrlPr>
              <w:rPr>
                <w:rFonts w:ascii="Cambria Math" w:hAnsi="Cambria Math"/>
                <w:color w:val="auto"/>
              </w:rPr>
            </m:ctrlPr>
          </m:e>
          <m:sub>
            <m:r>
              <m:rPr/>
              <w:rPr>
                <w:rFonts w:ascii="Cambria Math" w:hAnsi="Cambria Math"/>
                <w:color w:val="auto"/>
              </w:rPr>
              <m:t>tcmax</m:t>
            </m:r>
            <m:ctrlPr>
              <w:rPr>
                <w:rFonts w:ascii="Cambria Math" w:hAnsi="Cambria Math"/>
                <w:color w:val="auto"/>
              </w:rPr>
            </m:ctrlPr>
          </m:sub>
        </m:sSub>
      </m:oMath>
      <w:r>
        <w:rPr>
          <w:rFonts w:hint="eastAsia" w:ascii="Times New Roman" w:hAnsi="Times New Roman" w:eastAsia="宋体"/>
          <w:color w:val="auto"/>
          <w:szCs w:val="21"/>
        </w:rPr>
        <w:t>计算公式如下：</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25"/>
        <w:gridCol w:w="317"/>
        <w:gridCol w:w="4810"/>
        <w:gridCol w:w="1970"/>
      </w:tblGrid>
      <w:tr w14:paraId="1EF34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6" w:type="pct"/>
            <w:vAlign w:val="center"/>
          </w:tcPr>
          <w:p w14:paraId="67634DCF">
            <w:pPr>
              <w:spacing w:line="360" w:lineRule="auto"/>
              <w:rPr>
                <w:rFonts w:hint="eastAsia" w:ascii="等线" w:hAnsi="等线" w:eastAsia="等线" w:cs="Times New Roman"/>
                <w:color w:val="auto"/>
                <w:szCs w:val="21"/>
              </w:rPr>
            </w:pPr>
          </w:p>
        </w:tc>
        <w:tc>
          <w:tcPr>
            <w:tcW w:w="3008" w:type="pct"/>
            <w:gridSpan w:val="2"/>
            <w:vAlign w:val="center"/>
          </w:tcPr>
          <w:p w14:paraId="67ACFE06">
            <w:pPr>
              <w:spacing w:line="360" w:lineRule="auto"/>
              <w:jc w:val="center"/>
              <w:rPr>
                <w:rFonts w:hint="eastAsia" w:ascii="等线" w:hAnsi="等线" w:eastAsia="等线" w:cs="Times New Roman"/>
                <w:color w:val="auto"/>
                <w:szCs w:val="21"/>
              </w:rPr>
            </w:pPr>
            <m:oMathPara>
              <m:oMath>
                <m:sSub>
                  <m:sSubPr>
                    <m:ctrlPr>
                      <w:rPr>
                        <w:rFonts w:ascii="Cambria Math" w:hAnsi="Cambria Math" w:eastAsia="等线" w:cs="Times New Roman"/>
                        <w:color w:val="auto"/>
                      </w:rPr>
                    </m:ctrlPr>
                  </m:sSubPr>
                  <m:e>
                    <m:r>
                      <m:rPr/>
                      <w:rPr>
                        <w:rFonts w:ascii="Cambria Math" w:hAnsi="Cambria Math" w:eastAsia="等线" w:cs="Times New Roman"/>
                        <w:color w:val="auto"/>
                      </w:rPr>
                      <m:t>w</m:t>
                    </m:r>
                    <m:ctrlPr>
                      <w:rPr>
                        <w:rFonts w:ascii="Cambria Math" w:hAnsi="Cambria Math" w:eastAsia="等线" w:cs="Times New Roman"/>
                        <w:color w:val="auto"/>
                      </w:rPr>
                    </m:ctrlPr>
                  </m:e>
                  <m:sub>
                    <m:r>
                      <m:rPr/>
                      <w:rPr>
                        <w:rFonts w:ascii="Cambria Math" w:hAnsi="Cambria Math" w:eastAsia="等线" w:cs="Times New Roman"/>
                        <w:color w:val="auto"/>
                      </w:rPr>
                      <m:t>tcmax</m:t>
                    </m:r>
                    <m:ctrlPr>
                      <w:rPr>
                        <w:rFonts w:ascii="Cambria Math" w:hAnsi="Cambria Math" w:eastAsia="等线" w:cs="Times New Roman"/>
                        <w:color w:val="auto"/>
                      </w:rPr>
                    </m:ctrlPr>
                  </m:sub>
                </m:sSub>
                <m:r>
                  <m:rPr/>
                  <w:rPr>
                    <w:rFonts w:ascii="Cambria Math" w:hAnsi="Cambria Math" w:eastAsia="等线" w:cs="Times New Roman"/>
                    <w:color w:val="auto"/>
                  </w:rPr>
                  <m:t>=</m:t>
                </m:r>
                <m:sSub>
                  <m:sSubPr>
                    <m:ctrlPr>
                      <w:rPr>
                        <w:rFonts w:ascii="Cambria Math" w:hAnsi="Cambria Math" w:eastAsia="等线" w:cs="Times New Roman"/>
                        <w:i/>
                        <w:color w:val="auto"/>
                      </w:rPr>
                    </m:ctrlPr>
                  </m:sSubPr>
                  <m:e>
                    <m:r>
                      <m:rPr/>
                      <w:rPr>
                        <w:rFonts w:ascii="Cambria Math" w:hAnsi="Cambria Math" w:eastAsia="等线" w:cs="Times New Roman"/>
                        <w:color w:val="auto"/>
                      </w:rPr>
                      <m:t>C</m:t>
                    </m:r>
                    <m:ctrlPr>
                      <w:rPr>
                        <w:rFonts w:ascii="Cambria Math" w:hAnsi="Cambria Math" w:eastAsia="等线" w:cs="Times New Roman"/>
                        <w:i/>
                        <w:color w:val="auto"/>
                      </w:rPr>
                    </m:ctrlPr>
                  </m:e>
                  <m:sub>
                    <m:r>
                      <m:rPr/>
                      <w:rPr>
                        <w:rFonts w:ascii="Cambria Math" w:hAnsi="Cambria Math" w:eastAsia="等线" w:cs="Times New Roman"/>
                        <w:color w:val="auto"/>
                      </w:rPr>
                      <m:t>1</m:t>
                    </m:r>
                    <m:ctrlPr>
                      <w:rPr>
                        <w:rFonts w:ascii="Cambria Math" w:hAnsi="Cambria Math" w:eastAsia="等线" w:cs="Times New Roman"/>
                        <w:i/>
                        <w:color w:val="auto"/>
                      </w:rPr>
                    </m:ctrlPr>
                  </m:sub>
                </m:sSub>
                <m:sSub>
                  <m:sSubPr>
                    <m:ctrlPr>
                      <w:rPr>
                        <w:rFonts w:ascii="Cambria Math" w:hAnsi="Cambria Math" w:eastAsia="等线" w:cs="Times New Roman"/>
                        <w:i/>
                        <w:color w:val="auto"/>
                      </w:rPr>
                    </m:ctrlPr>
                  </m:sSubPr>
                  <m:e>
                    <m:r>
                      <m:rPr/>
                      <w:rPr>
                        <w:rFonts w:ascii="Cambria Math" w:hAnsi="Cambria Math" w:eastAsia="等线" w:cs="Times New Roman"/>
                        <w:color w:val="auto"/>
                      </w:rPr>
                      <m:t>C</m:t>
                    </m:r>
                    <m:ctrlPr>
                      <w:rPr>
                        <w:rFonts w:ascii="Cambria Math" w:hAnsi="Cambria Math" w:eastAsia="等线" w:cs="Times New Roman"/>
                        <w:i/>
                        <w:color w:val="auto"/>
                      </w:rPr>
                    </m:ctrlPr>
                  </m:e>
                  <m:sub>
                    <m:r>
                      <m:rPr/>
                      <w:rPr>
                        <w:rFonts w:ascii="Cambria Math" w:hAnsi="Cambria Math" w:eastAsia="等线" w:cs="Times New Roman"/>
                        <w:color w:val="auto"/>
                      </w:rPr>
                      <m:t>2</m:t>
                    </m:r>
                    <m:ctrlPr>
                      <w:rPr>
                        <w:rFonts w:ascii="Cambria Math" w:hAnsi="Cambria Math" w:eastAsia="等线" w:cs="Times New Roman"/>
                        <w:i/>
                        <w:color w:val="auto"/>
                      </w:rPr>
                    </m:ctrlPr>
                  </m:sub>
                </m:sSub>
                <m:sSub>
                  <m:sSubPr>
                    <m:ctrlPr>
                      <w:rPr>
                        <w:rFonts w:ascii="Cambria Math" w:hAnsi="Cambria Math" w:eastAsia="等线" w:cs="Times New Roman"/>
                        <w:i/>
                        <w:color w:val="auto"/>
                      </w:rPr>
                    </m:ctrlPr>
                  </m:sSubPr>
                  <m:e>
                    <m:r>
                      <m:rPr/>
                      <w:rPr>
                        <w:rFonts w:ascii="Cambria Math" w:hAnsi="Cambria Math" w:eastAsia="等线" w:cs="Times New Roman"/>
                        <w:color w:val="auto"/>
                      </w:rPr>
                      <m:t>C</m:t>
                    </m:r>
                    <m:ctrlPr>
                      <w:rPr>
                        <w:rFonts w:ascii="Cambria Math" w:hAnsi="Cambria Math" w:eastAsia="等线" w:cs="Times New Roman"/>
                        <w:i/>
                        <w:color w:val="auto"/>
                      </w:rPr>
                    </m:ctrlPr>
                  </m:e>
                  <m:sub>
                    <m:r>
                      <m:rPr/>
                      <w:rPr>
                        <w:rFonts w:ascii="Cambria Math" w:hAnsi="Cambria Math" w:eastAsia="等线" w:cs="Times New Roman"/>
                        <w:color w:val="auto"/>
                      </w:rPr>
                      <m:t>3</m:t>
                    </m:r>
                    <m:ctrlPr>
                      <w:rPr>
                        <w:rFonts w:ascii="Cambria Math" w:hAnsi="Cambria Math" w:eastAsia="等线" w:cs="Times New Roman"/>
                        <w:i/>
                        <w:color w:val="auto"/>
                      </w:rPr>
                    </m:ctrlPr>
                  </m:sub>
                </m:sSub>
                <m:sSub>
                  <m:sSubPr>
                    <m:ctrlPr>
                      <w:rPr>
                        <w:rFonts w:ascii="Cambria Math" w:hAnsi="Cambria Math" w:eastAsia="等线" w:cs="Times New Roman"/>
                        <w:i/>
                        <w:color w:val="auto"/>
                      </w:rPr>
                    </m:ctrlPr>
                  </m:sSubPr>
                  <m:e>
                    <m:r>
                      <m:rPr/>
                      <w:rPr>
                        <w:rFonts w:ascii="Cambria Math" w:hAnsi="Cambria Math" w:eastAsia="等线" w:cs="Times New Roman"/>
                        <w:color w:val="auto"/>
                      </w:rPr>
                      <m:t>C</m:t>
                    </m:r>
                    <m:ctrlPr>
                      <w:rPr>
                        <w:rFonts w:ascii="Cambria Math" w:hAnsi="Cambria Math" w:eastAsia="等线" w:cs="Times New Roman"/>
                        <w:i/>
                        <w:color w:val="auto"/>
                      </w:rPr>
                    </m:ctrlPr>
                  </m:e>
                  <m:sub>
                    <m:r>
                      <m:rPr/>
                      <w:rPr>
                        <w:rFonts w:ascii="Cambria Math" w:hAnsi="Cambria Math" w:eastAsia="等线" w:cs="Times New Roman"/>
                        <w:color w:val="auto"/>
                      </w:rPr>
                      <m:t>4</m:t>
                    </m:r>
                    <m:ctrlPr>
                      <w:rPr>
                        <w:rFonts w:ascii="Cambria Math" w:hAnsi="Cambria Math" w:eastAsia="等线" w:cs="Times New Roman"/>
                        <w:i/>
                        <w:color w:val="auto"/>
                      </w:rPr>
                    </m:ctrlPr>
                  </m:sub>
                </m:sSub>
                <m:f>
                  <m:fPr>
                    <m:ctrlPr>
                      <w:rPr>
                        <w:rFonts w:ascii="Cambria Math" w:hAnsi="Cambria Math" w:eastAsia="等线" w:cs="Times New Roman"/>
                        <w:i/>
                        <w:color w:val="auto"/>
                      </w:rPr>
                    </m:ctrlPr>
                  </m:fPr>
                  <m:num>
                    <m:sSub>
                      <m:sSubPr>
                        <m:ctrlPr>
                          <w:rPr>
                            <w:rFonts w:ascii="Cambria Math" w:hAnsi="Cambria Math" w:eastAsia="等线" w:cs="Times New Roman"/>
                            <w:i/>
                            <w:color w:val="auto"/>
                          </w:rPr>
                        </m:ctrlPr>
                      </m:sSubPr>
                      <m:e>
                        <m:r>
                          <m:rPr/>
                          <w:rPr>
                            <w:rFonts w:ascii="Cambria Math" w:hAnsi="Cambria Math" w:eastAsia="等线" w:cs="Times New Roman"/>
                            <w:color w:val="auto"/>
                          </w:rPr>
                          <m:t>σ</m:t>
                        </m:r>
                        <m:ctrlPr>
                          <w:rPr>
                            <w:rFonts w:ascii="Cambria Math" w:hAnsi="Cambria Math" w:eastAsia="等线" w:cs="Times New Roman"/>
                            <w:i/>
                            <w:color w:val="auto"/>
                          </w:rPr>
                        </m:ctrlPr>
                      </m:e>
                      <m:sub>
                        <m:r>
                          <m:rPr/>
                          <w:rPr>
                            <w:rFonts w:ascii="Cambria Math" w:hAnsi="Cambria Math" w:eastAsia="等线" w:cs="Times New Roman"/>
                            <w:color w:val="auto"/>
                          </w:rPr>
                          <m:t>s</m:t>
                        </m:r>
                        <m:r>
                          <m:rPr/>
                          <w:rPr>
                            <w:rFonts w:hint="eastAsia" w:ascii="Cambria Math" w:hAnsi="Cambria Math" w:eastAsia="等线" w:cs="Times New Roman"/>
                            <w:color w:val="auto"/>
                          </w:rPr>
                          <m:t>c</m:t>
                        </m:r>
                        <m:ctrlPr>
                          <w:rPr>
                            <w:rFonts w:ascii="Cambria Math" w:hAnsi="Cambria Math" w:eastAsia="等线" w:cs="Times New Roman"/>
                            <w:i/>
                            <w:color w:val="auto"/>
                          </w:rPr>
                        </m:ctrlPr>
                      </m:sub>
                    </m:sSub>
                    <m:ctrlPr>
                      <w:rPr>
                        <w:rFonts w:ascii="Cambria Math" w:hAnsi="Cambria Math" w:eastAsia="等线" w:cs="Times New Roman"/>
                        <w:i/>
                        <w:color w:val="auto"/>
                      </w:rPr>
                    </m:ctrlPr>
                  </m:num>
                  <m:den>
                    <m:sSub>
                      <m:sSubPr>
                        <m:ctrlPr>
                          <w:rPr>
                            <w:rFonts w:ascii="Cambria Math" w:hAnsi="Cambria Math" w:eastAsia="等线" w:cs="Times New Roman"/>
                            <w:i/>
                            <w:color w:val="auto"/>
                          </w:rPr>
                        </m:ctrlPr>
                      </m:sSubPr>
                      <m:e>
                        <m:r>
                          <m:rPr/>
                          <w:rPr>
                            <w:rFonts w:ascii="Cambria Math" w:hAnsi="Cambria Math" w:eastAsia="等线" w:cs="Times New Roman"/>
                            <w:color w:val="auto"/>
                          </w:rPr>
                          <m:t>E</m:t>
                        </m:r>
                        <m:ctrlPr>
                          <w:rPr>
                            <w:rFonts w:ascii="Cambria Math" w:hAnsi="Cambria Math" w:eastAsia="等线" w:cs="Times New Roman"/>
                            <w:i/>
                            <w:color w:val="auto"/>
                          </w:rPr>
                        </m:ctrlPr>
                      </m:e>
                      <m:sub>
                        <m:r>
                          <m:rPr/>
                          <w:rPr>
                            <w:rFonts w:ascii="Cambria Math" w:hAnsi="Cambria Math" w:eastAsia="等线" w:cs="Times New Roman"/>
                            <w:color w:val="auto"/>
                          </w:rPr>
                          <m:t>s</m:t>
                        </m:r>
                        <m:ctrlPr>
                          <w:rPr>
                            <w:rFonts w:ascii="Cambria Math" w:hAnsi="Cambria Math" w:eastAsia="等线" w:cs="Times New Roman"/>
                            <w:i/>
                            <w:color w:val="auto"/>
                          </w:rPr>
                        </m:ctrlPr>
                      </m:sub>
                    </m:sSub>
                    <m:ctrlPr>
                      <w:rPr>
                        <w:rFonts w:ascii="Cambria Math" w:hAnsi="Cambria Math" w:eastAsia="等线" w:cs="Times New Roman"/>
                        <w:i/>
                        <w:color w:val="auto"/>
                      </w:rPr>
                    </m:ctrlPr>
                  </m:den>
                </m:f>
                <m:d>
                  <m:dPr>
                    <m:ctrlPr>
                      <w:rPr>
                        <w:rFonts w:ascii="Cambria Math" w:hAnsi="Cambria Math" w:eastAsia="等线" w:cs="Times New Roman"/>
                        <w:i/>
                        <w:color w:val="auto"/>
                      </w:rPr>
                    </m:ctrlPr>
                  </m:dPr>
                  <m:e>
                    <m:f>
                      <m:fPr>
                        <m:ctrlPr>
                          <w:rPr>
                            <w:rFonts w:ascii="Cambria Math" w:hAnsi="Cambria Math" w:eastAsia="等线" w:cs="Times New Roman"/>
                            <w:i/>
                            <w:color w:val="auto"/>
                          </w:rPr>
                        </m:ctrlPr>
                      </m:fPr>
                      <m:num>
                        <m:r>
                          <m:rPr/>
                          <w:rPr>
                            <w:rFonts w:ascii="Cambria Math" w:hAnsi="Cambria Math" w:eastAsia="等线" w:cs="Times New Roman"/>
                            <w:color w:val="auto"/>
                          </w:rPr>
                          <m:t>c+d</m:t>
                        </m:r>
                        <m:ctrlPr>
                          <w:rPr>
                            <w:rFonts w:ascii="Cambria Math" w:hAnsi="Cambria Math" w:eastAsia="等线" w:cs="Times New Roman"/>
                            <w:i/>
                            <w:color w:val="auto"/>
                          </w:rPr>
                        </m:ctrlPr>
                      </m:num>
                      <m:den>
                        <m:r>
                          <m:rPr/>
                          <w:rPr>
                            <w:rFonts w:ascii="Cambria Math" w:hAnsi="Cambria Math" w:eastAsia="等线" w:cs="Times New Roman"/>
                            <w:color w:val="auto"/>
                          </w:rPr>
                          <m:t>0.36+1.7ρ</m:t>
                        </m:r>
                        <m:ctrlPr>
                          <w:rPr>
                            <w:rFonts w:ascii="Cambria Math" w:hAnsi="Cambria Math" w:eastAsia="等线" w:cs="Times New Roman"/>
                            <w:i/>
                            <w:color w:val="auto"/>
                          </w:rPr>
                        </m:ctrlPr>
                      </m:den>
                    </m:f>
                    <m:ctrlPr>
                      <w:rPr>
                        <w:rFonts w:ascii="Cambria Math" w:hAnsi="Cambria Math" w:eastAsia="等线" w:cs="Times New Roman"/>
                        <w:i/>
                        <w:color w:val="auto"/>
                      </w:rPr>
                    </m:ctrlPr>
                  </m:e>
                </m:d>
              </m:oMath>
            </m:oMathPara>
          </w:p>
        </w:tc>
        <w:tc>
          <w:tcPr>
            <w:tcW w:w="1156" w:type="pct"/>
            <w:vAlign w:val="center"/>
          </w:tcPr>
          <w:p w14:paraId="729A27BC">
            <w:pPr>
              <w:spacing w:line="360" w:lineRule="auto"/>
              <w:jc w:val="right"/>
              <w:rPr>
                <w:rFonts w:ascii="Times New Roman" w:hAnsi="Times New Roman" w:eastAsia="宋体"/>
                <w:color w:val="auto"/>
                <w:szCs w:val="21"/>
              </w:rPr>
            </w:pPr>
            <w:r>
              <w:rPr>
                <w:rFonts w:ascii="Times New Roman" w:hAnsi="Times New Roman" w:eastAsia="宋体"/>
                <w:color w:val="auto"/>
                <w:szCs w:val="21"/>
              </w:rPr>
              <w:t>(6.2.4-6)</w:t>
            </w:r>
          </w:p>
        </w:tc>
      </w:tr>
      <w:tr w14:paraId="328C8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6" w:type="pct"/>
            <w:vAlign w:val="center"/>
          </w:tcPr>
          <w:p w14:paraId="75B61A98">
            <w:pPr>
              <w:spacing w:line="360" w:lineRule="auto"/>
              <w:rPr>
                <w:rFonts w:hint="eastAsia" w:ascii="等线" w:hAnsi="等线" w:eastAsia="等线" w:cs="Times New Roman"/>
                <w:color w:val="auto"/>
                <w:szCs w:val="21"/>
              </w:rPr>
            </w:pPr>
          </w:p>
        </w:tc>
        <w:tc>
          <w:tcPr>
            <w:tcW w:w="3008" w:type="pct"/>
            <w:gridSpan w:val="2"/>
            <w:vAlign w:val="center"/>
          </w:tcPr>
          <w:p w14:paraId="66273CF1">
            <w:pPr>
              <w:spacing w:line="360" w:lineRule="auto"/>
              <w:jc w:val="center"/>
              <w:rPr>
                <w:rFonts w:hint="eastAsia" w:ascii="等线" w:hAnsi="等线" w:eastAsia="等线" w:cs="Times New Roman"/>
                <w:color w:val="auto"/>
                <w:szCs w:val="21"/>
              </w:rPr>
            </w:pPr>
            <m:oMathPara>
              <m:oMath>
                <m:r>
                  <m:rPr/>
                  <w:rPr>
                    <w:rFonts w:ascii="Cambria Math" w:hAnsi="Cambria Math" w:eastAsia="等线" w:cs="Times New Roman"/>
                    <w:color w:val="auto"/>
                  </w:rPr>
                  <m:t>ρ</m:t>
                </m:r>
                <m:r>
                  <m:rPr>
                    <m:sty m:val="p"/>
                  </m:rPr>
                  <w:rPr>
                    <w:rFonts w:ascii="Cambria Math" w:hAnsi="Cambria Math" w:eastAsia="等线" w:cs="Times New Roman"/>
                    <w:color w:val="auto"/>
                  </w:rPr>
                  <m:t>=</m:t>
                </m:r>
                <m:f>
                  <m:fPr>
                    <m:ctrlPr>
                      <w:rPr>
                        <w:rFonts w:ascii="Cambria Math" w:hAnsi="Cambria Math" w:eastAsia="等线" w:cs="Times New Roman"/>
                        <w:color w:val="auto"/>
                      </w:rPr>
                    </m:ctrlPr>
                  </m:fPr>
                  <m:num>
                    <m:sSub>
                      <m:sSubPr>
                        <m:ctrlPr>
                          <w:rPr>
                            <w:rFonts w:ascii="Cambria Math" w:hAnsi="Cambria Math" w:eastAsia="等线" w:cs="Times New Roman"/>
                            <w:i/>
                            <w:color w:val="auto"/>
                          </w:rPr>
                        </m:ctrlPr>
                      </m:sSubPr>
                      <m:e>
                        <m:r>
                          <m:rPr/>
                          <w:rPr>
                            <w:rFonts w:ascii="Cambria Math" w:hAnsi="Cambria Math" w:eastAsia="等线" w:cs="Times New Roman"/>
                            <w:color w:val="auto"/>
                          </w:rPr>
                          <m:t>A</m:t>
                        </m:r>
                        <m:ctrlPr>
                          <w:rPr>
                            <w:rFonts w:ascii="Cambria Math" w:hAnsi="Cambria Math" w:eastAsia="等线" w:cs="Times New Roman"/>
                            <w:i/>
                            <w:color w:val="auto"/>
                          </w:rPr>
                        </m:ctrlPr>
                      </m:e>
                      <m:sub>
                        <m:r>
                          <m:rPr/>
                          <w:rPr>
                            <w:rFonts w:ascii="Cambria Math" w:hAnsi="Cambria Math" w:eastAsia="等线" w:cs="Times New Roman"/>
                            <w:color w:val="auto"/>
                          </w:rPr>
                          <m:t>sc</m:t>
                        </m:r>
                        <m:ctrlPr>
                          <w:rPr>
                            <w:rFonts w:ascii="Cambria Math" w:hAnsi="Cambria Math" w:eastAsia="等线" w:cs="Times New Roman"/>
                            <w:i/>
                            <w:color w:val="auto"/>
                          </w:rPr>
                        </m:ctrlPr>
                      </m:sub>
                    </m:sSub>
                    <m:ctrlPr>
                      <w:rPr>
                        <w:rFonts w:ascii="Cambria Math" w:hAnsi="Cambria Math" w:eastAsia="等线" w:cs="Times New Roman"/>
                        <w:color w:val="auto"/>
                      </w:rPr>
                    </m:ctrlPr>
                  </m:num>
                  <m:den>
                    <m:r>
                      <m:rPr/>
                      <w:rPr>
                        <w:rFonts w:ascii="Cambria Math" w:hAnsi="Cambria Math" w:eastAsia="等线" w:cs="Times New Roman"/>
                        <w:color w:val="auto"/>
                      </w:rPr>
                      <m:t>b</m:t>
                    </m:r>
                    <m:sSub>
                      <m:sSubPr>
                        <m:ctrlPr>
                          <w:rPr>
                            <w:rFonts w:ascii="Cambria Math" w:hAnsi="Cambria Math" w:eastAsia="等线" w:cs="Times New Roman"/>
                            <w:i/>
                            <w:color w:val="auto"/>
                          </w:rPr>
                        </m:ctrlPr>
                      </m:sSubPr>
                      <m:e>
                        <m:r>
                          <m:rPr/>
                          <w:rPr>
                            <w:rFonts w:ascii="Cambria Math" w:hAnsi="Cambria Math" w:eastAsia="等线" w:cs="Times New Roman"/>
                            <w:color w:val="auto"/>
                          </w:rPr>
                          <m:t>ℎ</m:t>
                        </m:r>
                        <m:ctrlPr>
                          <w:rPr>
                            <w:rFonts w:ascii="Cambria Math" w:hAnsi="Cambria Math" w:eastAsia="等线" w:cs="Times New Roman"/>
                            <w:i/>
                            <w:color w:val="auto"/>
                          </w:rPr>
                        </m:ctrlPr>
                      </m:e>
                      <m:sub>
                        <m:r>
                          <m:rPr/>
                          <w:rPr>
                            <w:rFonts w:ascii="Cambria Math" w:hAnsi="Cambria Math" w:eastAsia="等线" w:cs="Times New Roman"/>
                            <w:color w:val="auto"/>
                          </w:rPr>
                          <m:t>1</m:t>
                        </m:r>
                        <m:ctrlPr>
                          <w:rPr>
                            <w:rFonts w:ascii="Cambria Math" w:hAnsi="Cambria Math" w:eastAsia="等线" w:cs="Times New Roman"/>
                            <w:i/>
                            <w:color w:val="auto"/>
                          </w:rPr>
                        </m:ctrlPr>
                      </m:sub>
                    </m:sSub>
                    <m:r>
                      <m:rPr/>
                      <w:rPr>
                        <w:rFonts w:ascii="Cambria Math" w:hAnsi="Cambria Math" w:eastAsia="等线" w:cs="Times New Roman"/>
                        <w:color w:val="auto"/>
                      </w:rPr>
                      <m:t>−</m:t>
                    </m:r>
                    <m:sSub>
                      <m:sSubPr>
                        <m:ctrlPr>
                          <w:rPr>
                            <w:rFonts w:ascii="Cambria Math" w:hAnsi="Cambria Math" w:eastAsia="等线" w:cs="Times New Roman"/>
                            <w:i/>
                            <w:color w:val="auto"/>
                          </w:rPr>
                        </m:ctrlPr>
                      </m:sSubPr>
                      <m:e>
                        <m:r>
                          <m:rPr/>
                          <w:rPr>
                            <w:rFonts w:ascii="Cambria Math" w:hAnsi="Cambria Math" w:eastAsia="等线" w:cs="Times New Roman"/>
                            <w:color w:val="auto"/>
                          </w:rPr>
                          <m:t>b</m:t>
                        </m:r>
                        <m:ctrlPr>
                          <w:rPr>
                            <w:rFonts w:ascii="Cambria Math" w:hAnsi="Cambria Math" w:eastAsia="等线" w:cs="Times New Roman"/>
                            <w:i/>
                            <w:color w:val="auto"/>
                          </w:rPr>
                        </m:ctrlPr>
                      </m:e>
                      <m:sub>
                        <m:r>
                          <m:rPr/>
                          <w:rPr>
                            <w:rFonts w:ascii="Cambria Math" w:hAnsi="Cambria Math" w:eastAsia="等线" w:cs="Times New Roman"/>
                            <w:color w:val="auto"/>
                          </w:rPr>
                          <m:t>f</m:t>
                        </m:r>
                        <m:ctrlPr>
                          <w:rPr>
                            <w:rFonts w:ascii="Cambria Math" w:hAnsi="Cambria Math" w:eastAsia="等线" w:cs="Times New Roman"/>
                            <w:i/>
                            <w:color w:val="auto"/>
                          </w:rPr>
                        </m:ctrlPr>
                      </m:sub>
                    </m:sSub>
                    <m:sSub>
                      <m:sSubPr>
                        <m:ctrlPr>
                          <w:rPr>
                            <w:rFonts w:ascii="Cambria Math" w:hAnsi="Cambria Math" w:eastAsia="等线" w:cs="Times New Roman"/>
                            <w:i/>
                            <w:color w:val="auto"/>
                          </w:rPr>
                        </m:ctrlPr>
                      </m:sSubPr>
                      <m:e>
                        <m:r>
                          <m:rPr/>
                          <w:rPr>
                            <w:rFonts w:ascii="Cambria Math" w:hAnsi="Cambria Math" w:eastAsia="等线" w:cs="Times New Roman"/>
                            <w:color w:val="auto"/>
                          </w:rPr>
                          <m:t>ℎ</m:t>
                        </m:r>
                        <m:ctrlPr>
                          <w:rPr>
                            <w:rFonts w:ascii="Cambria Math" w:hAnsi="Cambria Math" w:eastAsia="等线" w:cs="Times New Roman"/>
                            <w:i/>
                            <w:color w:val="auto"/>
                          </w:rPr>
                        </m:ctrlPr>
                      </m:e>
                      <m:sub>
                        <m:r>
                          <m:rPr/>
                          <w:rPr>
                            <w:rFonts w:ascii="Cambria Math" w:hAnsi="Cambria Math" w:eastAsia="等线" w:cs="Times New Roman"/>
                            <w:color w:val="auto"/>
                          </w:rPr>
                          <m:t>3</m:t>
                        </m:r>
                        <m:ctrlPr>
                          <w:rPr>
                            <w:rFonts w:ascii="Cambria Math" w:hAnsi="Cambria Math" w:eastAsia="等线" w:cs="Times New Roman"/>
                            <w:i/>
                            <w:color w:val="auto"/>
                          </w:rPr>
                        </m:ctrlPr>
                      </m:sub>
                    </m:sSub>
                    <m:ctrlPr>
                      <w:rPr>
                        <w:rFonts w:ascii="Cambria Math" w:hAnsi="Cambria Math" w:eastAsia="等线" w:cs="Times New Roman"/>
                        <w:color w:val="auto"/>
                      </w:rPr>
                    </m:ctrlPr>
                  </m:den>
                </m:f>
              </m:oMath>
            </m:oMathPara>
          </w:p>
        </w:tc>
        <w:tc>
          <w:tcPr>
            <w:tcW w:w="1156" w:type="pct"/>
            <w:vAlign w:val="center"/>
          </w:tcPr>
          <w:p w14:paraId="0A59CFFB">
            <w:pPr>
              <w:spacing w:line="360" w:lineRule="auto"/>
              <w:jc w:val="right"/>
              <w:rPr>
                <w:rFonts w:ascii="Times New Roman" w:hAnsi="Times New Roman" w:eastAsia="宋体"/>
                <w:color w:val="auto"/>
                <w:szCs w:val="21"/>
              </w:rPr>
            </w:pPr>
            <w:r>
              <w:rPr>
                <w:rFonts w:ascii="Times New Roman" w:hAnsi="Times New Roman" w:eastAsia="宋体"/>
                <w:color w:val="auto"/>
                <w:szCs w:val="21"/>
              </w:rPr>
              <w:t>(6.2.4-7)</w:t>
            </w:r>
          </w:p>
        </w:tc>
      </w:tr>
      <w:tr w14:paraId="09476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gridSpan w:val="2"/>
          </w:tcPr>
          <w:p w14:paraId="55614805">
            <w:pPr>
              <w:wordWrap w:val="0"/>
              <w:spacing w:line="360" w:lineRule="auto"/>
              <w:jc w:val="right"/>
              <w:rPr>
                <w:rFonts w:ascii="Times New Roman" w:hAnsi="Times New Roman" w:eastAsia="宋体"/>
                <w:color w:val="auto"/>
                <w:szCs w:val="21"/>
              </w:rPr>
            </w:pPr>
            <w:r>
              <w:rPr>
                <w:rFonts w:hint="eastAsia" w:ascii="Times New Roman" w:hAnsi="Times New Roman" w:eastAsia="宋体"/>
                <w:color w:val="auto"/>
                <w:szCs w:val="21"/>
              </w:rPr>
              <w:t>式中：</w:t>
            </w:r>
            <m:oMath>
              <m:sSub>
                <m:sSubPr>
                  <m:ctrlPr>
                    <w:rPr>
                      <w:rFonts w:ascii="Cambria Math" w:hAnsi="Cambria Math"/>
                      <w:color w:val="auto"/>
                    </w:rPr>
                  </m:ctrlPr>
                </m:sSubPr>
                <m:e>
                  <m:r>
                    <m:rPr/>
                    <w:rPr>
                      <w:rFonts w:ascii="Cambria Math" w:hAnsi="Cambria Math"/>
                      <w:color w:val="auto"/>
                    </w:rPr>
                    <m:t>w</m:t>
                  </m:r>
                  <m:ctrlPr>
                    <w:rPr>
                      <w:rFonts w:ascii="Cambria Math" w:hAnsi="Cambria Math"/>
                      <w:color w:val="auto"/>
                    </w:rPr>
                  </m:ctrlPr>
                </m:e>
                <m:sub>
                  <m:r>
                    <m:rPr/>
                    <w:rPr>
                      <w:rFonts w:ascii="Cambria Math" w:hAnsi="Cambria Math"/>
                      <w:color w:val="auto"/>
                    </w:rPr>
                    <m:t>usmax</m:t>
                  </m:r>
                  <m:ctrlPr>
                    <w:rPr>
                      <w:rFonts w:ascii="Cambria Math" w:hAnsi="Cambria Math"/>
                      <w:color w:val="auto"/>
                    </w:rPr>
                  </m:ctrlPr>
                </m:sub>
              </m:sSub>
            </m:oMath>
          </w:p>
        </w:tc>
        <w:tc>
          <w:tcPr>
            <w:tcW w:w="3978" w:type="pct"/>
            <w:gridSpan w:val="2"/>
          </w:tcPr>
          <w:p w14:paraId="1014CE9F">
            <w:pPr>
              <w:spacing w:line="360" w:lineRule="auto"/>
              <w:rPr>
                <w:rFonts w:ascii="Times New Roman" w:hAnsi="Times New Roman" w:eastAsia="宋体"/>
                <w:color w:val="auto"/>
                <w:szCs w:val="21"/>
              </w:rPr>
            </w:pPr>
            <w:r>
              <w:rPr>
                <w:rFonts w:hint="eastAsia" w:ascii="Times New Roman" w:hAnsi="Times New Roman" w:eastAsia="宋体"/>
                <w:color w:val="auto"/>
                <w:szCs w:val="21"/>
              </w:rPr>
              <w:t>——超高性能混凝土层钢筋位置处最大裂缝宽度（mm）；</w:t>
            </w:r>
          </w:p>
        </w:tc>
      </w:tr>
      <w:tr w14:paraId="5EE28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gridSpan w:val="2"/>
          </w:tcPr>
          <w:p w14:paraId="130730DE">
            <w:pPr>
              <w:spacing w:line="360" w:lineRule="auto"/>
              <w:jc w:val="right"/>
              <w:rPr>
                <w:rFonts w:ascii="Times New Roman" w:hAnsi="Times New Roman" w:eastAsia="宋体"/>
                <w:color w:val="auto"/>
                <w:szCs w:val="21"/>
              </w:rPr>
            </w:pPr>
            <m:oMathPara>
              <m:oMathParaPr>
                <m:jc m:val="right"/>
              </m:oMathParaPr>
              <m:oMath>
                <m:r>
                  <m:rPr/>
                  <w:rPr>
                    <w:rFonts w:ascii="Cambria Math" w:hAnsi="Cambria Math"/>
                    <w:color w:val="auto"/>
                  </w:rPr>
                  <m:t>b</m:t>
                </m:r>
                <m:r>
                  <m:rPr>
                    <m:sty m:val="p"/>
                  </m:rPr>
                  <w:rPr>
                    <w:rFonts w:hint="eastAsia" w:ascii="Cambria Math" w:hAnsi="Cambria Math"/>
                    <w:color w:val="auto"/>
                  </w:rPr>
                  <m:t>、</m:t>
                </m:r>
                <m:sSub>
                  <m:sSubPr>
                    <m:ctrlPr>
                      <w:rPr>
                        <w:rFonts w:ascii="Cambria Math" w:hAnsi="Cambria Math"/>
                        <w:color w:val="auto"/>
                      </w:rPr>
                    </m:ctrlPr>
                  </m:sSubPr>
                  <m:e>
                    <m:r>
                      <m:rPr/>
                      <w:rPr>
                        <w:rFonts w:ascii="Cambria Math" w:hAnsi="Cambria Math"/>
                        <w:color w:val="auto"/>
                      </w:rPr>
                      <m:t>b</m:t>
                    </m:r>
                    <m:ctrlPr>
                      <w:rPr>
                        <w:rFonts w:ascii="Cambria Math" w:hAnsi="Cambria Math"/>
                        <w:color w:val="auto"/>
                      </w:rPr>
                    </m:ctrlPr>
                  </m:e>
                  <m:sub>
                    <m:r>
                      <m:rPr/>
                      <w:rPr>
                        <w:rFonts w:ascii="Cambria Math" w:hAnsi="Cambria Math"/>
                        <w:color w:val="auto"/>
                      </w:rPr>
                      <m:t>f</m:t>
                    </m:r>
                    <m:ctrlPr>
                      <w:rPr>
                        <w:rFonts w:ascii="Cambria Math" w:hAnsi="Cambria Math"/>
                        <w:color w:val="auto"/>
                      </w:rPr>
                    </m:ctrlPr>
                  </m:sub>
                </m:sSub>
              </m:oMath>
            </m:oMathPara>
          </w:p>
        </w:tc>
        <w:tc>
          <w:tcPr>
            <w:tcW w:w="3978" w:type="pct"/>
            <w:gridSpan w:val="2"/>
            <w:vAlign w:val="center"/>
          </w:tcPr>
          <w:p w14:paraId="15EA76F6">
            <w:pPr>
              <w:spacing w:line="360" w:lineRule="auto"/>
              <w:rPr>
                <w:rFonts w:ascii="Times New Roman" w:hAnsi="Times New Roman" w:eastAsia="宋体"/>
                <w:color w:val="auto"/>
                <w:szCs w:val="21"/>
              </w:rPr>
            </w:pPr>
            <w:r>
              <w:rPr>
                <w:rFonts w:hint="eastAsia" w:ascii="Times New Roman" w:hAnsi="Times New Roman" w:eastAsia="宋体"/>
                <w:color w:val="auto"/>
                <w:szCs w:val="21"/>
              </w:rPr>
              <w:t>——分别为截面宽度和倒“T”形梁腹板宽度（mm）；</w:t>
            </w:r>
          </w:p>
        </w:tc>
      </w:tr>
      <w:tr w14:paraId="08FEC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1022" w:type="pct"/>
            <w:gridSpan w:val="2"/>
          </w:tcPr>
          <w:p w14:paraId="3415D45A">
            <w:pPr>
              <w:spacing w:line="360" w:lineRule="auto"/>
              <w:jc w:val="right"/>
              <w:rPr>
                <w:rFonts w:ascii="Times New Roman" w:hAnsi="Times New Roman" w:eastAsia="宋体"/>
                <w:color w:val="auto"/>
                <w:szCs w:val="21"/>
              </w:rPr>
            </w:pPr>
            <m:oMathPara>
              <m:oMathParaPr>
                <m:jc m:val="right"/>
              </m:oMathParaPr>
              <m:oMath>
                <m:r>
                  <m:rPr/>
                  <w:rPr>
                    <w:rFonts w:ascii="Cambria Math" w:hAnsi="Cambria Math"/>
                    <w:color w:val="auto"/>
                  </w:rPr>
                  <m:t>ℎ</m:t>
                </m:r>
                <m:r>
                  <m:rPr>
                    <m:sty m:val="p"/>
                  </m:rPr>
                  <w:rPr>
                    <w:rFonts w:hint="eastAsia" w:ascii="Cambria Math" w:hAnsi="Cambria Math"/>
                    <w:color w:val="auto"/>
                  </w:rPr>
                  <m:t>、</m:t>
                </m:r>
                <m:sSub>
                  <m:sSubPr>
                    <m:ctrlPr>
                      <w:rPr>
                        <w:rFonts w:ascii="Cambria Math" w:hAnsi="Cambria Math"/>
                        <w:color w:val="auto"/>
                      </w:rPr>
                    </m:ctrlPr>
                  </m:sSubPr>
                  <m:e>
                    <m:r>
                      <m:rPr/>
                      <w:rPr>
                        <w:rFonts w:ascii="Cambria Math" w:hAnsi="Cambria Math"/>
                        <w:color w:val="auto"/>
                      </w:rPr>
                      <m:t>ℎ</m:t>
                    </m:r>
                    <m:ctrlPr>
                      <w:rPr>
                        <w:rFonts w:ascii="Cambria Math" w:hAnsi="Cambria Math"/>
                        <w:color w:val="auto"/>
                      </w:rPr>
                    </m:ctrlPr>
                  </m:e>
                  <m:sub>
                    <m:r>
                      <m:rPr/>
                      <w:rPr>
                        <w:rFonts w:ascii="Cambria Math" w:hAnsi="Cambria Math"/>
                        <w:color w:val="auto"/>
                      </w:rPr>
                      <m:t>2</m:t>
                    </m:r>
                    <m:ctrlPr>
                      <w:rPr>
                        <w:rFonts w:ascii="Cambria Math" w:hAnsi="Cambria Math"/>
                        <w:color w:val="auto"/>
                      </w:rPr>
                    </m:ctrlPr>
                  </m:sub>
                </m:sSub>
                <m:r>
                  <m:rPr>
                    <m:sty m:val="p"/>
                  </m:rPr>
                  <w:rPr>
                    <w:rFonts w:hint="eastAsia" w:ascii="Cambria Math" w:hAnsi="Cambria Math"/>
                    <w:color w:val="auto"/>
                  </w:rPr>
                  <m:t>、</m:t>
                </m:r>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3</m:t>
                    </m:r>
                    <m:ctrlPr>
                      <w:rPr>
                        <w:rFonts w:ascii="Cambria Math" w:hAnsi="Cambria Math"/>
                        <w:i/>
                        <w:color w:val="auto"/>
                      </w:rPr>
                    </m:ctrlPr>
                  </m:sub>
                </m:sSub>
              </m:oMath>
            </m:oMathPara>
          </w:p>
        </w:tc>
        <w:tc>
          <w:tcPr>
            <w:tcW w:w="3978" w:type="pct"/>
            <w:gridSpan w:val="2"/>
          </w:tcPr>
          <w:p w14:paraId="44804C5F">
            <w:pPr>
              <w:spacing w:line="360" w:lineRule="auto"/>
              <w:rPr>
                <w:rFonts w:ascii="Times New Roman" w:hAnsi="Times New Roman" w:eastAsia="宋体"/>
                <w:color w:val="auto"/>
                <w:szCs w:val="21"/>
              </w:rPr>
            </w:pPr>
            <w:r>
              <w:rPr>
                <w:rFonts w:hint="eastAsia" w:ascii="Times New Roman" w:hAnsi="Times New Roman" w:eastAsia="宋体"/>
                <w:color w:val="auto"/>
                <w:szCs w:val="21"/>
              </w:rPr>
              <w:t>——分别为截面高度、超高性能混凝土梁高度、倒“T”形超高性能混凝土梁腹板高度（mm）；</w:t>
            </w:r>
          </w:p>
        </w:tc>
      </w:tr>
      <w:tr w14:paraId="3A6C5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gridSpan w:val="2"/>
          </w:tcPr>
          <w:p w14:paraId="30AD9A1B">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cs="Times New Roman"/>
                        <w:color w:val="auto"/>
                      </w:rPr>
                    </m:ctrlPr>
                  </m:sSubPr>
                  <m:e>
                    <m:r>
                      <m:rPr/>
                      <w:rPr>
                        <w:rFonts w:ascii="Cambria Math" w:hAnsi="Cambria Math" w:cs="Times New Roman"/>
                        <w:color w:val="auto"/>
                      </w:rPr>
                      <m:t>x</m:t>
                    </m:r>
                    <m:ctrlPr>
                      <w:rPr>
                        <w:rFonts w:ascii="Cambria Math" w:hAnsi="Cambria Math" w:cs="Times New Roman"/>
                        <w:color w:val="auto"/>
                      </w:rPr>
                    </m:ctrlPr>
                  </m:e>
                  <m:sub>
                    <m:r>
                      <m:rPr/>
                      <w:rPr>
                        <w:rFonts w:ascii="Cambria Math" w:hAnsi="Cambria Math" w:cs="Times New Roman"/>
                        <w:color w:val="auto"/>
                      </w:rPr>
                      <m:t>0</m:t>
                    </m:r>
                    <m:ctrlPr>
                      <w:rPr>
                        <w:rFonts w:ascii="Cambria Math" w:hAnsi="Cambria Math" w:cs="Times New Roman"/>
                        <w:color w:val="auto"/>
                      </w:rPr>
                    </m:ctrlPr>
                  </m:sub>
                </m:sSub>
              </m:oMath>
            </m:oMathPara>
          </w:p>
        </w:tc>
        <w:tc>
          <w:tcPr>
            <w:tcW w:w="3978" w:type="pct"/>
            <w:gridSpan w:val="2"/>
          </w:tcPr>
          <w:p w14:paraId="0EFDD1F5">
            <w:pPr>
              <w:spacing w:line="360" w:lineRule="auto"/>
              <w:rPr>
                <w:rFonts w:ascii="Times New Roman" w:hAnsi="Times New Roman" w:eastAsia="宋体"/>
                <w:color w:val="auto"/>
                <w:szCs w:val="21"/>
              </w:rPr>
            </w:pPr>
            <w:r>
              <w:rPr>
                <w:rFonts w:hint="eastAsia" w:ascii="Times New Roman" w:hAnsi="Times New Roman" w:eastAsia="宋体"/>
                <w:color w:val="auto"/>
                <w:szCs w:val="21"/>
              </w:rPr>
              <w:t>——受压区高度（mm）；</w:t>
            </w:r>
          </w:p>
        </w:tc>
      </w:tr>
      <w:tr w14:paraId="5F553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gridSpan w:val="2"/>
          </w:tcPr>
          <w:p w14:paraId="694AFC84">
            <w:pPr>
              <w:spacing w:line="360" w:lineRule="auto"/>
              <w:jc w:val="right"/>
              <w:rPr>
                <w:rFonts w:ascii="Times New Roman" w:hAnsi="Times New Roman" w:eastAsia="宋体" w:cs="Times New Roman"/>
                <w:color w:val="auto"/>
                <w:szCs w:val="21"/>
              </w:rPr>
            </w:pPr>
            <m:oMathPara>
              <m:oMathParaPr>
                <m:jc m:val="right"/>
              </m:oMathParaPr>
              <m:oMath>
                <m:sSup>
                  <m:sSupPr>
                    <m:ctrlPr>
                      <w:rPr>
                        <w:rFonts w:ascii="Cambria Math" w:hAnsi="Cambria Math" w:cs="Times New Roman"/>
                        <w:color w:val="auto"/>
                      </w:rPr>
                    </m:ctrlPr>
                  </m:sSupPr>
                  <m:e>
                    <m:r>
                      <m:rPr/>
                      <w:rPr>
                        <w:rFonts w:ascii="Cambria Math" w:hAnsi="Cambria Math" w:cs="Times New Roman"/>
                        <w:color w:val="auto"/>
                      </w:rPr>
                      <m:t>x</m:t>
                    </m:r>
                    <m:ctrlPr>
                      <w:rPr>
                        <w:rFonts w:ascii="Cambria Math" w:hAnsi="Cambria Math" w:cs="Times New Roman"/>
                        <w:color w:val="auto"/>
                      </w:rPr>
                    </m:ctrlPr>
                  </m:e>
                  <m:sup>
                    <m:r>
                      <m:rPr/>
                      <w:rPr>
                        <w:rFonts w:ascii="Cambria Math" w:hAnsi="Cambria Math" w:cs="Times New Roman"/>
                        <w:color w:val="auto"/>
                      </w:rPr>
                      <m:t>'</m:t>
                    </m:r>
                    <m:ctrlPr>
                      <w:rPr>
                        <w:rFonts w:ascii="Cambria Math" w:hAnsi="Cambria Math" w:cs="Times New Roman"/>
                        <w:color w:val="auto"/>
                      </w:rPr>
                    </m:ctrlPr>
                  </m:sup>
                </m:sSup>
              </m:oMath>
            </m:oMathPara>
          </w:p>
        </w:tc>
        <w:tc>
          <w:tcPr>
            <w:tcW w:w="3978" w:type="pct"/>
            <w:gridSpan w:val="2"/>
          </w:tcPr>
          <w:p w14:paraId="7CC6526E">
            <w:pPr>
              <w:spacing w:line="360" w:lineRule="auto"/>
              <w:rPr>
                <w:rFonts w:ascii="Times New Roman" w:hAnsi="Times New Roman" w:eastAsia="宋体"/>
                <w:color w:val="auto"/>
                <w:szCs w:val="21"/>
              </w:rPr>
            </w:pPr>
            <w:r>
              <w:rPr>
                <w:rFonts w:hint="eastAsia" w:ascii="Times New Roman" w:hAnsi="Times New Roman" w:eastAsia="宋体"/>
                <w:color w:val="auto"/>
                <w:szCs w:val="21"/>
              </w:rPr>
              <w:t>——受拉弹性区高度（mm）；</w:t>
            </w:r>
          </w:p>
        </w:tc>
      </w:tr>
      <w:tr w14:paraId="78EE2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gridSpan w:val="2"/>
          </w:tcPr>
          <w:p w14:paraId="6332A4DE">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cs="Times New Roman"/>
                        <w:color w:val="auto"/>
                      </w:rPr>
                    </m:ctrlPr>
                  </m:sSubPr>
                  <m:e>
                    <m:r>
                      <m:rPr/>
                      <w:rPr>
                        <w:rFonts w:ascii="Cambria Math" w:hAnsi="Cambria Math" w:cs="Times New Roman"/>
                        <w:color w:val="auto"/>
                      </w:rPr>
                      <m:t>a</m:t>
                    </m:r>
                    <m:ctrlPr>
                      <w:rPr>
                        <w:rFonts w:ascii="Cambria Math" w:hAnsi="Cambria Math" w:cs="Times New Roman"/>
                        <w:color w:val="auto"/>
                      </w:rPr>
                    </m:ctrlPr>
                  </m:e>
                  <m:sub>
                    <m:r>
                      <m:rPr/>
                      <w:rPr>
                        <w:rFonts w:ascii="Cambria Math" w:hAnsi="Cambria Math" w:cs="Times New Roman"/>
                        <w:color w:val="auto"/>
                      </w:rPr>
                      <m:t>s2</m:t>
                    </m:r>
                    <m:ctrlPr>
                      <w:rPr>
                        <w:rFonts w:ascii="Cambria Math" w:hAnsi="Cambria Math" w:cs="Times New Roman"/>
                        <w:color w:val="auto"/>
                      </w:rPr>
                    </m:ctrlPr>
                  </m:sub>
                </m:sSub>
              </m:oMath>
            </m:oMathPara>
          </w:p>
        </w:tc>
        <w:tc>
          <w:tcPr>
            <w:tcW w:w="3978" w:type="pct"/>
            <w:gridSpan w:val="2"/>
          </w:tcPr>
          <w:p w14:paraId="28EBCB97">
            <w:pPr>
              <w:spacing w:line="360" w:lineRule="auto"/>
              <w:rPr>
                <w:rFonts w:ascii="Times New Roman" w:hAnsi="Times New Roman" w:eastAsia="宋体"/>
                <w:color w:val="auto"/>
                <w:szCs w:val="21"/>
              </w:rPr>
            </w:pPr>
            <w:r>
              <w:rPr>
                <w:rFonts w:hint="eastAsia" w:ascii="Times New Roman" w:hAnsi="Times New Roman" w:eastAsia="宋体"/>
                <w:color w:val="auto"/>
                <w:szCs w:val="21"/>
              </w:rPr>
              <w:t>——超高性能混凝土梁底板纵向受力钢筋合力点到受拉边缘的高度（mm）；</w:t>
            </w:r>
          </w:p>
        </w:tc>
      </w:tr>
      <w:tr w14:paraId="502B2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gridSpan w:val="2"/>
          </w:tcPr>
          <w:p w14:paraId="64118B63">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cs="Times New Roman"/>
                        <w:color w:val="auto"/>
                      </w:rPr>
                    </m:ctrlPr>
                  </m:sSubPr>
                  <m:e>
                    <m:r>
                      <m:rPr/>
                      <w:rPr>
                        <w:rFonts w:ascii="Cambria Math" w:hAnsi="Cambria Math" w:cs="Times New Roman"/>
                        <w:color w:val="auto"/>
                      </w:rPr>
                      <m:t>α</m:t>
                    </m:r>
                    <m:ctrlPr>
                      <w:rPr>
                        <w:rFonts w:ascii="Cambria Math" w:hAnsi="Cambria Math" w:cs="Times New Roman"/>
                        <w:color w:val="auto"/>
                      </w:rPr>
                    </m:ctrlPr>
                  </m:e>
                  <m:sub>
                    <m:r>
                      <m:rPr/>
                      <w:rPr>
                        <w:rFonts w:ascii="Cambria Math" w:hAnsi="Cambria Math" w:cs="Times New Roman"/>
                        <w:color w:val="auto"/>
                      </w:rPr>
                      <m:t>cr</m:t>
                    </m:r>
                    <m:ctrlPr>
                      <w:rPr>
                        <w:rFonts w:ascii="Cambria Math" w:hAnsi="Cambria Math" w:cs="Times New Roman"/>
                        <w:color w:val="auto"/>
                      </w:rPr>
                    </m:ctrlPr>
                  </m:sub>
                </m:sSub>
              </m:oMath>
            </m:oMathPara>
          </w:p>
        </w:tc>
        <w:tc>
          <w:tcPr>
            <w:tcW w:w="3978" w:type="pct"/>
            <w:gridSpan w:val="2"/>
          </w:tcPr>
          <w:p w14:paraId="101D53F9">
            <w:pPr>
              <w:spacing w:line="360" w:lineRule="auto"/>
              <w:rPr>
                <w:rFonts w:ascii="Times New Roman" w:hAnsi="Times New Roman" w:eastAsia="宋体"/>
                <w:color w:val="auto"/>
                <w:szCs w:val="21"/>
              </w:rPr>
            </w:pPr>
            <w:r>
              <w:rPr>
                <w:rFonts w:hint="eastAsia" w:ascii="Times New Roman" w:hAnsi="Times New Roman" w:eastAsia="宋体"/>
                <w:color w:val="auto"/>
                <w:szCs w:val="21"/>
              </w:rPr>
              <w:t>——构件受力特征系数，取2.1；</w:t>
            </w:r>
          </w:p>
        </w:tc>
      </w:tr>
      <w:tr w14:paraId="6E5DA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gridSpan w:val="2"/>
          </w:tcPr>
          <w:p w14:paraId="226B8C63">
            <w:pPr>
              <w:spacing w:line="360" w:lineRule="auto"/>
              <w:jc w:val="right"/>
              <w:rPr>
                <w:rFonts w:ascii="Times New Roman" w:hAnsi="Times New Roman" w:eastAsia="宋体" w:cs="Times New Roman"/>
                <w:i/>
                <w:color w:val="auto"/>
                <w:szCs w:val="21"/>
              </w:rPr>
            </w:pPr>
            <m:oMathPara>
              <m:oMathParaPr>
                <m:jc m:val="right"/>
              </m:oMathParaPr>
              <m:oMath>
                <m:r>
                  <m:rPr/>
                  <w:rPr>
                    <w:rFonts w:ascii="Cambria Math" w:hAnsi="Cambria Math" w:cs="Times New Roman"/>
                    <w:color w:val="auto"/>
                  </w:rPr>
                  <m:t>ψ</m:t>
                </m:r>
              </m:oMath>
            </m:oMathPara>
          </w:p>
        </w:tc>
        <w:tc>
          <w:tcPr>
            <w:tcW w:w="3978" w:type="pct"/>
            <w:gridSpan w:val="2"/>
          </w:tcPr>
          <w:p w14:paraId="12F57A33">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——裂缝间纵向受拉钢筋应变不均匀系数：当</w:t>
            </w:r>
            <m:oMath>
              <m:r>
                <m:rPr/>
                <w:rPr>
                  <w:rFonts w:ascii="Cambria Math" w:hAnsi="Cambria Math"/>
                  <w:color w:val="auto"/>
                </w:rPr>
                <m:t>ψ</m:t>
              </m:r>
              <m:r>
                <m:rPr>
                  <m:sty m:val="p"/>
                </m:rPr>
                <w:rPr>
                  <w:rFonts w:ascii="Cambria Math" w:hAnsi="Cambria Math"/>
                  <w:color w:val="auto"/>
                </w:rPr>
                <m:t>&lt;0.4</m:t>
              </m:r>
            </m:oMath>
            <w:r>
              <w:rPr>
                <w:rFonts w:hint="eastAsia" w:ascii="Times New Roman" w:hAnsi="Times New Roman" w:eastAsia="宋体"/>
                <w:color w:val="auto"/>
                <w:szCs w:val="21"/>
              </w:rPr>
              <w:t>时，可取</w:t>
            </w:r>
            <m:oMath>
              <m:r>
                <m:rPr/>
                <w:rPr>
                  <w:rFonts w:ascii="Cambria Math" w:hAnsi="Cambria Math"/>
                  <w:color w:val="auto"/>
                </w:rPr>
                <m:t>ψ</m:t>
              </m:r>
              <m:r>
                <m:rPr>
                  <m:sty m:val="p"/>
                </m:rPr>
                <w:rPr>
                  <w:rFonts w:ascii="Cambria Math" w:hAnsi="Cambria Math"/>
                  <w:color w:val="auto"/>
                </w:rPr>
                <m:t>=0.4</m:t>
              </m:r>
            </m:oMath>
            <w:r>
              <w:rPr>
                <w:rFonts w:hint="eastAsia" w:ascii="Times New Roman" w:hAnsi="Times New Roman" w:eastAsia="宋体"/>
                <w:color w:val="auto"/>
                <w:szCs w:val="21"/>
              </w:rPr>
              <w:t>；当</w:t>
            </w:r>
            <m:oMath>
              <m:r>
                <m:rPr/>
                <w:rPr>
                  <w:rFonts w:ascii="Cambria Math" w:hAnsi="Cambria Math"/>
                  <w:color w:val="auto"/>
                </w:rPr>
                <m:t>ψ</m:t>
              </m:r>
              <m:r>
                <m:rPr>
                  <m:sty m:val="p"/>
                </m:rPr>
                <w:rPr>
                  <w:rFonts w:ascii="Cambria Math" w:hAnsi="Cambria Math"/>
                  <w:color w:val="auto"/>
                </w:rPr>
                <m:t>&gt;1.0</m:t>
              </m:r>
            </m:oMath>
            <w:r>
              <w:rPr>
                <w:rFonts w:hint="eastAsia" w:ascii="Times New Roman" w:hAnsi="Times New Roman" w:eastAsia="宋体"/>
                <w:color w:val="auto"/>
                <w:szCs w:val="21"/>
              </w:rPr>
              <w:t>时，可取</w:t>
            </w:r>
            <m:oMath>
              <m:r>
                <m:rPr/>
                <w:rPr>
                  <w:rFonts w:ascii="Cambria Math" w:hAnsi="Cambria Math"/>
                  <w:color w:val="auto"/>
                </w:rPr>
                <m:t>ψ</m:t>
              </m:r>
              <m:r>
                <m:rPr>
                  <m:sty m:val="p"/>
                </m:rPr>
                <w:rPr>
                  <w:rFonts w:ascii="Cambria Math" w:hAnsi="Cambria Math"/>
                  <w:color w:val="auto"/>
                </w:rPr>
                <m:t>=1.0</m:t>
              </m:r>
            </m:oMath>
            <w:r>
              <w:rPr>
                <w:rFonts w:hint="eastAsia" w:ascii="Times New Roman" w:hAnsi="Times New Roman" w:eastAsia="宋体"/>
                <w:color w:val="auto"/>
                <w:szCs w:val="21"/>
              </w:rPr>
              <w:t>；</w:t>
            </w:r>
          </w:p>
        </w:tc>
      </w:tr>
      <w:tr w14:paraId="012B5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gridSpan w:val="2"/>
          </w:tcPr>
          <w:p w14:paraId="1AE53350">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cs="Times New Roman"/>
                        <w:color w:val="auto"/>
                      </w:rPr>
                    </m:ctrlPr>
                  </m:sSubPr>
                  <m:e>
                    <m:r>
                      <m:rPr/>
                      <w:rPr>
                        <w:rFonts w:ascii="Cambria Math" w:hAnsi="Cambria Math" w:cs="Times New Roman"/>
                        <w:color w:val="auto"/>
                      </w:rPr>
                      <m:t>f</m:t>
                    </m:r>
                    <m:ctrlPr>
                      <w:rPr>
                        <w:rFonts w:ascii="Cambria Math" w:hAnsi="Cambria Math" w:cs="Times New Roman"/>
                        <w:color w:val="auto"/>
                      </w:rPr>
                    </m:ctrlPr>
                  </m:e>
                  <m:sub>
                    <m:r>
                      <m:rPr/>
                      <w:rPr>
                        <w:rFonts w:ascii="Cambria Math" w:hAnsi="Cambria Math" w:cs="Times New Roman"/>
                        <w:color w:val="auto"/>
                      </w:rPr>
                      <m:t>ftk</m:t>
                    </m:r>
                    <m:ctrlPr>
                      <w:rPr>
                        <w:rFonts w:ascii="Cambria Math" w:hAnsi="Cambria Math" w:cs="Times New Roman"/>
                        <w:color w:val="auto"/>
                      </w:rPr>
                    </m:ctrlPr>
                  </m:sub>
                </m:sSub>
              </m:oMath>
            </m:oMathPara>
          </w:p>
        </w:tc>
        <w:tc>
          <w:tcPr>
            <w:tcW w:w="3978" w:type="pct"/>
            <w:gridSpan w:val="2"/>
          </w:tcPr>
          <w:p w14:paraId="65EE471F">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——超高性能混凝土轴心抗拉强度标准值（N/mm</w:t>
            </w:r>
            <w:r>
              <w:rPr>
                <w:rFonts w:ascii="Times New Roman" w:hAnsi="Times New Roman" w:eastAsia="宋体"/>
                <w:color w:val="auto"/>
                <w:szCs w:val="21"/>
                <w:vertAlign w:val="superscript"/>
              </w:rPr>
              <w:t>2</w:t>
            </w:r>
            <w:r>
              <w:rPr>
                <w:rFonts w:hint="eastAsia" w:ascii="Times New Roman" w:hAnsi="Times New Roman" w:eastAsia="宋体"/>
                <w:color w:val="auto"/>
                <w:szCs w:val="21"/>
              </w:rPr>
              <w:t>）；</w:t>
            </w:r>
          </w:p>
        </w:tc>
      </w:tr>
      <w:tr w14:paraId="39173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gridSpan w:val="2"/>
          </w:tcPr>
          <w:p w14:paraId="780B137B">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cs="Times New Roman"/>
                        <w:color w:val="auto"/>
                      </w:rPr>
                    </m:ctrlPr>
                  </m:sSubPr>
                  <m:e>
                    <m:r>
                      <m:rPr/>
                      <w:rPr>
                        <w:rFonts w:ascii="Cambria Math" w:hAnsi="Cambria Math" w:cs="Times New Roman"/>
                        <w:color w:val="auto"/>
                      </w:rPr>
                      <m:t>K</m:t>
                    </m:r>
                    <m:ctrlPr>
                      <w:rPr>
                        <w:rFonts w:ascii="Cambria Math" w:hAnsi="Cambria Math" w:cs="Times New Roman"/>
                        <w:color w:val="auto"/>
                      </w:rPr>
                    </m:ctrlPr>
                  </m:e>
                  <m:sub>
                    <m:r>
                      <m:rPr/>
                      <w:rPr>
                        <w:rFonts w:ascii="Cambria Math" w:hAnsi="Cambria Math" w:cs="Times New Roman"/>
                        <w:color w:val="auto"/>
                      </w:rPr>
                      <m:t>global</m:t>
                    </m:r>
                    <m:ctrlPr>
                      <w:rPr>
                        <w:rFonts w:ascii="Cambria Math" w:hAnsi="Cambria Math" w:cs="Times New Roman"/>
                        <w:color w:val="auto"/>
                      </w:rPr>
                    </m:ctrlPr>
                  </m:sub>
                </m:sSub>
              </m:oMath>
            </m:oMathPara>
          </w:p>
        </w:tc>
        <w:tc>
          <w:tcPr>
            <w:tcW w:w="3978" w:type="pct"/>
            <w:gridSpan w:val="2"/>
          </w:tcPr>
          <w:p w14:paraId="5BF74B78">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——超高性能混凝土整体纤维取向系数，应按本规程第4.1.6条规定取值；</w:t>
            </w:r>
          </w:p>
        </w:tc>
      </w:tr>
      <w:tr w14:paraId="11431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gridSpan w:val="2"/>
          </w:tcPr>
          <w:p w14:paraId="4A4BC063">
            <w:pPr>
              <w:spacing w:line="360" w:lineRule="auto"/>
              <w:jc w:val="right"/>
              <w:rPr>
                <w:rFonts w:ascii="Times New Roman" w:hAnsi="Times New Roman" w:cs="Times New Roman"/>
                <w:color w:val="auto"/>
                <w:szCs w:val="21"/>
              </w:rPr>
            </w:pPr>
            <m:oMathPara>
              <m:oMathParaPr>
                <m:jc m:val="right"/>
              </m:oMathParaPr>
              <m:oMath>
                <m:sSub>
                  <m:sSubPr>
                    <m:ctrlPr>
                      <w:rPr>
                        <w:rFonts w:ascii="Cambria Math" w:hAnsi="Cambria Math"/>
                        <w:i/>
                        <w:color w:val="auto"/>
                      </w:rPr>
                    </m:ctrlPr>
                  </m:sSubPr>
                  <m:e>
                    <m:r>
                      <m:rPr/>
                      <w:rPr>
                        <w:rFonts w:ascii="Cambria Math" w:hAnsi="Cambria Math"/>
                        <w:color w:val="auto"/>
                      </w:rPr>
                      <m:t>σ</m:t>
                    </m:r>
                    <m:ctrlPr>
                      <w:rPr>
                        <w:rFonts w:ascii="Cambria Math" w:hAnsi="Cambria Math"/>
                        <w:i/>
                        <w:color w:val="auto"/>
                      </w:rPr>
                    </m:ctrlPr>
                  </m:e>
                  <m:sub>
                    <m:r>
                      <m:rPr/>
                      <w:rPr>
                        <w:rFonts w:ascii="Cambria Math" w:hAnsi="Cambria Math"/>
                        <w:color w:val="auto"/>
                      </w:rPr>
                      <m:t>su</m:t>
                    </m:r>
                    <m:ctrlPr>
                      <w:rPr>
                        <w:rFonts w:ascii="Cambria Math" w:hAnsi="Cambria Math"/>
                        <w:i/>
                        <w:color w:val="auto"/>
                      </w:rPr>
                    </m:ctrlPr>
                  </m:sub>
                </m:sSub>
                <m:r>
                  <m:rPr>
                    <m:sty m:val="p"/>
                  </m:rPr>
                  <w:rPr>
                    <w:rFonts w:hint="eastAsia" w:ascii="Cambria Math" w:hAnsi="Cambria Math"/>
                    <w:color w:val="auto"/>
                  </w:rPr>
                  <m:t>、</m:t>
                </m:r>
                <m:sSub>
                  <m:sSubPr>
                    <m:ctrlPr>
                      <w:rPr>
                        <w:rFonts w:ascii="Cambria Math" w:hAnsi="Cambria Math"/>
                        <w:i/>
                        <w:color w:val="auto"/>
                      </w:rPr>
                    </m:ctrlPr>
                  </m:sSubPr>
                  <m:e>
                    <m:r>
                      <m:rPr/>
                      <w:rPr>
                        <w:rFonts w:ascii="Cambria Math" w:hAnsi="Cambria Math"/>
                        <w:color w:val="auto"/>
                      </w:rPr>
                      <m:t>σ</m:t>
                    </m:r>
                    <m:ctrlPr>
                      <w:rPr>
                        <w:rFonts w:ascii="Cambria Math" w:hAnsi="Cambria Math"/>
                        <w:i/>
                        <w:color w:val="auto"/>
                      </w:rPr>
                    </m:ctrlPr>
                  </m:e>
                  <m:sub>
                    <m:r>
                      <m:rPr/>
                      <w:rPr>
                        <w:rFonts w:ascii="Cambria Math" w:hAnsi="Cambria Math"/>
                        <w:color w:val="auto"/>
                      </w:rPr>
                      <m:t>sc</m:t>
                    </m:r>
                    <m:ctrlPr>
                      <w:rPr>
                        <w:rFonts w:ascii="Cambria Math" w:hAnsi="Cambria Math"/>
                        <w:i/>
                        <w:color w:val="auto"/>
                      </w:rPr>
                    </m:ctrlPr>
                  </m:sub>
                </m:sSub>
              </m:oMath>
            </m:oMathPara>
          </w:p>
        </w:tc>
        <w:tc>
          <w:tcPr>
            <w:tcW w:w="3978" w:type="pct"/>
            <w:gridSpan w:val="2"/>
          </w:tcPr>
          <w:p w14:paraId="57206803">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——作用频遇组合下开裂截面超高性能混凝土层和普通混凝土层钢筋的应力（N/mm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），应符合本规程第6.2.5条规定；</w:t>
            </w:r>
          </w:p>
        </w:tc>
      </w:tr>
      <w:tr w14:paraId="4E33F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gridSpan w:val="2"/>
          </w:tcPr>
          <w:p w14:paraId="54EE66FC">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cs="Times New Roman"/>
                        <w:color w:val="auto"/>
                      </w:rPr>
                    </m:ctrlPr>
                  </m:sSubPr>
                  <m:e>
                    <m:r>
                      <m:rPr/>
                      <w:rPr>
                        <w:rFonts w:ascii="Cambria Math" w:hAnsi="Cambria Math" w:cs="Times New Roman"/>
                        <w:color w:val="auto"/>
                      </w:rPr>
                      <m:t>E</m:t>
                    </m:r>
                    <m:ctrlPr>
                      <w:rPr>
                        <w:rFonts w:ascii="Cambria Math" w:hAnsi="Cambria Math" w:cs="Times New Roman"/>
                        <w:color w:val="auto"/>
                      </w:rPr>
                    </m:ctrlPr>
                  </m:e>
                  <m:sub>
                    <m:r>
                      <m:rPr/>
                      <w:rPr>
                        <w:rFonts w:ascii="Cambria Math" w:hAnsi="Cambria Math" w:cs="Times New Roman"/>
                        <w:color w:val="auto"/>
                      </w:rPr>
                      <m:t>s</m:t>
                    </m:r>
                    <m:ctrlPr>
                      <w:rPr>
                        <w:rFonts w:ascii="Cambria Math" w:hAnsi="Cambria Math" w:cs="Times New Roman"/>
                        <w:color w:val="auto"/>
                      </w:rPr>
                    </m:ctrlPr>
                  </m:sub>
                </m:sSub>
              </m:oMath>
            </m:oMathPara>
          </w:p>
        </w:tc>
        <w:tc>
          <w:tcPr>
            <w:tcW w:w="3978" w:type="pct"/>
            <w:gridSpan w:val="2"/>
          </w:tcPr>
          <w:p w14:paraId="58F1C589">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——普通钢筋弹性模量（N/mm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w:t>
            </w:r>
          </w:p>
        </w:tc>
      </w:tr>
      <w:tr w14:paraId="68BBA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gridSpan w:val="2"/>
          </w:tcPr>
          <w:p w14:paraId="3AF79072">
            <w:pPr>
              <w:spacing w:line="360" w:lineRule="auto"/>
              <w:jc w:val="right"/>
              <w:rPr>
                <w:rFonts w:ascii="Cambria Math" w:hAnsi="Cambria Math" w:eastAsia="宋体" w:cs="Times New Roman"/>
                <w:color w:val="auto"/>
                <w:szCs w:val="21"/>
              </w:rPr>
            </w:pPr>
            <w:r>
              <w:rPr>
                <w:rFonts w:ascii="Cambria Math" w:hAnsi="Cambria Math" w:eastAsia="宋体" w:cs="Times New Roman"/>
                <w:color w:val="auto"/>
                <w:szCs w:val="21"/>
              </w:rPr>
              <w:t>c</w:t>
            </w:r>
          </w:p>
        </w:tc>
        <w:tc>
          <w:tcPr>
            <w:tcW w:w="3978" w:type="pct"/>
            <w:gridSpan w:val="2"/>
          </w:tcPr>
          <w:p w14:paraId="466D434D">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——普通混凝土层最外层纵向受拉钢筋外边缘至受拉区底部的距离（mm）；</w:t>
            </w:r>
          </w:p>
        </w:tc>
      </w:tr>
      <w:tr w14:paraId="1A858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gridSpan w:val="2"/>
          </w:tcPr>
          <w:p w14:paraId="02A78A02">
            <w:pPr>
              <w:spacing w:line="360" w:lineRule="auto"/>
              <w:jc w:val="right"/>
              <w:rPr>
                <w:rFonts w:ascii="Cambria Math" w:hAnsi="Cambria Math" w:eastAsia="宋体" w:cs="Times New Roman"/>
                <w:color w:val="auto"/>
                <w:szCs w:val="21"/>
              </w:rPr>
            </w:pPr>
            <w:r>
              <w:rPr>
                <w:rFonts w:ascii="Cambria Math" w:hAnsi="Cambria Math" w:eastAsia="宋体" w:cs="Times New Roman"/>
                <w:color w:val="auto"/>
                <w:szCs w:val="21"/>
              </w:rPr>
              <w:t>d</w:t>
            </w:r>
          </w:p>
        </w:tc>
        <w:tc>
          <w:tcPr>
            <w:tcW w:w="3978" w:type="pct"/>
            <w:gridSpan w:val="2"/>
          </w:tcPr>
          <w:p w14:paraId="70662AD1">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——纵向受拉钢筋直径（mm），采用不同直径钢筋时，d改用换算直径</w:t>
            </w:r>
            <m:oMath>
              <m:sSub>
                <m:sSubPr>
                  <m:ctrlPr>
                    <w:rPr>
                      <w:rFonts w:ascii="Cambria Math" w:hAnsi="Cambria Math"/>
                      <w:color w:val="auto"/>
                    </w:rPr>
                  </m:ctrlPr>
                </m:sSubPr>
                <m:e>
                  <m:r>
                    <m:rPr/>
                    <w:rPr>
                      <w:rFonts w:ascii="Cambria Math" w:hAnsi="Cambria Math"/>
                      <w:color w:val="auto"/>
                    </w:rPr>
                    <m:t>d</m:t>
                  </m:r>
                  <m:ctrlPr>
                    <w:rPr>
                      <w:rFonts w:ascii="Cambria Math" w:hAnsi="Cambria Math"/>
                      <w:color w:val="auto"/>
                    </w:rPr>
                  </m:ctrlPr>
                </m:e>
                <m:sub>
                  <m:r>
                    <m:rPr/>
                    <w:rPr>
                      <w:rFonts w:ascii="Cambria Math" w:hAnsi="Cambria Math"/>
                      <w:color w:val="auto"/>
                    </w:rPr>
                    <m:t>e</m:t>
                  </m:r>
                  <m:ctrlPr>
                    <w:rPr>
                      <w:rFonts w:ascii="Cambria Math" w:hAnsi="Cambria Math"/>
                      <w:color w:val="auto"/>
                    </w:rPr>
                  </m:ctrlPr>
                </m:sub>
              </m:sSub>
            </m:oMath>
            <w:r>
              <w:rPr>
                <w:rFonts w:hint="eastAsia" w:ascii="Times New Roman" w:hAnsi="Times New Roman" w:eastAsia="宋体"/>
                <w:color w:val="auto"/>
                <w:szCs w:val="21"/>
              </w:rPr>
              <w:t>，</w:t>
            </w:r>
            <m:oMath>
              <m:r>
                <m:rPr/>
                <w:rPr>
                  <w:rFonts w:ascii="Cambria Math" w:hAnsi="Cambria Math" w:eastAsia="等线" w:cs="Times New Roman"/>
                  <w:color w:val="auto"/>
                </w:rPr>
                <m:t>d</m:t>
              </m:r>
              <m:r>
                <m:rPr>
                  <m:sty m:val="p"/>
                </m:rPr>
                <w:rPr>
                  <w:rFonts w:ascii="Cambria Math" w:hAnsi="Cambria Math" w:eastAsia="等线" w:cs="Times New Roman"/>
                  <w:color w:val="auto"/>
                </w:rPr>
                <m:t>=</m:t>
              </m:r>
              <m:f>
                <m:fPr>
                  <m:ctrlPr>
                    <w:rPr>
                      <w:rFonts w:ascii="Cambria Math" w:hAnsi="Cambria Math" w:eastAsia="等线" w:cs="Times New Roman"/>
                      <w:color w:val="auto"/>
                    </w:rPr>
                  </m:ctrlPr>
                </m:fPr>
                <m:num>
                  <m:nary>
                    <m:naryPr>
                      <m:chr m:val="∑"/>
                      <m:limLoc m:val="undOvr"/>
                      <m:subHide m:val="1"/>
                      <m:supHide m:val="1"/>
                      <m:ctrlPr>
                        <w:rPr>
                          <w:rFonts w:ascii="Cambria Math" w:hAnsi="Cambria Math" w:eastAsia="等线" w:cs="Times New Roman"/>
                          <w:i/>
                          <w:color w:val="auto"/>
                        </w:rPr>
                      </m:ctrlPr>
                    </m:naryPr>
                    <m:sub>
                      <m:ctrlPr>
                        <w:rPr>
                          <w:rFonts w:ascii="Cambria Math" w:hAnsi="Cambria Math" w:eastAsia="等线" w:cs="Times New Roman"/>
                          <w:i/>
                          <w:color w:val="auto"/>
                        </w:rPr>
                      </m:ctrlPr>
                    </m:sub>
                    <m:sup>
                      <m:ctrlPr>
                        <w:rPr>
                          <w:rFonts w:ascii="Cambria Math" w:hAnsi="Cambria Math" w:eastAsia="等线" w:cs="Times New Roman"/>
                          <w:i/>
                          <w:color w:val="auto"/>
                        </w:rPr>
                      </m:ctrlPr>
                    </m:sup>
                    <m:e>
                      <m:sSub>
                        <m:sSubPr>
                          <m:ctrlPr>
                            <w:rPr>
                              <w:rFonts w:ascii="Cambria Math" w:hAnsi="Cambria Math" w:eastAsia="等线" w:cs="Times New Roman"/>
                              <w:i/>
                              <w:color w:val="auto"/>
                            </w:rPr>
                          </m:ctrlPr>
                        </m:sSubPr>
                        <m:e>
                          <m:r>
                            <m:rPr/>
                            <w:rPr>
                              <w:rFonts w:ascii="Cambria Math" w:hAnsi="Cambria Math" w:eastAsia="等线" w:cs="Times New Roman"/>
                              <w:color w:val="auto"/>
                            </w:rPr>
                            <m:t>n</m:t>
                          </m:r>
                          <m:ctrlPr>
                            <w:rPr>
                              <w:rFonts w:ascii="Cambria Math" w:hAnsi="Cambria Math" w:eastAsia="等线" w:cs="Times New Roman"/>
                              <w:i/>
                              <w:color w:val="auto"/>
                            </w:rPr>
                          </m:ctrlPr>
                        </m:e>
                        <m:sub>
                          <m:r>
                            <m:rPr/>
                            <w:rPr>
                              <w:rFonts w:ascii="Cambria Math" w:hAnsi="Cambria Math" w:eastAsia="等线" w:cs="Times New Roman"/>
                              <w:color w:val="auto"/>
                            </w:rPr>
                            <m:t>i</m:t>
                          </m:r>
                          <m:ctrlPr>
                            <w:rPr>
                              <w:rFonts w:ascii="Cambria Math" w:hAnsi="Cambria Math" w:eastAsia="等线" w:cs="Times New Roman"/>
                              <w:i/>
                              <w:color w:val="auto"/>
                            </w:rPr>
                          </m:ctrlPr>
                        </m:sub>
                      </m:sSub>
                      <m:sSubSup>
                        <m:sSubSupPr>
                          <m:ctrlPr>
                            <w:rPr>
                              <w:rFonts w:ascii="Cambria Math" w:hAnsi="Cambria Math" w:eastAsia="等线" w:cs="Times New Roman"/>
                              <w:i/>
                              <w:color w:val="auto"/>
                            </w:rPr>
                          </m:ctrlPr>
                        </m:sSubSupPr>
                        <m:e>
                          <m:r>
                            <m:rPr/>
                            <w:rPr>
                              <w:rFonts w:ascii="Cambria Math" w:hAnsi="Cambria Math" w:eastAsia="等线" w:cs="Times New Roman"/>
                              <w:color w:val="auto"/>
                            </w:rPr>
                            <m:t>d</m:t>
                          </m:r>
                          <m:ctrlPr>
                            <w:rPr>
                              <w:rFonts w:ascii="Cambria Math" w:hAnsi="Cambria Math" w:eastAsia="等线" w:cs="Times New Roman"/>
                              <w:i/>
                              <w:color w:val="auto"/>
                            </w:rPr>
                          </m:ctrlPr>
                        </m:e>
                        <m:sub>
                          <m:r>
                            <m:rPr/>
                            <w:rPr>
                              <w:rFonts w:ascii="Cambria Math" w:hAnsi="Cambria Math" w:eastAsia="等线" w:cs="Times New Roman"/>
                              <w:color w:val="auto"/>
                            </w:rPr>
                            <m:t>i</m:t>
                          </m:r>
                          <m:ctrlPr>
                            <w:rPr>
                              <w:rFonts w:ascii="Cambria Math" w:hAnsi="Cambria Math" w:eastAsia="等线" w:cs="Times New Roman"/>
                              <w:i/>
                              <w:color w:val="auto"/>
                            </w:rPr>
                          </m:ctrlPr>
                        </m:sub>
                        <m:sup>
                          <m:r>
                            <m:rPr/>
                            <w:rPr>
                              <w:rFonts w:ascii="Cambria Math" w:hAnsi="Cambria Math" w:eastAsia="等线" w:cs="Times New Roman"/>
                              <w:color w:val="auto"/>
                            </w:rPr>
                            <m:t>2</m:t>
                          </m:r>
                          <m:ctrlPr>
                            <w:rPr>
                              <w:rFonts w:ascii="Cambria Math" w:hAnsi="Cambria Math" w:eastAsia="等线" w:cs="Times New Roman"/>
                              <w:i/>
                              <w:color w:val="auto"/>
                            </w:rPr>
                          </m:ctrlPr>
                        </m:sup>
                      </m:sSubSup>
                      <m:ctrlPr>
                        <w:rPr>
                          <w:rFonts w:ascii="Cambria Math" w:hAnsi="Cambria Math" w:eastAsia="等线" w:cs="Times New Roman"/>
                          <w:i/>
                          <w:color w:val="auto"/>
                        </w:rPr>
                      </m:ctrlPr>
                    </m:e>
                  </m:nary>
                  <m:ctrlPr>
                    <w:rPr>
                      <w:rFonts w:ascii="Cambria Math" w:hAnsi="Cambria Math" w:eastAsia="等线" w:cs="Times New Roman"/>
                      <w:color w:val="auto"/>
                    </w:rPr>
                  </m:ctrlPr>
                </m:num>
                <m:den>
                  <m:nary>
                    <m:naryPr>
                      <m:chr m:val="∑"/>
                      <m:limLoc m:val="undOvr"/>
                      <m:subHide m:val="1"/>
                      <m:supHide m:val="1"/>
                      <m:ctrlPr>
                        <w:rPr>
                          <w:rFonts w:ascii="Cambria Math" w:hAnsi="Cambria Math" w:eastAsia="等线" w:cs="Times New Roman"/>
                          <w:i/>
                          <w:color w:val="auto"/>
                        </w:rPr>
                      </m:ctrlPr>
                    </m:naryPr>
                    <m:sub>
                      <m:ctrlPr>
                        <w:rPr>
                          <w:rFonts w:ascii="Cambria Math" w:hAnsi="Cambria Math" w:eastAsia="等线" w:cs="Times New Roman"/>
                          <w:i/>
                          <w:color w:val="auto"/>
                        </w:rPr>
                      </m:ctrlPr>
                    </m:sub>
                    <m:sup>
                      <m:ctrlPr>
                        <w:rPr>
                          <w:rFonts w:ascii="Cambria Math" w:hAnsi="Cambria Math" w:eastAsia="等线" w:cs="Times New Roman"/>
                          <w:i/>
                          <w:color w:val="auto"/>
                        </w:rPr>
                      </m:ctrlPr>
                    </m:sup>
                    <m:e>
                      <m:sSub>
                        <m:sSubPr>
                          <m:ctrlPr>
                            <w:rPr>
                              <w:rFonts w:ascii="Cambria Math" w:hAnsi="Cambria Math" w:eastAsia="等线" w:cs="Times New Roman"/>
                              <w:i/>
                              <w:color w:val="auto"/>
                            </w:rPr>
                          </m:ctrlPr>
                        </m:sSubPr>
                        <m:e>
                          <m:r>
                            <m:rPr/>
                            <w:rPr>
                              <w:rFonts w:ascii="Cambria Math" w:hAnsi="Cambria Math" w:eastAsia="等线" w:cs="Times New Roman"/>
                              <w:color w:val="auto"/>
                            </w:rPr>
                            <m:t>n</m:t>
                          </m:r>
                          <m:ctrlPr>
                            <w:rPr>
                              <w:rFonts w:ascii="Cambria Math" w:hAnsi="Cambria Math" w:eastAsia="等线" w:cs="Times New Roman"/>
                              <w:i/>
                              <w:color w:val="auto"/>
                            </w:rPr>
                          </m:ctrlPr>
                        </m:e>
                        <m:sub>
                          <m:r>
                            <m:rPr/>
                            <w:rPr>
                              <w:rFonts w:ascii="Cambria Math" w:hAnsi="Cambria Math" w:eastAsia="等线" w:cs="Times New Roman"/>
                              <w:color w:val="auto"/>
                            </w:rPr>
                            <m:t>i</m:t>
                          </m:r>
                          <m:ctrlPr>
                            <w:rPr>
                              <w:rFonts w:ascii="Cambria Math" w:hAnsi="Cambria Math" w:eastAsia="等线" w:cs="Times New Roman"/>
                              <w:i/>
                              <w:color w:val="auto"/>
                            </w:rPr>
                          </m:ctrlPr>
                        </m:sub>
                      </m:sSub>
                      <m:sSub>
                        <m:sSubPr>
                          <m:ctrlPr>
                            <w:rPr>
                              <w:rFonts w:ascii="Cambria Math" w:hAnsi="Cambria Math" w:eastAsia="等线" w:cs="Times New Roman"/>
                              <w:i/>
                              <w:color w:val="auto"/>
                            </w:rPr>
                          </m:ctrlPr>
                        </m:sSubPr>
                        <m:e>
                          <m:r>
                            <m:rPr/>
                            <w:rPr>
                              <w:rFonts w:ascii="Cambria Math" w:hAnsi="Cambria Math" w:eastAsia="等线" w:cs="Times New Roman"/>
                              <w:color w:val="auto"/>
                            </w:rPr>
                            <m:t>d</m:t>
                          </m:r>
                          <m:ctrlPr>
                            <w:rPr>
                              <w:rFonts w:ascii="Cambria Math" w:hAnsi="Cambria Math" w:eastAsia="等线" w:cs="Times New Roman"/>
                              <w:i/>
                              <w:color w:val="auto"/>
                            </w:rPr>
                          </m:ctrlPr>
                        </m:e>
                        <m:sub>
                          <m:r>
                            <m:rPr/>
                            <w:rPr>
                              <w:rFonts w:ascii="Cambria Math" w:hAnsi="Cambria Math" w:eastAsia="等线" w:cs="Times New Roman"/>
                              <w:color w:val="auto"/>
                            </w:rPr>
                            <m:t>i</m:t>
                          </m:r>
                          <m:ctrlPr>
                            <w:rPr>
                              <w:rFonts w:ascii="Cambria Math" w:hAnsi="Cambria Math" w:eastAsia="等线" w:cs="Times New Roman"/>
                              <w:i/>
                              <w:color w:val="auto"/>
                            </w:rPr>
                          </m:ctrlPr>
                        </m:sub>
                      </m:sSub>
                      <m:ctrlPr>
                        <w:rPr>
                          <w:rFonts w:ascii="Cambria Math" w:hAnsi="Cambria Math" w:eastAsia="等线" w:cs="Times New Roman"/>
                          <w:i/>
                          <w:color w:val="auto"/>
                        </w:rPr>
                      </m:ctrlPr>
                    </m:e>
                  </m:nary>
                  <m:ctrlPr>
                    <w:rPr>
                      <w:rFonts w:ascii="Cambria Math" w:hAnsi="Cambria Math" w:eastAsia="等线" w:cs="Times New Roman"/>
                      <w:color w:val="auto"/>
                    </w:rPr>
                  </m:ctrlPr>
                </m:den>
              </m:f>
            </m:oMath>
            <w:r>
              <w:rPr>
                <w:rFonts w:hint="eastAsia" w:ascii="Times New Roman" w:hAnsi="Times New Roman" w:eastAsia="宋体"/>
                <w:color w:val="auto"/>
                <w:szCs w:val="21"/>
              </w:rPr>
              <w:t>式中</w:t>
            </w:r>
            <m:oMath>
              <m:sSub>
                <m:sSubPr>
                  <m:ctrlPr>
                    <w:rPr>
                      <w:rFonts w:ascii="Cambria Math" w:hAnsi="Cambria Math"/>
                      <w:color w:val="auto"/>
                    </w:rPr>
                  </m:ctrlPr>
                </m:sSubPr>
                <m:e>
                  <m:r>
                    <m:rPr/>
                    <w:rPr>
                      <w:rFonts w:ascii="Cambria Math" w:hAnsi="Cambria Math"/>
                      <w:color w:val="auto"/>
                    </w:rPr>
                    <m:t>n</m:t>
                  </m:r>
                  <m:ctrlPr>
                    <w:rPr>
                      <w:rFonts w:ascii="Cambria Math" w:hAnsi="Cambria Math"/>
                      <w:color w:val="auto"/>
                    </w:rPr>
                  </m:ctrlPr>
                </m:e>
                <m:sub>
                  <m:r>
                    <m:rPr/>
                    <w:rPr>
                      <w:rFonts w:ascii="Cambria Math" w:hAnsi="Cambria Math"/>
                      <w:color w:val="auto"/>
                    </w:rPr>
                    <m:t>i</m:t>
                  </m:r>
                  <m:ctrlPr>
                    <w:rPr>
                      <w:rFonts w:ascii="Cambria Math" w:hAnsi="Cambria Math"/>
                      <w:color w:val="auto"/>
                    </w:rPr>
                  </m:ctrlPr>
                </m:sub>
              </m:sSub>
            </m:oMath>
            <w:r>
              <w:rPr>
                <w:rFonts w:hint="eastAsia" w:ascii="Times New Roman" w:hAnsi="Times New Roman" w:eastAsia="宋体"/>
                <w:color w:val="auto"/>
                <w:szCs w:val="21"/>
              </w:rPr>
              <w:t>为受拉区第i种钢筋的根数，为受拉区第i种钢筋的直径；</w:t>
            </w:r>
          </w:p>
        </w:tc>
      </w:tr>
      <w:tr w14:paraId="74AAE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gridSpan w:val="2"/>
          </w:tcPr>
          <w:p w14:paraId="0FB37422">
            <w:pPr>
              <w:spacing w:line="360" w:lineRule="auto"/>
              <w:jc w:val="right"/>
              <w:rPr>
                <w:rFonts w:ascii="Cambria Math" w:hAnsi="Cambria Math" w:eastAsia="宋体" w:cs="Times New Roman"/>
                <w:color w:val="auto"/>
                <w:szCs w:val="21"/>
              </w:rPr>
            </w:pPr>
            <m:oMathPara>
              <m:oMathParaPr>
                <m:jc m:val="right"/>
              </m:oMathParaPr>
              <m:oMath>
                <m:sSub>
                  <m:sSubPr>
                    <m:ctrlPr>
                      <w:rPr>
                        <w:rFonts w:ascii="Cambria Math" w:hAnsi="Cambria Math" w:cs="Times New Roman"/>
                        <w:color w:val="auto"/>
                      </w:rPr>
                    </m:ctrlPr>
                  </m:sSubPr>
                  <m:e>
                    <m:r>
                      <m:rPr/>
                      <w:rPr>
                        <w:rFonts w:ascii="Cambria Math" w:hAnsi="Cambria Math" w:cs="Times New Roman"/>
                        <w:color w:val="auto"/>
                      </w:rPr>
                      <m:t>ρ</m:t>
                    </m:r>
                    <m:ctrlPr>
                      <w:rPr>
                        <w:rFonts w:ascii="Cambria Math" w:hAnsi="Cambria Math" w:cs="Times New Roman"/>
                        <w:color w:val="auto"/>
                      </w:rPr>
                    </m:ctrlPr>
                  </m:e>
                  <m:sub>
                    <m:r>
                      <m:rPr/>
                      <w:rPr>
                        <w:rFonts w:ascii="Cambria Math" w:hAnsi="Cambria Math" w:cs="Times New Roman"/>
                        <w:color w:val="auto"/>
                      </w:rPr>
                      <m:t>te</m:t>
                    </m:r>
                    <m:ctrlPr>
                      <w:rPr>
                        <w:rFonts w:ascii="Cambria Math" w:hAnsi="Cambria Math" w:cs="Times New Roman"/>
                        <w:color w:val="auto"/>
                      </w:rPr>
                    </m:ctrlPr>
                  </m:sub>
                </m:sSub>
              </m:oMath>
            </m:oMathPara>
          </w:p>
        </w:tc>
        <w:tc>
          <w:tcPr>
            <w:tcW w:w="3978" w:type="pct"/>
            <w:gridSpan w:val="2"/>
          </w:tcPr>
          <w:p w14:paraId="727B063A">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——超高性能混凝土层纵向受拉钢筋的有效配筋率，当</w:t>
            </w:r>
            <m:oMath>
              <m:sSub>
                <m:sSubPr>
                  <m:ctrlPr>
                    <w:rPr>
                      <w:rFonts w:ascii="Cambria Math" w:hAnsi="Cambria Math"/>
                      <w:color w:val="auto"/>
                    </w:rPr>
                  </m:ctrlPr>
                </m:sSubPr>
                <m:e>
                  <m:r>
                    <m:rPr/>
                    <w:rPr>
                      <w:rFonts w:ascii="Cambria Math" w:hAnsi="Cambria Math"/>
                      <w:color w:val="auto"/>
                    </w:rPr>
                    <m:t>ρ</m:t>
                  </m:r>
                  <m:ctrlPr>
                    <w:rPr>
                      <w:rFonts w:ascii="Cambria Math" w:hAnsi="Cambria Math"/>
                      <w:color w:val="auto"/>
                    </w:rPr>
                  </m:ctrlPr>
                </m:e>
                <m:sub>
                  <m:r>
                    <m:rPr/>
                    <w:rPr>
                      <w:rFonts w:ascii="Cambria Math" w:hAnsi="Cambria Math"/>
                      <w:color w:val="auto"/>
                    </w:rPr>
                    <m:t>te</m:t>
                  </m:r>
                  <m:ctrlPr>
                    <w:rPr>
                      <w:rFonts w:ascii="Cambria Math" w:hAnsi="Cambria Math"/>
                      <w:color w:val="auto"/>
                    </w:rPr>
                  </m:ctrlPr>
                </m:sub>
              </m:sSub>
              <m:r>
                <m:rPr/>
                <w:rPr>
                  <w:rFonts w:ascii="Cambria Math" w:hAnsi="Cambria Math"/>
                  <w:color w:val="auto"/>
                </w:rPr>
                <m:t>&gt;0.1</m:t>
              </m:r>
            </m:oMath>
            <w:r>
              <w:rPr>
                <w:rFonts w:hint="eastAsia" w:ascii="Times New Roman" w:hAnsi="Times New Roman" w:eastAsia="宋体"/>
                <w:color w:val="auto"/>
                <w:szCs w:val="21"/>
              </w:rPr>
              <w:t>时，可取</w:t>
            </w:r>
            <m:oMath>
              <m:sSub>
                <m:sSubPr>
                  <m:ctrlPr>
                    <w:rPr>
                      <w:rFonts w:ascii="Cambria Math" w:hAnsi="Cambria Math"/>
                      <w:color w:val="auto"/>
                    </w:rPr>
                  </m:ctrlPr>
                </m:sSubPr>
                <m:e>
                  <m:r>
                    <m:rPr/>
                    <w:rPr>
                      <w:rFonts w:ascii="Cambria Math" w:hAnsi="Cambria Math"/>
                      <w:color w:val="auto"/>
                    </w:rPr>
                    <m:t>ρ</m:t>
                  </m:r>
                  <m:ctrlPr>
                    <w:rPr>
                      <w:rFonts w:ascii="Cambria Math" w:hAnsi="Cambria Math"/>
                      <w:color w:val="auto"/>
                    </w:rPr>
                  </m:ctrlPr>
                </m:e>
                <m:sub>
                  <m:r>
                    <m:rPr/>
                    <w:rPr>
                      <w:rFonts w:ascii="Cambria Math" w:hAnsi="Cambria Math"/>
                      <w:color w:val="auto"/>
                    </w:rPr>
                    <m:t>te</m:t>
                  </m:r>
                  <m:ctrlPr>
                    <w:rPr>
                      <w:rFonts w:ascii="Cambria Math" w:hAnsi="Cambria Math"/>
                      <w:color w:val="auto"/>
                    </w:rPr>
                  </m:ctrlPr>
                </m:sub>
              </m:sSub>
              <m:r>
                <m:rPr/>
                <w:rPr>
                  <w:rFonts w:ascii="Cambria Math" w:hAnsi="Cambria Math"/>
                  <w:color w:val="auto"/>
                </w:rPr>
                <m:t>=0.1</m:t>
              </m:r>
            </m:oMath>
            <w:r>
              <w:rPr>
                <w:rFonts w:hint="eastAsia" w:ascii="Times New Roman" w:hAnsi="Times New Roman" w:eastAsia="宋体"/>
                <w:color w:val="auto"/>
                <w:szCs w:val="21"/>
              </w:rPr>
              <w:t>；当</w:t>
            </w:r>
            <m:oMath>
              <m:sSub>
                <m:sSubPr>
                  <m:ctrlPr>
                    <w:rPr>
                      <w:rFonts w:ascii="Cambria Math" w:hAnsi="Cambria Math"/>
                      <w:color w:val="auto"/>
                    </w:rPr>
                  </m:ctrlPr>
                </m:sSubPr>
                <m:e>
                  <m:r>
                    <m:rPr/>
                    <w:rPr>
                      <w:rFonts w:ascii="Cambria Math" w:hAnsi="Cambria Math"/>
                      <w:color w:val="auto"/>
                    </w:rPr>
                    <m:t>ρ</m:t>
                  </m:r>
                  <m:ctrlPr>
                    <w:rPr>
                      <w:rFonts w:ascii="Cambria Math" w:hAnsi="Cambria Math"/>
                      <w:color w:val="auto"/>
                    </w:rPr>
                  </m:ctrlPr>
                </m:e>
                <m:sub>
                  <m:r>
                    <m:rPr/>
                    <w:rPr>
                      <w:rFonts w:ascii="Cambria Math" w:hAnsi="Cambria Math"/>
                      <w:color w:val="auto"/>
                    </w:rPr>
                    <m:t>te</m:t>
                  </m:r>
                  <m:ctrlPr>
                    <w:rPr>
                      <w:rFonts w:ascii="Cambria Math" w:hAnsi="Cambria Math"/>
                      <w:color w:val="auto"/>
                    </w:rPr>
                  </m:ctrlPr>
                </m:sub>
              </m:sSub>
              <m:r>
                <m:rPr/>
                <w:rPr>
                  <w:rFonts w:ascii="Cambria Math" w:hAnsi="Cambria Math"/>
                  <w:color w:val="auto"/>
                </w:rPr>
                <m:t>&lt;0.01</m:t>
              </m:r>
            </m:oMath>
            <w:r>
              <w:rPr>
                <w:rFonts w:hint="eastAsia" w:ascii="Times New Roman" w:hAnsi="Times New Roman" w:eastAsia="宋体"/>
                <w:color w:val="auto"/>
                <w:szCs w:val="21"/>
              </w:rPr>
              <w:t>时，可取</w:t>
            </w:r>
            <m:oMath>
              <m:sSub>
                <m:sSubPr>
                  <m:ctrlPr>
                    <w:rPr>
                      <w:rFonts w:ascii="Cambria Math" w:hAnsi="Cambria Math"/>
                      <w:color w:val="auto"/>
                    </w:rPr>
                  </m:ctrlPr>
                </m:sSubPr>
                <m:e>
                  <m:r>
                    <m:rPr/>
                    <w:rPr>
                      <w:rFonts w:ascii="Cambria Math" w:hAnsi="Cambria Math"/>
                      <w:color w:val="auto"/>
                    </w:rPr>
                    <m:t>ρ</m:t>
                  </m:r>
                  <m:ctrlPr>
                    <w:rPr>
                      <w:rFonts w:ascii="Cambria Math" w:hAnsi="Cambria Math"/>
                      <w:color w:val="auto"/>
                    </w:rPr>
                  </m:ctrlPr>
                </m:e>
                <m:sub>
                  <m:r>
                    <m:rPr/>
                    <w:rPr>
                      <w:rFonts w:ascii="Cambria Math" w:hAnsi="Cambria Math"/>
                      <w:color w:val="auto"/>
                    </w:rPr>
                    <m:t>te</m:t>
                  </m:r>
                  <m:ctrlPr>
                    <w:rPr>
                      <w:rFonts w:ascii="Cambria Math" w:hAnsi="Cambria Math"/>
                      <w:color w:val="auto"/>
                    </w:rPr>
                  </m:ctrlPr>
                </m:sub>
              </m:sSub>
              <m:r>
                <m:rPr/>
                <w:rPr>
                  <w:rFonts w:ascii="Cambria Math" w:hAnsi="Cambria Math"/>
                  <w:color w:val="auto"/>
                </w:rPr>
                <m:t>=0.01</m:t>
              </m:r>
            </m:oMath>
            <w:r>
              <w:rPr>
                <w:rFonts w:hint="eastAsia" w:ascii="Times New Roman" w:hAnsi="Times New Roman" w:eastAsia="宋体"/>
                <w:color w:val="auto"/>
                <w:szCs w:val="21"/>
              </w:rPr>
              <w:t>；</w:t>
            </w:r>
          </w:p>
        </w:tc>
      </w:tr>
      <w:tr w14:paraId="7DD53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gridSpan w:val="2"/>
          </w:tcPr>
          <w:p w14:paraId="5AD40BB5">
            <w:pPr>
              <w:spacing w:line="360" w:lineRule="auto"/>
              <w:jc w:val="right"/>
              <w:rPr>
                <w:rFonts w:ascii="Cambria Math" w:hAnsi="Cambria Math" w:eastAsia="宋体" w:cs="Times New Roman"/>
                <w:i/>
                <w:color w:val="auto"/>
                <w:szCs w:val="21"/>
              </w:rPr>
            </w:pPr>
            <m:oMathPara>
              <m:oMathParaPr>
                <m:jc m:val="right"/>
              </m:oMathParaPr>
              <m:oMath>
                <m:r>
                  <m:rPr/>
                  <w:rPr>
                    <w:rFonts w:ascii="Cambria Math" w:hAnsi="Cambria Math" w:cs="Times New Roman"/>
                    <w:color w:val="auto"/>
                  </w:rPr>
                  <m:t>ρ</m:t>
                </m:r>
              </m:oMath>
            </m:oMathPara>
          </w:p>
        </w:tc>
        <w:tc>
          <w:tcPr>
            <w:tcW w:w="3978" w:type="pct"/>
            <w:gridSpan w:val="2"/>
          </w:tcPr>
          <w:p w14:paraId="13D21751">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——普通混凝土层纵向受拉钢筋配筋率，当</w:t>
            </w:r>
            <m:oMath>
              <m:r>
                <m:rPr/>
                <w:rPr>
                  <w:rFonts w:ascii="Cambria Math" w:hAnsi="Cambria Math"/>
                  <w:color w:val="auto"/>
                </w:rPr>
                <m:t>ρ&gt;0.02</m:t>
              </m:r>
            </m:oMath>
            <w:r>
              <w:rPr>
                <w:rFonts w:hint="eastAsia" w:ascii="Times New Roman" w:hAnsi="Times New Roman" w:eastAsia="宋体"/>
                <w:color w:val="auto"/>
                <w:szCs w:val="21"/>
              </w:rPr>
              <w:t>时，取</w:t>
            </w:r>
            <m:oMath>
              <m:r>
                <m:rPr/>
                <w:rPr>
                  <w:rFonts w:ascii="Cambria Math" w:hAnsi="Cambria Math"/>
                  <w:color w:val="auto"/>
                </w:rPr>
                <m:t>ρ</m:t>
              </m:r>
              <m:r>
                <m:rPr/>
                <w:rPr>
                  <w:rFonts w:hint="eastAsia" w:ascii="Cambria Math" w:hAnsi="Cambria Math"/>
                  <w:color w:val="auto"/>
                </w:rPr>
                <m:t>=</m:t>
              </m:r>
              <m:r>
                <m:rPr/>
                <w:rPr>
                  <w:rFonts w:ascii="Cambria Math" w:hAnsi="Cambria Math"/>
                  <w:color w:val="auto"/>
                </w:rPr>
                <m:t>0.02</m:t>
              </m:r>
            </m:oMath>
            <w:r>
              <w:rPr>
                <w:rFonts w:hint="eastAsia" w:ascii="Times New Roman" w:hAnsi="Times New Roman" w:eastAsia="宋体"/>
                <w:color w:val="auto"/>
                <w:szCs w:val="21"/>
              </w:rPr>
              <w:t>，</w:t>
            </w:r>
            <m:oMath>
              <m:r>
                <m:rPr/>
                <w:rPr>
                  <w:rFonts w:ascii="Cambria Math" w:hAnsi="Cambria Math"/>
                  <w:color w:val="auto"/>
                </w:rPr>
                <m:t>ρ&lt;0.06</m:t>
              </m:r>
            </m:oMath>
            <w:r>
              <w:rPr>
                <w:rFonts w:hint="eastAsia" w:ascii="Times New Roman" w:hAnsi="Times New Roman" w:eastAsia="宋体"/>
                <w:color w:val="auto"/>
                <w:szCs w:val="21"/>
              </w:rPr>
              <w:t>时，取</w:t>
            </w:r>
            <m:oMath>
              <m:r>
                <m:rPr/>
                <w:rPr>
                  <w:rFonts w:ascii="Cambria Math" w:hAnsi="Cambria Math"/>
                  <w:color w:val="auto"/>
                </w:rPr>
                <m:t>ρ</m:t>
              </m:r>
              <m:r>
                <m:rPr/>
                <w:rPr>
                  <w:rFonts w:hint="eastAsia" w:ascii="Cambria Math" w:hAnsi="Cambria Math"/>
                  <w:color w:val="auto"/>
                </w:rPr>
                <m:t>=</m:t>
              </m:r>
              <m:r>
                <m:rPr/>
                <w:rPr>
                  <w:rFonts w:ascii="Cambria Math" w:hAnsi="Cambria Math"/>
                  <w:color w:val="auto"/>
                </w:rPr>
                <m:t>0.06</m:t>
              </m:r>
            </m:oMath>
            <w:r>
              <w:rPr>
                <w:rFonts w:hint="eastAsia" w:ascii="Times New Roman" w:hAnsi="Times New Roman" w:eastAsia="宋体"/>
                <w:color w:val="auto"/>
                <w:szCs w:val="21"/>
              </w:rPr>
              <w:t>；</w:t>
            </w:r>
          </w:p>
        </w:tc>
      </w:tr>
      <w:tr w14:paraId="06613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gridSpan w:val="2"/>
          </w:tcPr>
          <w:p w14:paraId="78668B63">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sc</m:t>
                    </m:r>
                    <m:ctrlPr>
                      <w:rPr>
                        <w:rFonts w:ascii="Cambria Math" w:hAnsi="Cambria Math"/>
                        <w:i/>
                        <w:color w:val="auto"/>
                      </w:rPr>
                    </m:ctrlPr>
                  </m:sub>
                </m:sSub>
                <m:r>
                  <m:rPr>
                    <m:sty m:val="p"/>
                  </m:rPr>
                  <w:rPr>
                    <w:rFonts w:hint="eastAsia" w:ascii="Cambria Math" w:hAnsi="Cambria Math"/>
                    <w:color w:val="auto"/>
                  </w:rPr>
                  <m:t>、</m:t>
                </m:r>
                <m:sSub>
                  <m:sSubPr>
                    <m:ctrlPr>
                      <w:rPr>
                        <w:rFonts w:ascii="Cambria Math" w:hAnsi="Cambria Math"/>
                        <w:color w:val="auto"/>
                      </w:rPr>
                    </m:ctrlPr>
                  </m:sSubPr>
                  <m:e>
                    <m:r>
                      <m:rPr/>
                      <w:rPr>
                        <w:rFonts w:ascii="Cambria Math" w:hAnsi="Cambria Math"/>
                        <w:color w:val="auto"/>
                      </w:rPr>
                      <m:t>A</m:t>
                    </m:r>
                    <m:ctrlPr>
                      <w:rPr>
                        <w:rFonts w:ascii="Cambria Math" w:hAnsi="Cambria Math"/>
                        <w:color w:val="auto"/>
                      </w:rPr>
                    </m:ctrlPr>
                  </m:e>
                  <m:sub>
                    <m:r>
                      <m:rPr/>
                      <w:rPr>
                        <w:rFonts w:ascii="Cambria Math" w:hAnsi="Cambria Math"/>
                        <w:color w:val="auto"/>
                      </w:rPr>
                      <m:t>su</m:t>
                    </m:r>
                    <m:ctrlPr>
                      <w:rPr>
                        <w:rFonts w:ascii="Cambria Math" w:hAnsi="Cambria Math"/>
                        <w:color w:val="auto"/>
                      </w:rPr>
                    </m:ctrlPr>
                  </m:sub>
                </m:sSub>
              </m:oMath>
            </m:oMathPara>
          </w:p>
        </w:tc>
        <w:tc>
          <w:tcPr>
            <w:tcW w:w="3978" w:type="pct"/>
            <w:gridSpan w:val="2"/>
          </w:tcPr>
          <w:p w14:paraId="10FE49C8">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——分别为受拉区普通混凝土层和超高性能混凝土层的纵向受力钢筋的截面面积（mm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w:t>
            </w:r>
          </w:p>
        </w:tc>
      </w:tr>
      <w:tr w14:paraId="2AE89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gridSpan w:val="2"/>
          </w:tcPr>
          <w:p w14:paraId="5AAF2B20">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A</m:t>
                    </m:r>
                    <m:ctrlPr>
                      <w:rPr>
                        <w:rFonts w:ascii="Cambria Math" w:hAnsi="Cambria Math"/>
                        <w:color w:val="auto"/>
                      </w:rPr>
                    </m:ctrlPr>
                  </m:e>
                  <m:sub>
                    <m:r>
                      <m:rPr/>
                      <w:rPr>
                        <w:rFonts w:ascii="Cambria Math" w:hAnsi="Cambria Math"/>
                        <w:color w:val="auto"/>
                      </w:rPr>
                      <m:t>te</m:t>
                    </m:r>
                    <m:ctrlPr>
                      <w:rPr>
                        <w:rFonts w:ascii="Cambria Math" w:hAnsi="Cambria Math"/>
                        <w:color w:val="auto"/>
                      </w:rPr>
                    </m:ctrlPr>
                  </m:sub>
                </m:sSub>
              </m:oMath>
            </m:oMathPara>
          </w:p>
        </w:tc>
        <w:tc>
          <w:tcPr>
            <w:tcW w:w="3978" w:type="pct"/>
            <w:gridSpan w:val="2"/>
          </w:tcPr>
          <w:p w14:paraId="0D164883">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——超高性能混凝土的有效受拉截面面积（mm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），受弯构件可取</w:t>
            </w:r>
            <m:oMath>
              <m:r>
                <m:rPr>
                  <m:sty m:val="p"/>
                </m:rPr>
                <w:rPr>
                  <w:rFonts w:ascii="Cambria Math" w:hAnsi="Cambria Math"/>
                  <w:color w:val="auto"/>
                </w:rPr>
                <m:t>2</m:t>
              </m:r>
              <m:sSub>
                <m:sSubPr>
                  <m:ctrlPr>
                    <w:rPr>
                      <w:rFonts w:ascii="Cambria Math" w:hAnsi="Cambria Math"/>
                      <w:color w:val="auto"/>
                    </w:rPr>
                  </m:ctrlPr>
                </m:sSubPr>
                <m:e>
                  <m:r>
                    <m:rPr/>
                    <w:rPr>
                      <w:rFonts w:ascii="Cambria Math" w:hAnsi="Cambria Math"/>
                      <w:color w:val="auto"/>
                    </w:rPr>
                    <m:t>a</m:t>
                  </m:r>
                  <m:ctrlPr>
                    <w:rPr>
                      <w:rFonts w:ascii="Cambria Math" w:hAnsi="Cambria Math"/>
                      <w:color w:val="auto"/>
                    </w:rPr>
                  </m:ctrlPr>
                </m:e>
                <m:sub>
                  <m:r>
                    <m:rPr/>
                    <w:rPr>
                      <w:rFonts w:ascii="Cambria Math" w:hAnsi="Cambria Math"/>
                      <w:color w:val="auto"/>
                    </w:rPr>
                    <m:t>s</m:t>
                  </m:r>
                  <m:ctrlPr>
                    <w:rPr>
                      <w:rFonts w:ascii="Cambria Math" w:hAnsi="Cambria Math"/>
                      <w:color w:val="auto"/>
                    </w:rPr>
                  </m:ctrlPr>
                </m:sub>
              </m:sSub>
              <m:r>
                <m:rPr/>
                <w:rPr>
                  <w:rFonts w:ascii="Cambria Math" w:hAnsi="Cambria Math"/>
                  <w:color w:val="auto"/>
                </w:rPr>
                <m:t>b</m:t>
              </m:r>
            </m:oMath>
            <w:r>
              <w:rPr>
                <w:rFonts w:hint="eastAsia" w:ascii="Times New Roman" w:hAnsi="Times New Roman" w:eastAsia="宋体"/>
                <w:color w:val="auto"/>
                <w:szCs w:val="21"/>
              </w:rPr>
              <w:t>；</w:t>
            </w:r>
          </w:p>
        </w:tc>
      </w:tr>
      <w:tr w14:paraId="1D5B8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gridSpan w:val="2"/>
          </w:tcPr>
          <w:p w14:paraId="377F7F67">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C</m:t>
                    </m:r>
                    <m:ctrlPr>
                      <w:rPr>
                        <w:rFonts w:ascii="Cambria Math" w:hAnsi="Cambria Math"/>
                        <w:color w:val="auto"/>
                      </w:rPr>
                    </m:ctrlPr>
                  </m:e>
                  <m:sub>
                    <m:r>
                      <m:rPr/>
                      <w:rPr>
                        <w:rFonts w:ascii="Cambria Math" w:hAnsi="Cambria Math"/>
                        <w:color w:val="auto"/>
                      </w:rPr>
                      <m:t>1</m:t>
                    </m:r>
                    <m:ctrlPr>
                      <w:rPr>
                        <w:rFonts w:ascii="Cambria Math" w:hAnsi="Cambria Math"/>
                        <w:color w:val="auto"/>
                      </w:rPr>
                    </m:ctrlPr>
                  </m:sub>
                </m:sSub>
              </m:oMath>
            </m:oMathPara>
          </w:p>
        </w:tc>
        <w:tc>
          <w:tcPr>
            <w:tcW w:w="3978" w:type="pct"/>
            <w:gridSpan w:val="2"/>
          </w:tcPr>
          <w:p w14:paraId="314774E0">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——钢筋表面形状系数，对光面钢筋，</w:t>
            </w:r>
            <m:oMath>
              <m:sSub>
                <m:sSubPr>
                  <m:ctrlPr>
                    <w:rPr>
                      <w:rFonts w:ascii="Cambria Math" w:hAnsi="Cambria Math"/>
                      <w:color w:val="auto"/>
                    </w:rPr>
                  </m:ctrlPr>
                </m:sSubPr>
                <m:e>
                  <m:r>
                    <m:rPr/>
                    <w:rPr>
                      <w:rFonts w:ascii="Cambria Math" w:hAnsi="Cambria Math"/>
                      <w:color w:val="auto"/>
                    </w:rPr>
                    <m:t>C</m:t>
                  </m:r>
                  <m:ctrlPr>
                    <w:rPr>
                      <w:rFonts w:ascii="Cambria Math" w:hAnsi="Cambria Math"/>
                      <w:color w:val="auto"/>
                    </w:rPr>
                  </m:ctrlPr>
                </m:e>
                <m:sub>
                  <m:r>
                    <m:rPr/>
                    <w:rPr>
                      <w:rFonts w:ascii="Cambria Math" w:hAnsi="Cambria Math"/>
                      <w:color w:val="auto"/>
                    </w:rPr>
                    <m:t>1</m:t>
                  </m:r>
                  <m:ctrlPr>
                    <w:rPr>
                      <w:rFonts w:ascii="Cambria Math" w:hAnsi="Cambria Math"/>
                      <w:color w:val="auto"/>
                    </w:rPr>
                  </m:ctrlPr>
                </m:sub>
              </m:sSub>
              <m:r>
                <m:rPr/>
                <w:rPr>
                  <w:rFonts w:ascii="Cambria Math" w:hAnsi="Cambria Math"/>
                  <w:color w:val="auto"/>
                </w:rPr>
                <m:t>=1.4</m:t>
              </m:r>
            </m:oMath>
            <w:r>
              <w:rPr>
                <w:rFonts w:hint="eastAsia" w:ascii="Times New Roman" w:hAnsi="Times New Roman" w:eastAsia="宋体"/>
                <w:color w:val="auto"/>
                <w:szCs w:val="21"/>
              </w:rPr>
              <w:t>；对带肋钢筋，</w:t>
            </w:r>
            <m:oMath>
              <m:sSub>
                <m:sSubPr>
                  <m:ctrlPr>
                    <w:rPr>
                      <w:rFonts w:ascii="Cambria Math" w:hAnsi="Cambria Math"/>
                      <w:color w:val="auto"/>
                    </w:rPr>
                  </m:ctrlPr>
                </m:sSubPr>
                <m:e>
                  <m:r>
                    <m:rPr/>
                    <w:rPr>
                      <w:rFonts w:ascii="Cambria Math" w:hAnsi="Cambria Math"/>
                      <w:color w:val="auto"/>
                    </w:rPr>
                    <m:t>C</m:t>
                  </m:r>
                  <m:ctrlPr>
                    <w:rPr>
                      <w:rFonts w:ascii="Cambria Math" w:hAnsi="Cambria Math"/>
                      <w:color w:val="auto"/>
                    </w:rPr>
                  </m:ctrlPr>
                </m:e>
                <m:sub>
                  <m:r>
                    <m:rPr/>
                    <w:rPr>
                      <w:rFonts w:ascii="Cambria Math" w:hAnsi="Cambria Math"/>
                      <w:color w:val="auto"/>
                    </w:rPr>
                    <m:t>1</m:t>
                  </m:r>
                  <m:ctrlPr>
                    <w:rPr>
                      <w:rFonts w:ascii="Cambria Math" w:hAnsi="Cambria Math"/>
                      <w:color w:val="auto"/>
                    </w:rPr>
                  </m:ctrlPr>
                </m:sub>
              </m:sSub>
              <m:r>
                <m:rPr/>
                <w:rPr>
                  <w:rFonts w:ascii="Cambria Math" w:hAnsi="Cambria Math"/>
                  <w:color w:val="auto"/>
                </w:rPr>
                <m:t>=1.0</m:t>
              </m:r>
            </m:oMath>
            <w:r>
              <w:rPr>
                <w:rFonts w:hint="eastAsia" w:ascii="Times New Roman" w:hAnsi="Times New Roman" w:eastAsia="宋体"/>
                <w:color w:val="auto"/>
                <w:szCs w:val="21"/>
              </w:rPr>
              <w:t>；</w:t>
            </w:r>
          </w:p>
        </w:tc>
      </w:tr>
      <w:tr w14:paraId="6BB2F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gridSpan w:val="2"/>
          </w:tcPr>
          <w:p w14:paraId="5AB4D81E">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C</m:t>
                    </m:r>
                    <m:ctrlPr>
                      <w:rPr>
                        <w:rFonts w:ascii="Cambria Math" w:hAnsi="Cambria Math"/>
                        <w:color w:val="auto"/>
                      </w:rPr>
                    </m:ctrlPr>
                  </m:e>
                  <m:sub>
                    <m:r>
                      <m:rPr/>
                      <w:rPr>
                        <w:rFonts w:ascii="Cambria Math" w:hAnsi="Cambria Math"/>
                        <w:color w:val="auto"/>
                      </w:rPr>
                      <m:t>2</m:t>
                    </m:r>
                    <m:ctrlPr>
                      <w:rPr>
                        <w:rFonts w:ascii="Cambria Math" w:hAnsi="Cambria Math"/>
                        <w:color w:val="auto"/>
                      </w:rPr>
                    </m:ctrlPr>
                  </m:sub>
                </m:sSub>
              </m:oMath>
            </m:oMathPara>
          </w:p>
        </w:tc>
        <w:tc>
          <w:tcPr>
            <w:tcW w:w="3978" w:type="pct"/>
            <w:gridSpan w:val="2"/>
          </w:tcPr>
          <w:p w14:paraId="66D3F035">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——作用（或荷载）长期效应影响系数，</w:t>
            </w:r>
            <m:oMath>
              <m:sSub>
                <m:sSubPr>
                  <m:ctrlPr>
                    <w:rPr>
                      <w:rFonts w:ascii="Cambria Math" w:hAnsi="Cambria Math"/>
                      <w:color w:val="auto"/>
                    </w:rPr>
                  </m:ctrlPr>
                </m:sSubPr>
                <m:e>
                  <m:r>
                    <m:rPr/>
                    <w:rPr>
                      <w:rFonts w:ascii="Cambria Math" w:hAnsi="Cambria Math"/>
                      <w:color w:val="auto"/>
                    </w:rPr>
                    <m:t>C</m:t>
                  </m:r>
                  <m:ctrlPr>
                    <w:rPr>
                      <w:rFonts w:ascii="Cambria Math" w:hAnsi="Cambria Math"/>
                      <w:color w:val="auto"/>
                    </w:rPr>
                  </m:ctrlPr>
                </m:e>
                <m:sub>
                  <m:r>
                    <m:rPr/>
                    <w:rPr>
                      <w:rFonts w:ascii="Cambria Math" w:hAnsi="Cambria Math"/>
                      <w:color w:val="auto"/>
                    </w:rPr>
                    <m:t>2</m:t>
                  </m:r>
                  <m:ctrlPr>
                    <w:rPr>
                      <w:rFonts w:ascii="Cambria Math" w:hAnsi="Cambria Math"/>
                      <w:color w:val="auto"/>
                    </w:rPr>
                  </m:ctrlPr>
                </m:sub>
              </m:sSub>
              <m:r>
                <m:rPr/>
                <w:rPr>
                  <w:rFonts w:ascii="Cambria Math" w:hAnsi="Cambria Math"/>
                  <w:color w:val="auto"/>
                </w:rPr>
                <m:t>=1+0.5</m:t>
              </m:r>
              <m:f>
                <m:fPr>
                  <m:ctrlPr>
                    <w:rPr>
                      <w:rFonts w:ascii="Cambria Math" w:hAnsi="Cambria Math"/>
                      <w:i/>
                      <w:color w:val="auto"/>
                    </w:rPr>
                  </m:ctrlPr>
                </m:fPr>
                <m:num>
                  <m:sSub>
                    <m:sSubPr>
                      <m:ctrlPr>
                        <w:rPr>
                          <w:rFonts w:ascii="Cambria Math" w:hAnsi="Cambria Math"/>
                          <w:i/>
                          <w:color w:val="auto"/>
                        </w:rPr>
                      </m:ctrlPr>
                    </m:sSubPr>
                    <m:e>
                      <m:r>
                        <m:rPr/>
                        <w:rPr>
                          <w:rFonts w:ascii="Cambria Math" w:hAnsi="Cambria Math"/>
                          <w:color w:val="auto"/>
                        </w:rPr>
                        <m:t>N</m:t>
                      </m:r>
                      <m:ctrlPr>
                        <w:rPr>
                          <w:rFonts w:ascii="Cambria Math" w:hAnsi="Cambria Math"/>
                          <w:i/>
                          <w:color w:val="auto"/>
                        </w:rPr>
                      </m:ctrlPr>
                    </m:e>
                    <m:sub>
                      <m:r>
                        <m:rPr/>
                        <w:rPr>
                          <w:rFonts w:hint="eastAsia" w:ascii="Cambria Math" w:hAnsi="Cambria Math"/>
                          <w:color w:val="auto"/>
                        </w:rPr>
                        <m:t>l</m:t>
                      </m:r>
                      <m:ctrlPr>
                        <w:rPr>
                          <w:rFonts w:ascii="Cambria Math" w:hAnsi="Cambria Math"/>
                          <w:i/>
                          <w:color w:val="auto"/>
                        </w:rPr>
                      </m:ctrlPr>
                    </m:sub>
                  </m:sSub>
                  <m:ctrlPr>
                    <w:rPr>
                      <w:rFonts w:ascii="Cambria Math" w:hAnsi="Cambria Math"/>
                      <w:i/>
                      <w:color w:val="auto"/>
                    </w:rPr>
                  </m:ctrlPr>
                </m:num>
                <m:den>
                  <m:sSub>
                    <m:sSubPr>
                      <m:ctrlPr>
                        <w:rPr>
                          <w:rFonts w:ascii="Cambria Math" w:hAnsi="Cambria Math"/>
                          <w:i/>
                          <w:color w:val="auto"/>
                        </w:rPr>
                      </m:ctrlPr>
                    </m:sSubPr>
                    <m:e>
                      <m:r>
                        <m:rPr/>
                        <w:rPr>
                          <w:rFonts w:ascii="Cambria Math" w:hAnsi="Cambria Math"/>
                          <w:color w:val="auto"/>
                        </w:rPr>
                        <m:t>N</m:t>
                      </m:r>
                      <m:ctrlPr>
                        <w:rPr>
                          <w:rFonts w:ascii="Cambria Math" w:hAnsi="Cambria Math"/>
                          <w:i/>
                          <w:color w:val="auto"/>
                        </w:rPr>
                      </m:ctrlPr>
                    </m:e>
                    <m:sub>
                      <m:r>
                        <m:rPr/>
                        <w:rPr>
                          <w:rFonts w:hint="eastAsia" w:ascii="Cambria Math" w:hAnsi="Cambria Math"/>
                          <w:color w:val="auto"/>
                        </w:rPr>
                        <m:t>s</m:t>
                      </m:r>
                      <m:ctrlPr>
                        <w:rPr>
                          <w:rFonts w:ascii="Cambria Math" w:hAnsi="Cambria Math"/>
                          <w:i/>
                          <w:color w:val="auto"/>
                        </w:rPr>
                      </m:ctrlPr>
                    </m:sub>
                  </m:sSub>
                  <m:ctrlPr>
                    <w:rPr>
                      <w:rFonts w:ascii="Cambria Math" w:hAnsi="Cambria Math"/>
                      <w:i/>
                      <w:color w:val="auto"/>
                    </w:rPr>
                  </m:ctrlPr>
                </m:den>
              </m:f>
            </m:oMath>
            <w:r>
              <w:rPr>
                <w:rFonts w:hint="eastAsia" w:ascii="Times New Roman" w:hAnsi="Times New Roman" w:eastAsia="宋体"/>
                <w:color w:val="auto"/>
                <w:szCs w:val="21"/>
              </w:rPr>
              <w:t>，其中</w:t>
            </w:r>
            <m:oMath>
              <m:sSub>
                <m:sSubPr>
                  <m:ctrlPr>
                    <w:rPr>
                      <w:rFonts w:ascii="Cambria Math" w:hAnsi="Cambria Math"/>
                      <w:i/>
                      <w:color w:val="auto"/>
                    </w:rPr>
                  </m:ctrlPr>
                </m:sSubPr>
                <m:e>
                  <m:r>
                    <m:rPr/>
                    <w:rPr>
                      <w:rFonts w:ascii="Cambria Math" w:hAnsi="Cambria Math"/>
                      <w:color w:val="auto"/>
                    </w:rPr>
                    <m:t>N</m:t>
                  </m:r>
                  <m:ctrlPr>
                    <w:rPr>
                      <w:rFonts w:ascii="Cambria Math" w:hAnsi="Cambria Math"/>
                      <w:i/>
                      <w:color w:val="auto"/>
                    </w:rPr>
                  </m:ctrlPr>
                </m:e>
                <m:sub>
                  <m:r>
                    <m:rPr/>
                    <w:rPr>
                      <w:rFonts w:hint="eastAsia" w:ascii="Cambria Math" w:hAnsi="Cambria Math"/>
                      <w:color w:val="auto"/>
                    </w:rPr>
                    <m:t>l</m:t>
                  </m:r>
                  <m:ctrlPr>
                    <w:rPr>
                      <w:rFonts w:ascii="Cambria Math" w:hAnsi="Cambria Math"/>
                      <w:i/>
                      <w:color w:val="auto"/>
                    </w:rPr>
                  </m:ctrlPr>
                </m:sub>
              </m:sSub>
            </m:oMath>
            <w:r>
              <w:rPr>
                <w:rFonts w:hint="eastAsia" w:ascii="Times New Roman" w:hAnsi="Times New Roman" w:eastAsia="宋体"/>
                <w:color w:val="auto"/>
                <w:szCs w:val="21"/>
              </w:rPr>
              <w:t>和</w:t>
            </w:r>
            <m:oMath>
              <m:sSub>
                <m:sSubPr>
                  <m:ctrlPr>
                    <w:rPr>
                      <w:rFonts w:ascii="Cambria Math" w:hAnsi="Cambria Math"/>
                      <w:i/>
                      <w:color w:val="auto"/>
                    </w:rPr>
                  </m:ctrlPr>
                </m:sSubPr>
                <m:e>
                  <m:r>
                    <m:rPr/>
                    <w:rPr>
                      <w:rFonts w:ascii="Cambria Math" w:hAnsi="Cambria Math"/>
                      <w:color w:val="auto"/>
                    </w:rPr>
                    <m:t>N</m:t>
                  </m:r>
                  <m:ctrlPr>
                    <w:rPr>
                      <w:rFonts w:ascii="Cambria Math" w:hAnsi="Cambria Math"/>
                      <w:i/>
                      <w:color w:val="auto"/>
                    </w:rPr>
                  </m:ctrlPr>
                </m:e>
                <m:sub>
                  <m:r>
                    <m:rPr/>
                    <w:rPr>
                      <w:rFonts w:hint="eastAsia" w:ascii="Cambria Math" w:hAnsi="Cambria Math"/>
                      <w:color w:val="auto"/>
                    </w:rPr>
                    <m:t>s</m:t>
                  </m:r>
                  <m:ctrlPr>
                    <w:rPr>
                      <w:rFonts w:ascii="Cambria Math" w:hAnsi="Cambria Math"/>
                      <w:i/>
                      <w:color w:val="auto"/>
                    </w:rPr>
                  </m:ctrlPr>
                </m:sub>
              </m:sSub>
            </m:oMath>
            <w:r>
              <w:rPr>
                <w:rFonts w:hint="eastAsia" w:ascii="Times New Roman" w:hAnsi="Times New Roman" w:eastAsia="宋体"/>
                <w:color w:val="auto"/>
                <w:szCs w:val="21"/>
              </w:rPr>
              <w:t>分别为按作用（或荷载）长期效应组合和短期效应组合计算的内力值（弯短或轴向力）；</w:t>
            </w:r>
          </w:p>
        </w:tc>
      </w:tr>
      <w:tr w14:paraId="5A41F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gridSpan w:val="2"/>
          </w:tcPr>
          <w:p w14:paraId="4CC7B459">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C</m:t>
                    </m:r>
                    <m:ctrlPr>
                      <w:rPr>
                        <w:rFonts w:ascii="Cambria Math" w:hAnsi="Cambria Math"/>
                        <w:color w:val="auto"/>
                      </w:rPr>
                    </m:ctrlPr>
                  </m:e>
                  <m:sub>
                    <m:r>
                      <m:rPr/>
                      <w:rPr>
                        <w:rFonts w:ascii="Cambria Math" w:hAnsi="Cambria Math"/>
                        <w:color w:val="auto"/>
                      </w:rPr>
                      <m:t>3</m:t>
                    </m:r>
                    <m:ctrlPr>
                      <w:rPr>
                        <w:rFonts w:ascii="Cambria Math" w:hAnsi="Cambria Math"/>
                        <w:color w:val="auto"/>
                      </w:rPr>
                    </m:ctrlPr>
                  </m:sub>
                </m:sSub>
              </m:oMath>
            </m:oMathPara>
          </w:p>
        </w:tc>
        <w:tc>
          <w:tcPr>
            <w:tcW w:w="3978" w:type="pct"/>
            <w:gridSpan w:val="2"/>
          </w:tcPr>
          <w:p w14:paraId="245E8C88">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——与构件受力性质有关的系数，当为钢筋混凝土板式受弯构时，</w:t>
            </w:r>
            <m:oMath>
              <m:sSub>
                <m:sSubPr>
                  <m:ctrlPr>
                    <w:rPr>
                      <w:rFonts w:ascii="Cambria Math" w:hAnsi="Cambria Math"/>
                      <w:color w:val="auto"/>
                    </w:rPr>
                  </m:ctrlPr>
                </m:sSubPr>
                <m:e>
                  <m:r>
                    <m:rPr/>
                    <w:rPr>
                      <w:rFonts w:ascii="Cambria Math" w:hAnsi="Cambria Math"/>
                      <w:color w:val="auto"/>
                    </w:rPr>
                    <m:t>C</m:t>
                  </m:r>
                  <m:ctrlPr>
                    <w:rPr>
                      <w:rFonts w:ascii="Cambria Math" w:hAnsi="Cambria Math"/>
                      <w:color w:val="auto"/>
                    </w:rPr>
                  </m:ctrlPr>
                </m:e>
                <m:sub>
                  <m:r>
                    <m:rPr/>
                    <w:rPr>
                      <w:rFonts w:ascii="Cambria Math" w:hAnsi="Cambria Math"/>
                      <w:color w:val="auto"/>
                    </w:rPr>
                    <m:t>3</m:t>
                  </m:r>
                  <m:ctrlPr>
                    <w:rPr>
                      <w:rFonts w:ascii="Cambria Math" w:hAnsi="Cambria Math"/>
                      <w:color w:val="auto"/>
                    </w:rPr>
                  </m:ctrlPr>
                </m:sub>
              </m:sSub>
              <m:r>
                <m:rPr/>
                <w:rPr>
                  <w:rFonts w:ascii="Cambria Math" w:hAnsi="Cambria Math"/>
                  <w:color w:val="auto"/>
                </w:rPr>
                <m:t>=1.15</m:t>
              </m:r>
            </m:oMath>
            <w:r>
              <w:rPr>
                <w:rFonts w:hint="eastAsia" w:ascii="Times New Roman" w:hAnsi="Times New Roman" w:eastAsia="宋体"/>
                <w:color w:val="auto"/>
                <w:szCs w:val="21"/>
              </w:rPr>
              <w:t>；其他受弯构件时，</w:t>
            </w:r>
            <m:oMath>
              <m:sSub>
                <m:sSubPr>
                  <m:ctrlPr>
                    <w:rPr>
                      <w:rFonts w:ascii="Cambria Math" w:hAnsi="Cambria Math"/>
                      <w:color w:val="auto"/>
                    </w:rPr>
                  </m:ctrlPr>
                </m:sSubPr>
                <m:e>
                  <m:r>
                    <m:rPr/>
                    <w:rPr>
                      <w:rFonts w:ascii="Cambria Math" w:hAnsi="Cambria Math"/>
                      <w:color w:val="auto"/>
                    </w:rPr>
                    <m:t>C</m:t>
                  </m:r>
                  <m:ctrlPr>
                    <w:rPr>
                      <w:rFonts w:ascii="Cambria Math" w:hAnsi="Cambria Math"/>
                      <w:color w:val="auto"/>
                    </w:rPr>
                  </m:ctrlPr>
                </m:e>
                <m:sub>
                  <m:r>
                    <m:rPr/>
                    <w:rPr>
                      <w:rFonts w:ascii="Cambria Math" w:hAnsi="Cambria Math"/>
                      <w:color w:val="auto"/>
                    </w:rPr>
                    <m:t>3</m:t>
                  </m:r>
                  <m:ctrlPr>
                    <w:rPr>
                      <w:rFonts w:ascii="Cambria Math" w:hAnsi="Cambria Math"/>
                      <w:color w:val="auto"/>
                    </w:rPr>
                  </m:ctrlPr>
                </m:sub>
              </m:sSub>
              <m:r>
                <m:rPr/>
                <w:rPr>
                  <w:rFonts w:ascii="Cambria Math" w:hAnsi="Cambria Math"/>
                  <w:color w:val="auto"/>
                </w:rPr>
                <m:t>=1.0</m:t>
              </m:r>
            </m:oMath>
            <w:r>
              <w:rPr>
                <w:rFonts w:hint="eastAsia" w:ascii="Times New Roman" w:hAnsi="Times New Roman" w:eastAsia="宋体"/>
                <w:color w:val="auto"/>
                <w:szCs w:val="21"/>
              </w:rPr>
              <w:t>。</w:t>
            </w:r>
          </w:p>
        </w:tc>
      </w:tr>
      <w:tr w14:paraId="76932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gridSpan w:val="2"/>
          </w:tcPr>
          <w:p w14:paraId="30412E93">
            <w:pPr>
              <w:spacing w:line="360" w:lineRule="auto"/>
              <w:jc w:val="right"/>
              <w:rPr>
                <w:rFonts w:hint="eastAsia" w:ascii="等线" w:hAnsi="等线" w:eastAsia="等线" w:cs="Times New Roman"/>
                <w:color w:val="auto"/>
              </w:rPr>
            </w:pPr>
            <m:oMathPara>
              <m:oMathParaPr>
                <m:jc m:val="right"/>
              </m:oMathParaPr>
              <m:oMath>
                <m:sSub>
                  <m:sSubPr>
                    <m:ctrlPr>
                      <w:rPr>
                        <w:rFonts w:ascii="Cambria Math" w:hAnsi="Cambria Math"/>
                        <w:color w:val="auto"/>
                      </w:rPr>
                    </m:ctrlPr>
                  </m:sSubPr>
                  <m:e>
                    <m:r>
                      <m:rPr/>
                      <w:rPr>
                        <w:rFonts w:ascii="Cambria Math" w:hAnsi="Cambria Math"/>
                        <w:color w:val="auto"/>
                      </w:rPr>
                      <m:t>C</m:t>
                    </m:r>
                    <m:ctrlPr>
                      <w:rPr>
                        <w:rFonts w:ascii="Cambria Math" w:hAnsi="Cambria Math"/>
                        <w:color w:val="auto"/>
                      </w:rPr>
                    </m:ctrlPr>
                  </m:e>
                  <m:sub>
                    <m:r>
                      <m:rPr/>
                      <w:rPr>
                        <w:rFonts w:ascii="Cambria Math" w:hAnsi="Cambria Math"/>
                        <w:color w:val="auto"/>
                      </w:rPr>
                      <m:t>4</m:t>
                    </m:r>
                    <m:ctrlPr>
                      <w:rPr>
                        <w:rFonts w:ascii="Cambria Math" w:hAnsi="Cambria Math"/>
                        <w:color w:val="auto"/>
                      </w:rPr>
                    </m:ctrlPr>
                  </m:sub>
                </m:sSub>
              </m:oMath>
            </m:oMathPara>
          </w:p>
        </w:tc>
        <w:tc>
          <w:tcPr>
            <w:tcW w:w="3978" w:type="pct"/>
            <w:gridSpan w:val="2"/>
          </w:tcPr>
          <w:p w14:paraId="4FA48BC7">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——考虑超高性能混凝土</w:t>
            </w:r>
            <w:r>
              <w:rPr>
                <w:rFonts w:ascii="Times New Roman" w:hAnsi="Times New Roman" w:eastAsia="宋体"/>
                <w:color w:val="auto"/>
                <w:szCs w:val="21"/>
              </w:rPr>
              <w:t>底板对上层</w:t>
            </w:r>
            <w:r>
              <w:rPr>
                <w:rFonts w:hint="eastAsia" w:ascii="Times New Roman" w:hAnsi="Times New Roman" w:eastAsia="宋体"/>
                <w:color w:val="auto"/>
                <w:szCs w:val="21"/>
              </w:rPr>
              <w:t>普通混凝土层</w:t>
            </w:r>
            <w:r>
              <w:rPr>
                <w:rFonts w:ascii="Times New Roman" w:hAnsi="Times New Roman" w:eastAsia="宋体"/>
                <w:color w:val="auto"/>
                <w:szCs w:val="21"/>
              </w:rPr>
              <w:t>的约束作用</w:t>
            </w:r>
            <w:r>
              <w:rPr>
                <w:rFonts w:hint="eastAsia" w:ascii="Times New Roman" w:hAnsi="Times New Roman" w:eastAsia="宋体"/>
                <w:color w:val="auto"/>
                <w:szCs w:val="21"/>
              </w:rPr>
              <w:t>，设定</w:t>
            </w:r>
            <w:r>
              <w:rPr>
                <w:rFonts w:ascii="Times New Roman" w:hAnsi="Times New Roman" w:eastAsia="宋体"/>
                <w:color w:val="auto"/>
                <w:szCs w:val="21"/>
              </w:rPr>
              <w:t>的修正系数</w:t>
            </w:r>
            <m:oMath>
              <m:r>
                <m:rPr/>
                <w:rPr>
                  <w:rFonts w:ascii="Cambria Math" w:hAnsi="Cambria Math" w:eastAsia="宋体"/>
                  <w:color w:val="auto"/>
                  <w:szCs w:val="21"/>
                </w:rPr>
                <m:t xml:space="preserve"> </m:t>
              </m:r>
              <m:sSub>
                <m:sSubPr>
                  <m:ctrlPr>
                    <w:rPr>
                      <w:rFonts w:ascii="Cambria Math" w:hAnsi="Cambria Math"/>
                      <w:color w:val="auto"/>
                    </w:rPr>
                  </m:ctrlPr>
                </m:sSubPr>
                <m:e>
                  <m:r>
                    <m:rPr/>
                    <w:rPr>
                      <w:rFonts w:ascii="Cambria Math" w:hAnsi="Cambria Math"/>
                      <w:color w:val="auto"/>
                    </w:rPr>
                    <m:t>C</m:t>
                  </m:r>
                  <m:ctrlPr>
                    <w:rPr>
                      <w:rFonts w:ascii="Cambria Math" w:hAnsi="Cambria Math"/>
                      <w:color w:val="auto"/>
                    </w:rPr>
                  </m:ctrlPr>
                </m:e>
                <m:sub>
                  <m:r>
                    <m:rPr/>
                    <w:rPr>
                      <w:rFonts w:ascii="Cambria Math" w:hAnsi="Cambria Math"/>
                      <w:color w:val="auto"/>
                    </w:rPr>
                    <m:t>4</m:t>
                  </m:r>
                  <m:ctrlPr>
                    <w:rPr>
                      <w:rFonts w:ascii="Cambria Math" w:hAnsi="Cambria Math"/>
                      <w:color w:val="auto"/>
                    </w:rPr>
                  </m:ctrlPr>
                </m:sub>
              </m:sSub>
              <m:r>
                <m:rPr/>
                <w:rPr>
                  <w:rFonts w:ascii="Cambria Math" w:hAnsi="Cambria Math"/>
                  <w:color w:val="auto"/>
                </w:rPr>
                <m:t>=0.75</m:t>
              </m:r>
            </m:oMath>
            <w:r>
              <w:rPr>
                <w:rFonts w:hint="eastAsia" w:ascii="Times New Roman" w:hAnsi="Times New Roman" w:eastAsia="宋体"/>
                <w:color w:val="auto"/>
              </w:rPr>
              <w:t>。</w:t>
            </w:r>
          </w:p>
        </w:tc>
      </w:tr>
    </w:tbl>
    <w:p w14:paraId="06E4C949">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color w:val="auto"/>
          <w:szCs w:val="21"/>
        </w:rPr>
        <w:t xml:space="preserve">6.2.5  </w:t>
      </w:r>
      <w:r>
        <w:rPr>
          <w:rFonts w:hint="eastAsia" w:ascii="Times New Roman" w:hAnsi="Times New Roman" w:eastAsia="宋体"/>
          <w:color w:val="auto"/>
          <w:szCs w:val="21"/>
        </w:rPr>
        <w:t>由作用频遇组合引起的组合盖板超高性能混凝土开裂截面纵向受拉钢筋的应力</w:t>
      </w:r>
      <m:oMath>
        <m:sSub>
          <m:sSubPr>
            <m:ctrlPr>
              <w:rPr>
                <w:rFonts w:ascii="Cambria Math" w:hAnsi="Cambria Math"/>
                <w:color w:val="auto"/>
              </w:rPr>
            </m:ctrlPr>
          </m:sSubPr>
          <m:e>
            <m:r>
              <m:rPr/>
              <w:rPr>
                <w:rFonts w:ascii="Cambria Math" w:hAnsi="Cambria Math"/>
                <w:color w:val="auto"/>
              </w:rPr>
              <m:t>σ</m:t>
            </m:r>
            <m:ctrlPr>
              <w:rPr>
                <w:rFonts w:ascii="Cambria Math" w:hAnsi="Cambria Math"/>
                <w:color w:val="auto"/>
              </w:rPr>
            </m:ctrlPr>
          </m:e>
          <m:sub>
            <m:r>
              <m:rPr/>
              <w:rPr>
                <w:rFonts w:hint="eastAsia" w:ascii="Cambria Math" w:hAnsi="Cambria Math"/>
                <w:color w:val="auto"/>
              </w:rPr>
              <m:t>su</m:t>
            </m:r>
            <m:ctrlPr>
              <w:rPr>
                <w:rFonts w:ascii="Cambria Math" w:hAnsi="Cambria Math"/>
                <w:color w:val="auto"/>
              </w:rPr>
            </m:ctrlPr>
          </m:sub>
        </m:sSub>
      </m:oMath>
      <w:r>
        <w:rPr>
          <w:rFonts w:hint="eastAsia" w:ascii="Times New Roman" w:hAnsi="Times New Roman" w:eastAsia="宋体"/>
          <w:color w:val="auto"/>
          <w:szCs w:val="21"/>
        </w:rPr>
        <w:t>计算宜考虑超高性能混凝土的抗拉作用。</w:t>
      </w:r>
    </w:p>
    <w:p w14:paraId="120AB0CA">
      <w:pPr>
        <w:pStyle w:val="3"/>
        <w:rPr>
          <w:color w:val="auto"/>
        </w:rPr>
      </w:pPr>
      <w:bookmarkStart w:id="86" w:name="_Toc19320"/>
      <w:bookmarkStart w:id="87" w:name="_Toc27757"/>
      <w:bookmarkStart w:id="88" w:name="_Toc17735"/>
      <w:r>
        <w:rPr>
          <w:rFonts w:hint="eastAsia"/>
          <w:color w:val="auto"/>
        </w:rPr>
        <w:t>6.3  挠度验算</w:t>
      </w:r>
      <w:bookmarkEnd w:id="86"/>
      <w:bookmarkEnd w:id="87"/>
      <w:bookmarkEnd w:id="88"/>
    </w:p>
    <w:p w14:paraId="3F2D02DC">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color w:val="auto"/>
          <w:szCs w:val="21"/>
        </w:rPr>
        <w:t xml:space="preserve">6.3.1  </w:t>
      </w:r>
      <w:r>
        <w:rPr>
          <w:rFonts w:hint="eastAsia" w:ascii="Times New Roman" w:hAnsi="Times New Roman" w:eastAsia="宋体"/>
          <w:color w:val="auto"/>
          <w:szCs w:val="21"/>
        </w:rPr>
        <w:t>超高性能混凝土－普通混凝土组合式盖板结构受弯构件，在正常使用极限状态下的挠度，可根据给定的构件刚度用结构力学或有限元方法进行计算。计算时应考虑施工阶段组合式截面的分阶段形成，且应根据施工阶段结构各单元加载龄期和计算龄期，按超高性能混凝土梁式桥技术规程》T/CCES 27-2021附录C计算收缩及徐变变形增量，并进行累加得到结构挠度变形。</w:t>
      </w:r>
    </w:p>
    <w:p w14:paraId="3CD384B8">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color w:val="auto"/>
          <w:szCs w:val="21"/>
        </w:rPr>
        <w:t xml:space="preserve">6.3.2  </w:t>
      </w:r>
      <w:r>
        <w:rPr>
          <w:rFonts w:hint="eastAsia" w:ascii="Times New Roman" w:hAnsi="Times New Roman" w:eastAsia="宋体"/>
          <w:color w:val="auto"/>
          <w:szCs w:val="21"/>
        </w:rPr>
        <w:t>超高性能混凝土－普通混凝土组合式盖板结构的刚度，可按现行行业标准《公路钢筋混凝土及预应力混凝土桥涵设计规范》JTG 3362进行计算，其中开裂截面抗弯刚度</w:t>
      </w:r>
      <m:oMath>
        <m:sSub>
          <m:sSubPr>
            <m:ctrlPr>
              <w:rPr>
                <w:rFonts w:ascii="Cambria Math" w:hAnsi="Cambria Math"/>
                <w:color w:val="auto"/>
              </w:rPr>
            </m:ctrlPr>
          </m:sSubPr>
          <m:e>
            <m:r>
              <m:rPr/>
              <w:rPr>
                <w:rFonts w:ascii="Cambria Math" w:hAnsi="Cambria Math"/>
                <w:color w:val="auto"/>
              </w:rPr>
              <m:t>B</m:t>
            </m:r>
            <m:ctrlPr>
              <w:rPr>
                <w:rFonts w:ascii="Cambria Math" w:hAnsi="Cambria Math"/>
                <w:color w:val="auto"/>
              </w:rPr>
            </m:ctrlPr>
          </m:e>
          <m:sub>
            <m:r>
              <m:rPr/>
              <w:rPr>
                <w:rFonts w:hint="eastAsia" w:ascii="Cambria Math" w:hAnsi="Cambria Math"/>
                <w:color w:val="auto"/>
              </w:rPr>
              <m:t>cr</m:t>
            </m:r>
            <m:ctrlPr>
              <w:rPr>
                <w:rFonts w:ascii="Cambria Math" w:hAnsi="Cambria Math"/>
                <w:color w:val="auto"/>
              </w:rPr>
            </m:ctrlPr>
          </m:sub>
        </m:sSub>
      </m:oMath>
      <w:r>
        <w:rPr>
          <w:rFonts w:hint="eastAsia" w:ascii="Times New Roman" w:hAnsi="Times New Roman" w:eastAsia="宋体"/>
          <w:color w:val="auto"/>
          <w:szCs w:val="21"/>
        </w:rPr>
        <w:t>计算宜考虑超高性能混凝土抗拉作用。</w:t>
      </w:r>
    </w:p>
    <w:p w14:paraId="199755AC">
      <w:pPr>
        <w:pStyle w:val="2"/>
        <w:spacing w:before="312" w:after="312"/>
        <w:rPr>
          <w:color w:val="auto"/>
        </w:rPr>
      </w:pPr>
      <w:bookmarkStart w:id="89" w:name="_Toc11804"/>
      <w:bookmarkStart w:id="90" w:name="_Toc4609"/>
      <w:bookmarkStart w:id="91" w:name="_Toc22316"/>
      <w:r>
        <w:rPr>
          <w:rFonts w:hint="eastAsia"/>
          <w:color w:val="auto"/>
        </w:rPr>
        <w:t>7  持久状况和短暂状况构件的应力计算</w:t>
      </w:r>
      <w:bookmarkEnd w:id="89"/>
      <w:bookmarkEnd w:id="90"/>
      <w:bookmarkEnd w:id="91"/>
    </w:p>
    <w:p w14:paraId="5DBE5E41">
      <w:pPr>
        <w:pStyle w:val="3"/>
        <w:rPr>
          <w:color w:val="auto"/>
        </w:rPr>
      </w:pPr>
      <w:bookmarkStart w:id="92" w:name="_Toc5962"/>
      <w:bookmarkStart w:id="93" w:name="_Toc20123"/>
      <w:bookmarkStart w:id="94" w:name="_Toc25340"/>
      <w:r>
        <w:rPr>
          <w:rFonts w:hint="eastAsia"/>
          <w:color w:val="auto"/>
        </w:rPr>
        <w:t>7.1  持久状况构件应力计算</w:t>
      </w:r>
      <w:bookmarkEnd w:id="92"/>
      <w:bookmarkEnd w:id="93"/>
      <w:bookmarkEnd w:id="94"/>
    </w:p>
    <w:p w14:paraId="6B32DB59">
      <w:pPr>
        <w:numPr>
          <w:ilvl w:val="2"/>
          <w:numId w:val="0"/>
        </w:numPr>
        <w:spacing w:line="360" w:lineRule="auto"/>
        <w:outlineLvl w:val="2"/>
        <w:rPr>
          <w:rFonts w:ascii="Times New Roman" w:hAnsi="Times New Roman" w:eastAsia="宋体"/>
          <w:bCs/>
          <w:color w:val="auto"/>
          <w:szCs w:val="21"/>
        </w:rPr>
      </w:pPr>
      <w:r>
        <w:rPr>
          <w:rFonts w:hint="eastAsia" w:ascii="Times New Roman" w:hAnsi="Times New Roman" w:eastAsia="宋体"/>
          <w:bCs/>
          <w:color w:val="auto"/>
          <w:szCs w:val="21"/>
        </w:rPr>
        <w:t>7.1.1  持久状况下，超高性能混凝土－普通混凝土组合式盖板结构在进行持久状况设计时，应计算其使用阶段正截面超高性能混凝土及普通混凝土的法向压应力、斜截面超高性能混凝土主压应力，并不得超过本节规定的限值，尚应符合下列规定：</w:t>
      </w:r>
    </w:p>
    <w:p w14:paraId="1915C937">
      <w:pPr>
        <w:numPr>
          <w:ilvl w:val="2"/>
          <w:numId w:val="0"/>
        </w:numPr>
        <w:spacing w:line="360" w:lineRule="auto"/>
        <w:ind w:firstLine="420" w:firstLineChars="200"/>
        <w:outlineLvl w:val="2"/>
        <w:rPr>
          <w:rFonts w:ascii="Times New Roman" w:hAnsi="Times New Roman" w:eastAsia="宋体"/>
          <w:bCs/>
          <w:color w:val="auto"/>
          <w:szCs w:val="21"/>
        </w:rPr>
      </w:pPr>
      <w:r>
        <w:rPr>
          <w:rFonts w:hint="eastAsia" w:ascii="Times New Roman" w:hAnsi="Times New Roman" w:eastAsia="宋体"/>
          <w:bCs/>
          <w:color w:val="auto"/>
          <w:szCs w:val="21"/>
        </w:rPr>
        <w:t>1 计算时作用应取其标准值，不考虑汽车荷载的冲击系数；</w:t>
      </w:r>
    </w:p>
    <w:p w14:paraId="73D4FB66">
      <w:pPr>
        <w:numPr>
          <w:ilvl w:val="2"/>
          <w:numId w:val="0"/>
        </w:numPr>
        <w:spacing w:line="360" w:lineRule="auto"/>
        <w:ind w:firstLine="420" w:firstLineChars="200"/>
        <w:outlineLvl w:val="2"/>
        <w:rPr>
          <w:rFonts w:ascii="Times New Roman" w:hAnsi="Times New Roman" w:eastAsia="宋体"/>
          <w:bCs/>
          <w:color w:val="auto"/>
          <w:szCs w:val="21"/>
        </w:rPr>
      </w:pPr>
      <w:r>
        <w:rPr>
          <w:rFonts w:hint="eastAsia" w:ascii="Times New Roman" w:hAnsi="Times New Roman" w:eastAsia="宋体"/>
          <w:bCs/>
          <w:color w:val="auto"/>
          <w:szCs w:val="21"/>
        </w:rPr>
        <w:t>2 应考虑施工顺序、混凝土徐变、收缩以及温度等作用的影响。</w:t>
      </w:r>
    </w:p>
    <w:p w14:paraId="4CBD6FA4">
      <w:pPr>
        <w:numPr>
          <w:ilvl w:val="2"/>
          <w:numId w:val="0"/>
        </w:numPr>
        <w:spacing w:line="360" w:lineRule="auto"/>
        <w:outlineLvl w:val="2"/>
        <w:rPr>
          <w:rFonts w:ascii="Times New Roman" w:hAnsi="Times New Roman" w:eastAsia="宋体"/>
          <w:bCs/>
          <w:color w:val="auto"/>
          <w:szCs w:val="21"/>
        </w:rPr>
      </w:pPr>
      <w:r>
        <w:rPr>
          <w:rFonts w:hint="eastAsia" w:ascii="Times New Roman" w:hAnsi="Times New Roman" w:eastAsia="宋体"/>
          <w:bCs/>
          <w:color w:val="auto"/>
          <w:szCs w:val="21"/>
        </w:rPr>
        <w:t>7.1.2  使用阶段正截面超高性能混凝土、普通混凝土的压应力限值应符合下列规定：</w:t>
      </w:r>
    </w:p>
    <w:p w14:paraId="1A70BC86">
      <w:pPr>
        <w:spacing w:line="360" w:lineRule="auto"/>
        <w:ind w:firstLine="420" w:firstLineChars="200"/>
        <w:rPr>
          <w:rFonts w:ascii="Times New Roman" w:hAnsi="Times New Roman" w:eastAsia="等线"/>
          <w:bCs/>
          <w:color w:val="auto"/>
          <w:szCs w:val="21"/>
        </w:rPr>
      </w:pPr>
      <w:r>
        <w:rPr>
          <w:rFonts w:hint="eastAsia" w:ascii="Times New Roman" w:hAnsi="Times New Roman" w:eastAsia="宋体"/>
          <w:bCs/>
          <w:color w:val="auto"/>
          <w:szCs w:val="21"/>
        </w:rPr>
        <w:t>1 普通混凝土正截面的法向最大压应力不宜大于</w:t>
      </w:r>
      <m:oMath>
        <m:r>
          <m:rPr>
            <m:sty m:val="p"/>
          </m:rPr>
          <w:rPr>
            <w:rFonts w:ascii="Cambria Math" w:hAnsi="Cambria Math"/>
            <w:color w:val="auto"/>
          </w:rPr>
          <m:t>0.5</m:t>
        </m:r>
        <m:sSub>
          <m:sSubPr>
            <m:ctrlPr>
              <w:rPr>
                <w:rFonts w:ascii="Cambria Math" w:hAnsi="Cambria Math" w:eastAsia="等线" w:cs="Times New Roman"/>
                <w:bCs/>
                <w:i/>
                <w:color w:val="auto"/>
              </w:rPr>
            </m:ctrlPr>
          </m:sSubPr>
          <m:e>
            <m:r>
              <m:rPr/>
              <w:rPr>
                <w:rFonts w:ascii="Cambria Math" w:hAnsi="Cambria Math" w:eastAsia="等线" w:cs="Times New Roman"/>
                <w:color w:val="auto"/>
              </w:rPr>
              <m:t>f</m:t>
            </m:r>
            <m:ctrlPr>
              <w:rPr>
                <w:rFonts w:ascii="Cambria Math" w:hAnsi="Cambria Math" w:eastAsia="等线" w:cs="Times New Roman"/>
                <w:bCs/>
                <w:i/>
                <w:color w:val="auto"/>
              </w:rPr>
            </m:ctrlPr>
          </m:e>
          <m:sub>
            <m:r>
              <m:rPr/>
              <w:rPr>
                <w:rFonts w:ascii="Cambria Math" w:hAnsi="Cambria Math" w:eastAsia="等线" w:cs="Times New Roman"/>
                <w:color w:val="auto"/>
              </w:rPr>
              <m:t>ck</m:t>
            </m:r>
            <m:ctrlPr>
              <w:rPr>
                <w:rFonts w:ascii="Cambria Math" w:hAnsi="Cambria Math" w:eastAsia="等线" w:cs="Times New Roman"/>
                <w:bCs/>
                <w:i/>
                <w:color w:val="auto"/>
              </w:rPr>
            </m:ctrlPr>
          </m:sub>
        </m:sSub>
      </m:oMath>
      <w:r>
        <w:rPr>
          <w:rFonts w:hint="eastAsia" w:hAnsi="Cambria Math" w:eastAsia="等线" w:cs="Times New Roman"/>
          <w:bCs/>
          <w:color w:val="auto"/>
        </w:rPr>
        <w:t>;</w:t>
      </w:r>
    </w:p>
    <w:p w14:paraId="71FD2144">
      <w:pPr>
        <w:spacing w:line="360" w:lineRule="auto"/>
        <w:ind w:firstLine="420" w:firstLineChars="200"/>
        <w:rPr>
          <w:rFonts w:ascii="Times New Roman" w:hAnsi="Times New Roman" w:eastAsia="等线"/>
          <w:bCs/>
          <w:color w:val="auto"/>
          <w:szCs w:val="21"/>
        </w:rPr>
      </w:pPr>
      <w:r>
        <w:rPr>
          <w:rFonts w:hint="eastAsia" w:ascii="Times New Roman" w:hAnsi="Times New Roman" w:eastAsia="宋体"/>
          <w:bCs/>
          <w:color w:val="auto"/>
          <w:szCs w:val="21"/>
        </w:rPr>
        <w:t>2 超高性能混凝土正截面的法向最大压应力不宜大于</w:t>
      </w:r>
      <m:oMath>
        <m:r>
          <m:rPr>
            <m:sty m:val="p"/>
          </m:rPr>
          <w:rPr>
            <w:rFonts w:ascii="Cambria Math" w:hAnsi="Cambria Math"/>
            <w:color w:val="auto"/>
          </w:rPr>
          <m:t>0.5</m:t>
        </m:r>
        <m:sSub>
          <m:sSubPr>
            <m:ctrlPr>
              <w:rPr>
                <w:rFonts w:ascii="Cambria Math" w:hAnsi="Cambria Math" w:eastAsia="等线" w:cs="Times New Roman"/>
                <w:bCs/>
                <w:i/>
                <w:color w:val="auto"/>
              </w:rPr>
            </m:ctrlPr>
          </m:sSubPr>
          <m:e>
            <m:r>
              <m:rPr/>
              <w:rPr>
                <w:rFonts w:ascii="Cambria Math" w:hAnsi="Cambria Math" w:eastAsia="等线" w:cs="Times New Roman"/>
                <w:color w:val="auto"/>
              </w:rPr>
              <m:t>f</m:t>
            </m:r>
            <m:ctrlPr>
              <w:rPr>
                <w:rFonts w:ascii="Cambria Math" w:hAnsi="Cambria Math" w:eastAsia="等线" w:cs="Times New Roman"/>
                <w:bCs/>
                <w:i/>
                <w:color w:val="auto"/>
              </w:rPr>
            </m:ctrlPr>
          </m:e>
          <m:sub>
            <m:r>
              <m:rPr/>
              <w:rPr>
                <w:rFonts w:ascii="Cambria Math" w:hAnsi="Cambria Math" w:eastAsia="等线" w:cs="Times New Roman"/>
                <w:color w:val="auto"/>
              </w:rPr>
              <m:t>fck</m:t>
            </m:r>
            <m:ctrlPr>
              <w:rPr>
                <w:rFonts w:ascii="Cambria Math" w:hAnsi="Cambria Math" w:eastAsia="等线" w:cs="Times New Roman"/>
                <w:bCs/>
                <w:i/>
                <w:color w:val="auto"/>
              </w:rPr>
            </m:ctrlPr>
          </m:sub>
        </m:sSub>
      </m:oMath>
      <w:r>
        <w:rPr>
          <w:rFonts w:hint="eastAsia" w:hAnsi="Cambria Math" w:eastAsia="等线" w:cs="Times New Roman"/>
          <w:bCs/>
          <w:color w:val="auto"/>
        </w:rPr>
        <w:t>。</w:t>
      </w:r>
    </w:p>
    <w:p w14:paraId="16F21D93">
      <w:pPr>
        <w:widowControl/>
        <w:numPr>
          <w:ilvl w:val="2"/>
          <w:numId w:val="0"/>
        </w:numPr>
        <w:spacing w:line="360" w:lineRule="auto"/>
        <w:jc w:val="left"/>
        <w:outlineLvl w:val="2"/>
        <w:rPr>
          <w:rFonts w:ascii="Times New Roman" w:hAnsi="Times New Roman" w:eastAsia="宋体"/>
          <w:bCs/>
          <w:color w:val="auto"/>
          <w:szCs w:val="21"/>
        </w:rPr>
      </w:pPr>
      <w:r>
        <w:rPr>
          <w:rFonts w:hint="eastAsia" w:ascii="Times New Roman" w:hAnsi="Times New Roman" w:eastAsia="宋体"/>
          <w:bCs/>
          <w:color w:val="auto"/>
          <w:szCs w:val="21"/>
          <w:lang w:bidi="ar"/>
        </w:rPr>
        <w:t xml:space="preserve">7.1.3 使用阶段斜截面超高性能混凝土的主压应力、主拉应力和箍筋设置应符合下列规定： </w:t>
      </w:r>
    </w:p>
    <w:p w14:paraId="61654B38">
      <w:pPr>
        <w:widowControl/>
        <w:spacing w:line="360" w:lineRule="auto"/>
        <w:ind w:firstLine="420" w:firstLineChars="200"/>
        <w:jc w:val="left"/>
        <w:rPr>
          <w:rFonts w:hAnsi="Cambria Math" w:eastAsia="等线" w:cs="Times New Roman"/>
          <w:bCs/>
          <w:color w:val="auto"/>
        </w:rPr>
      </w:pPr>
      <w:r>
        <w:rPr>
          <w:rFonts w:hint="eastAsia" w:hAnsi="Cambria Math" w:eastAsia="等线" w:cs="Times New Roman"/>
          <w:bCs/>
          <w:color w:val="auto"/>
        </w:rPr>
        <w:t xml:space="preserve">1 </w:t>
      </w:r>
      <w:r>
        <w:rPr>
          <w:rFonts w:hint="eastAsia" w:ascii="Times New Roman" w:hAnsi="Times New Roman" w:eastAsia="宋体"/>
          <w:bCs/>
          <w:color w:val="auto"/>
          <w:szCs w:val="21"/>
          <w:lang w:bidi="ar"/>
        </w:rPr>
        <w:t>超高性能混凝土的主压应力不宜大于</w:t>
      </w:r>
      <m:oMath>
        <m:r>
          <m:rPr>
            <m:sty m:val="p"/>
          </m:rPr>
          <w:rPr>
            <w:rFonts w:ascii="Cambria Math" w:hAnsi="Cambria Math"/>
            <w:color w:val="auto"/>
          </w:rPr>
          <m:t>0.6</m:t>
        </m:r>
        <m:sSub>
          <m:sSubPr>
            <m:ctrlPr>
              <w:rPr>
                <w:rFonts w:ascii="Cambria Math" w:hAnsi="Cambria Math" w:eastAsia="等线" w:cs="Times New Roman"/>
                <w:bCs/>
                <w:i/>
                <w:color w:val="auto"/>
              </w:rPr>
            </m:ctrlPr>
          </m:sSubPr>
          <m:e>
            <m:r>
              <m:rPr/>
              <w:rPr>
                <w:rFonts w:ascii="Cambria Math" w:hAnsi="Cambria Math" w:eastAsia="等线" w:cs="Times New Roman"/>
                <w:color w:val="auto"/>
              </w:rPr>
              <m:t>f</m:t>
            </m:r>
            <m:ctrlPr>
              <w:rPr>
                <w:rFonts w:ascii="Cambria Math" w:hAnsi="Cambria Math" w:eastAsia="等线" w:cs="Times New Roman"/>
                <w:bCs/>
                <w:i/>
                <w:color w:val="auto"/>
              </w:rPr>
            </m:ctrlPr>
          </m:e>
          <m:sub>
            <m:r>
              <m:rPr/>
              <w:rPr>
                <w:rFonts w:ascii="Cambria Math" w:hAnsi="Cambria Math" w:eastAsia="等线" w:cs="Times New Roman"/>
                <w:color w:val="auto"/>
              </w:rPr>
              <m:t>fck</m:t>
            </m:r>
            <m:ctrlPr>
              <w:rPr>
                <w:rFonts w:ascii="Cambria Math" w:hAnsi="Cambria Math" w:eastAsia="等线" w:cs="Times New Roman"/>
                <w:bCs/>
                <w:i/>
                <w:color w:val="auto"/>
              </w:rPr>
            </m:ctrlPr>
          </m:sub>
        </m:sSub>
      </m:oMath>
      <w:r>
        <w:rPr>
          <w:rFonts w:hint="eastAsia" w:hAnsi="Cambria Math" w:eastAsia="等线" w:cs="Times New Roman"/>
          <w:bCs/>
          <w:color w:val="auto"/>
        </w:rPr>
        <w:t>;</w:t>
      </w:r>
    </w:p>
    <w:p w14:paraId="060393BD">
      <w:pPr>
        <w:widowControl/>
        <w:spacing w:line="360" w:lineRule="auto"/>
        <w:ind w:firstLine="420" w:firstLineChars="200"/>
        <w:jc w:val="left"/>
        <w:rPr>
          <w:rFonts w:ascii="Times New Roman" w:hAnsi="Times New Roman" w:eastAsia="宋体"/>
          <w:bCs/>
          <w:color w:val="auto"/>
          <w:szCs w:val="21"/>
          <w:lang w:bidi="ar"/>
        </w:rPr>
      </w:pPr>
      <w:r>
        <w:rPr>
          <w:rFonts w:hint="eastAsia" w:ascii="Times New Roman" w:hAnsi="Times New Roman" w:eastAsia="宋体"/>
          <w:bCs/>
          <w:color w:val="auto"/>
          <w:szCs w:val="21"/>
          <w:lang w:bidi="ar"/>
        </w:rPr>
        <w:t>2 根据计算所得的超高性能混凝土主拉应力</w:t>
      </w:r>
      <m:oMath>
        <m:sSub>
          <m:sSubPr>
            <m:ctrlPr>
              <w:rPr>
                <w:rFonts w:ascii="Cambria Math" w:hAnsi="Cambria Math"/>
                <w:bCs/>
                <w:color w:val="auto"/>
                <w:szCs w:val="21"/>
                <w:lang w:bidi="ar"/>
              </w:rPr>
            </m:ctrlPr>
          </m:sSubPr>
          <m:e>
            <m:r>
              <m:rPr>
                <m:sty m:val="p"/>
              </m:rPr>
              <w:rPr>
                <w:rFonts w:ascii="Cambria Math" w:hAnsi="Cambria Math"/>
                <w:color w:val="auto"/>
                <w:szCs w:val="21"/>
                <w:lang w:bidi="ar"/>
              </w:rPr>
              <m:t>σ</m:t>
            </m:r>
            <m:ctrlPr>
              <w:rPr>
                <w:rFonts w:ascii="Cambria Math" w:hAnsi="Cambria Math"/>
                <w:bCs/>
                <w:color w:val="auto"/>
                <w:szCs w:val="21"/>
                <w:lang w:bidi="ar"/>
              </w:rPr>
            </m:ctrlPr>
          </m:e>
          <m:sub>
            <m:r>
              <m:rPr>
                <m:sty m:val="p"/>
              </m:rPr>
              <w:rPr>
                <w:rFonts w:ascii="Cambria Math" w:hAnsi="Cambria Math"/>
                <w:color w:val="auto"/>
                <w:szCs w:val="21"/>
                <w:lang w:bidi="ar"/>
              </w:rPr>
              <m:t>tp</m:t>
            </m:r>
            <m:ctrlPr>
              <w:rPr>
                <w:rFonts w:ascii="Cambria Math" w:hAnsi="Cambria Math"/>
                <w:bCs/>
                <w:color w:val="auto"/>
                <w:szCs w:val="21"/>
                <w:lang w:bidi="ar"/>
              </w:rPr>
            </m:ctrlPr>
          </m:sub>
        </m:sSub>
      </m:oMath>
      <w:r>
        <w:rPr>
          <w:rFonts w:hint="eastAsia" w:ascii="Times New Roman" w:hAnsi="Times New Roman" w:eastAsia="宋体"/>
          <w:bCs/>
          <w:color w:val="auto"/>
          <w:szCs w:val="21"/>
          <w:lang w:bidi="ar"/>
        </w:rPr>
        <w:t>，应按下列规定设置箍筋：</w:t>
      </w:r>
    </w:p>
    <w:p w14:paraId="52477ED1">
      <w:pPr>
        <w:widowControl/>
        <w:numPr>
          <w:ilvl w:val="0"/>
          <w:numId w:val="5"/>
        </w:numPr>
        <w:spacing w:line="360" w:lineRule="auto"/>
        <w:ind w:firstLine="420" w:firstLineChars="200"/>
        <w:jc w:val="left"/>
        <w:rPr>
          <w:rFonts w:ascii="Times New Roman" w:hAnsi="Times New Roman" w:eastAsia="宋体"/>
          <w:bCs/>
          <w:color w:val="auto"/>
          <w:szCs w:val="21"/>
          <w:lang w:bidi="ar"/>
        </w:rPr>
      </w:pPr>
      <w:r>
        <w:rPr>
          <w:rFonts w:hint="eastAsia" w:ascii="Times New Roman" w:hAnsi="Times New Roman" w:eastAsia="宋体"/>
          <w:bCs/>
          <w:color w:val="auto"/>
          <w:szCs w:val="21"/>
          <w:lang w:bidi="ar"/>
        </w:rPr>
        <w:t>在</w:t>
      </w:r>
      <m:oMath>
        <m:sSub>
          <m:sSubPr>
            <m:ctrlPr>
              <w:rPr>
                <w:rFonts w:hint="eastAsia" w:ascii="Cambria Math" w:hAnsi="Cambria Math" w:eastAsia="宋体"/>
                <w:bCs/>
                <w:color w:val="auto"/>
                <w:szCs w:val="21"/>
                <w:lang w:bidi="ar"/>
              </w:rPr>
            </m:ctrlPr>
          </m:sSubPr>
          <m:e>
            <m:r>
              <m:rPr>
                <m:sty m:val="p"/>
              </m:rPr>
              <w:rPr>
                <w:rFonts w:ascii="Cambria Math" w:hAnsi="Cambria Math" w:eastAsia="宋体"/>
                <w:color w:val="auto"/>
                <w:szCs w:val="21"/>
                <w:lang w:bidi="ar"/>
              </w:rPr>
              <m:t>σ</m:t>
            </m:r>
            <m:ctrlPr>
              <w:rPr>
                <w:rFonts w:hint="eastAsia" w:ascii="Cambria Math" w:hAnsi="Cambria Math" w:eastAsia="宋体"/>
                <w:bCs/>
                <w:color w:val="auto"/>
                <w:szCs w:val="21"/>
                <w:lang w:bidi="ar"/>
              </w:rPr>
            </m:ctrlPr>
          </m:e>
          <m:sub>
            <m:r>
              <m:rPr>
                <m:sty m:val="p"/>
              </m:rPr>
              <w:rPr>
                <w:rFonts w:ascii="Cambria Math" w:hAnsi="Cambria Math" w:eastAsia="宋体"/>
                <w:color w:val="auto"/>
                <w:szCs w:val="21"/>
                <w:lang w:bidi="ar"/>
              </w:rPr>
              <m:t>tp</m:t>
            </m:r>
            <m:ctrlPr>
              <w:rPr>
                <w:rFonts w:hint="eastAsia" w:ascii="Cambria Math" w:hAnsi="Cambria Math" w:eastAsia="宋体"/>
                <w:bCs/>
                <w:color w:val="auto"/>
                <w:szCs w:val="21"/>
                <w:lang w:bidi="ar"/>
              </w:rPr>
            </m:ctrlPr>
          </m:sub>
        </m:sSub>
        <m:r>
          <m:rPr>
            <m:sty m:val="p"/>
          </m:rPr>
          <w:rPr>
            <w:rFonts w:hint="eastAsia" w:ascii="Cambria Math" w:hAnsi="Cambria Math" w:eastAsia="宋体"/>
            <w:color w:val="auto"/>
            <w:szCs w:val="21"/>
            <w:lang w:bidi="ar"/>
          </w:rPr>
          <m:t>≤</m:t>
        </m:r>
        <m:r>
          <m:rPr>
            <m:sty m:val="p"/>
          </m:rPr>
          <w:rPr>
            <w:rFonts w:ascii="Cambria Math" w:hAnsi="Cambria Math" w:eastAsia="宋体"/>
            <w:color w:val="auto"/>
            <w:szCs w:val="21"/>
            <w:lang w:bidi="ar"/>
          </w:rPr>
          <m:t>0.40</m:t>
        </m:r>
        <m:sSub>
          <m:sSubPr>
            <m:ctrlPr>
              <w:rPr>
                <w:rFonts w:hint="eastAsia" w:ascii="Cambria Math" w:hAnsi="Cambria Math" w:eastAsia="宋体"/>
                <w:bCs/>
                <w:color w:val="auto"/>
                <w:szCs w:val="21"/>
                <w:lang w:bidi="ar"/>
              </w:rPr>
            </m:ctrlPr>
          </m:sSubPr>
          <m:e>
            <m:r>
              <m:rPr>
                <m:sty m:val="p"/>
              </m:rPr>
              <w:rPr>
                <w:rFonts w:ascii="Cambria Math" w:hAnsi="Cambria Math" w:eastAsia="宋体"/>
                <w:color w:val="auto"/>
                <w:szCs w:val="21"/>
                <w:lang w:bidi="ar"/>
              </w:rPr>
              <m:t>f</m:t>
            </m:r>
            <m:ctrlPr>
              <w:rPr>
                <w:rFonts w:hint="eastAsia" w:ascii="Cambria Math" w:hAnsi="Cambria Math" w:eastAsia="宋体"/>
                <w:bCs/>
                <w:color w:val="auto"/>
                <w:szCs w:val="21"/>
                <w:lang w:bidi="ar"/>
              </w:rPr>
            </m:ctrlPr>
          </m:e>
          <m:sub>
            <m:r>
              <m:rPr>
                <m:sty m:val="p"/>
              </m:rPr>
              <w:rPr>
                <w:rFonts w:ascii="Cambria Math" w:hAnsi="Cambria Math" w:eastAsia="宋体"/>
                <w:color w:val="auto"/>
                <w:szCs w:val="21"/>
                <w:lang w:bidi="ar"/>
              </w:rPr>
              <m:t>ftk</m:t>
            </m:r>
            <m:ctrlPr>
              <w:rPr>
                <w:rFonts w:hint="eastAsia" w:ascii="Cambria Math" w:hAnsi="Cambria Math" w:eastAsia="宋体"/>
                <w:bCs/>
                <w:color w:val="auto"/>
                <w:szCs w:val="21"/>
                <w:lang w:bidi="ar"/>
              </w:rPr>
            </m:ctrlPr>
          </m:sub>
        </m:sSub>
        <m:r>
          <m:rPr>
            <m:sty m:val="p"/>
          </m:rPr>
          <w:rPr>
            <w:rFonts w:hint="eastAsia" w:ascii="Cambria Math" w:hAnsi="Cambria Math" w:eastAsia="宋体"/>
            <w:color w:val="auto"/>
            <w:szCs w:val="21"/>
            <w:lang w:bidi="ar"/>
          </w:rPr>
          <m:t>/</m:t>
        </m:r>
        <m:sSub>
          <m:sSubPr>
            <m:ctrlPr>
              <w:rPr>
                <w:rFonts w:hint="eastAsia" w:ascii="Cambria Math" w:hAnsi="Cambria Math" w:eastAsia="宋体"/>
                <w:bCs/>
                <w:color w:val="auto"/>
                <w:szCs w:val="21"/>
                <w:lang w:bidi="ar"/>
              </w:rPr>
            </m:ctrlPr>
          </m:sSubPr>
          <m:e>
            <m:r>
              <m:rPr>
                <m:sty m:val="p"/>
              </m:rPr>
              <w:rPr>
                <w:rFonts w:ascii="Cambria Math" w:hAnsi="Cambria Math" w:eastAsia="宋体"/>
                <w:color w:val="auto"/>
                <w:szCs w:val="21"/>
                <w:lang w:bidi="ar"/>
              </w:rPr>
              <m:t>K</m:t>
            </m:r>
            <m:ctrlPr>
              <w:rPr>
                <w:rFonts w:hint="eastAsia" w:ascii="Cambria Math" w:hAnsi="Cambria Math" w:eastAsia="宋体"/>
                <w:bCs/>
                <w:color w:val="auto"/>
                <w:szCs w:val="21"/>
                <w:lang w:bidi="ar"/>
              </w:rPr>
            </m:ctrlPr>
          </m:e>
          <m:sub>
            <m:r>
              <m:rPr>
                <m:sty m:val="p"/>
              </m:rPr>
              <w:rPr>
                <w:rFonts w:ascii="Cambria Math" w:hAnsi="Cambria Math" w:eastAsia="宋体"/>
                <w:color w:val="auto"/>
                <w:szCs w:val="21"/>
                <w:lang w:bidi="ar"/>
              </w:rPr>
              <m:t>global</m:t>
            </m:r>
            <m:ctrlPr>
              <w:rPr>
                <w:rFonts w:hint="eastAsia" w:ascii="Cambria Math" w:hAnsi="Cambria Math" w:eastAsia="宋体"/>
                <w:bCs/>
                <w:color w:val="auto"/>
                <w:szCs w:val="21"/>
                <w:lang w:bidi="ar"/>
              </w:rPr>
            </m:ctrlPr>
          </m:sub>
        </m:sSub>
      </m:oMath>
      <w:r>
        <w:rPr>
          <w:rFonts w:hint="eastAsia" w:ascii="Times New Roman" w:hAnsi="Times New Roman" w:eastAsia="宋体"/>
          <w:bCs/>
          <w:color w:val="auto"/>
          <w:szCs w:val="21"/>
          <w:lang w:bidi="ar"/>
        </w:rPr>
        <w:t xml:space="preserve"> 的区段，可不设置箍筋；</w:t>
      </w:r>
    </w:p>
    <w:p w14:paraId="1BD90ADE">
      <w:pPr>
        <w:widowControl/>
        <w:numPr>
          <w:ilvl w:val="0"/>
          <w:numId w:val="5"/>
        </w:numPr>
        <w:spacing w:line="360" w:lineRule="auto"/>
        <w:ind w:firstLine="420" w:firstLineChars="200"/>
        <w:jc w:val="left"/>
        <w:rPr>
          <w:rFonts w:ascii="Times New Roman" w:hAnsi="Times New Roman" w:eastAsia="宋体"/>
          <w:bCs/>
          <w:color w:val="auto"/>
          <w:szCs w:val="21"/>
          <w:lang w:bidi="ar"/>
        </w:rPr>
      </w:pPr>
      <w:r>
        <w:rPr>
          <w:rFonts w:hint="eastAsia" w:ascii="Times New Roman" w:hAnsi="Times New Roman" w:eastAsia="宋体"/>
          <w:bCs/>
          <w:color w:val="auto"/>
          <w:szCs w:val="21"/>
          <w:lang w:bidi="ar"/>
        </w:rPr>
        <w:t>在</w:t>
      </w:r>
      <m:oMath>
        <m:sSub>
          <m:sSubPr>
            <m:ctrlPr>
              <w:rPr>
                <w:rFonts w:ascii="Cambria Math" w:hAnsi="Cambria Math"/>
                <w:bCs/>
                <w:i/>
                <w:iCs/>
                <w:color w:val="auto"/>
                <w:szCs w:val="21"/>
                <w:lang w:bidi="ar"/>
              </w:rPr>
            </m:ctrlPr>
          </m:sSubPr>
          <m:e>
            <m:r>
              <m:rPr/>
              <w:rPr>
                <w:rFonts w:ascii="Cambria Math" w:hAnsi="Cambria Math"/>
                <w:color w:val="auto"/>
                <w:szCs w:val="21"/>
                <w:lang w:bidi="ar"/>
              </w:rPr>
              <m:t>σ</m:t>
            </m:r>
            <m:ctrlPr>
              <w:rPr>
                <w:rFonts w:ascii="Cambria Math" w:hAnsi="Cambria Math"/>
                <w:bCs/>
                <w:i/>
                <w:iCs/>
                <w:color w:val="auto"/>
                <w:szCs w:val="21"/>
                <w:lang w:bidi="ar"/>
              </w:rPr>
            </m:ctrlPr>
          </m:e>
          <m:sub>
            <m:r>
              <m:rPr/>
              <w:rPr>
                <w:rFonts w:ascii="Cambria Math" w:hAnsi="Cambria Math"/>
                <w:color w:val="auto"/>
                <w:szCs w:val="21"/>
                <w:lang w:bidi="ar"/>
              </w:rPr>
              <m:t>tp</m:t>
            </m:r>
            <m:ctrlPr>
              <w:rPr>
                <w:rFonts w:ascii="Cambria Math" w:hAnsi="Cambria Math"/>
                <w:bCs/>
                <w:i/>
                <w:iCs/>
                <w:color w:val="auto"/>
                <w:szCs w:val="21"/>
                <w:lang w:bidi="ar"/>
              </w:rPr>
            </m:ctrlPr>
          </m:sub>
        </m:sSub>
        <m:r>
          <m:rPr/>
          <w:rPr>
            <w:rFonts w:ascii="Cambria Math" w:hAnsi="Cambria Math"/>
            <w:color w:val="auto"/>
            <w:szCs w:val="21"/>
            <w:lang w:bidi="ar"/>
          </w:rPr>
          <m:t>&gt;</m:t>
        </m:r>
        <m:r>
          <m:rPr/>
          <w:rPr>
            <w:rFonts w:ascii="Cambria Math" w:hAnsi="Cambria Math" w:cs="Cambria Math"/>
            <w:color w:val="auto"/>
            <w:szCs w:val="21"/>
            <w:lang w:bidi="ar"/>
          </w:rPr>
          <m:t>0.40</m:t>
        </m:r>
        <m:sSub>
          <m:sSubPr>
            <m:ctrlPr>
              <w:rPr>
                <w:rFonts w:ascii="Cambria Math" w:hAnsi="Cambria Math" w:cs="Cambria Math"/>
                <w:bCs/>
                <w:i/>
                <w:iCs/>
                <w:color w:val="auto"/>
                <w:szCs w:val="21"/>
                <w:lang w:bidi="ar"/>
              </w:rPr>
            </m:ctrlPr>
          </m:sSubPr>
          <m:e>
            <m:r>
              <m:rPr/>
              <w:rPr>
                <w:rFonts w:ascii="Cambria Math" w:hAnsi="Cambria Math" w:cs="Cambria Math"/>
                <w:color w:val="auto"/>
                <w:szCs w:val="21"/>
                <w:lang w:bidi="ar"/>
              </w:rPr>
              <m:t>f</m:t>
            </m:r>
            <m:ctrlPr>
              <w:rPr>
                <w:rFonts w:ascii="Cambria Math" w:hAnsi="Cambria Math" w:cs="Cambria Math"/>
                <w:bCs/>
                <w:i/>
                <w:iCs/>
                <w:color w:val="auto"/>
                <w:szCs w:val="21"/>
                <w:lang w:bidi="ar"/>
              </w:rPr>
            </m:ctrlPr>
          </m:e>
          <m:sub>
            <m:r>
              <m:rPr/>
              <w:rPr>
                <w:rFonts w:ascii="Cambria Math" w:hAnsi="Cambria Math" w:cs="Cambria Math"/>
                <w:color w:val="auto"/>
                <w:szCs w:val="21"/>
                <w:lang w:bidi="ar"/>
              </w:rPr>
              <m:t>ftk</m:t>
            </m:r>
            <m:ctrlPr>
              <w:rPr>
                <w:rFonts w:ascii="Cambria Math" w:hAnsi="Cambria Math" w:cs="Cambria Math"/>
                <w:bCs/>
                <w:i/>
                <w:iCs/>
                <w:color w:val="auto"/>
                <w:szCs w:val="21"/>
                <w:lang w:bidi="ar"/>
              </w:rPr>
            </m:ctrlPr>
          </m:sub>
        </m:sSub>
        <m:r>
          <m:rPr/>
          <w:rPr>
            <w:rFonts w:ascii="Cambria Math" w:hAnsi="Cambria Math" w:cs="Cambria Math"/>
            <w:color w:val="auto"/>
            <w:szCs w:val="21"/>
            <w:lang w:bidi="ar"/>
          </w:rPr>
          <m:t>/</m:t>
        </m:r>
        <m:sSub>
          <m:sSubPr>
            <m:ctrlPr>
              <w:rPr>
                <w:rFonts w:ascii="Cambria Math" w:hAnsi="Cambria Math" w:cs="Cambria Math"/>
                <w:bCs/>
                <w:i/>
                <w:iCs/>
                <w:color w:val="auto"/>
                <w:szCs w:val="21"/>
                <w:lang w:bidi="ar"/>
              </w:rPr>
            </m:ctrlPr>
          </m:sSubPr>
          <m:e>
            <m:r>
              <m:rPr/>
              <w:rPr>
                <w:rFonts w:ascii="Cambria Math" w:hAnsi="Cambria Math" w:cs="Cambria Math"/>
                <w:color w:val="auto"/>
                <w:szCs w:val="21"/>
                <w:lang w:bidi="ar"/>
              </w:rPr>
              <m:t>K</m:t>
            </m:r>
            <m:ctrlPr>
              <w:rPr>
                <w:rFonts w:ascii="Cambria Math" w:hAnsi="Cambria Math" w:cs="Cambria Math"/>
                <w:bCs/>
                <w:i/>
                <w:iCs/>
                <w:color w:val="auto"/>
                <w:szCs w:val="21"/>
                <w:lang w:bidi="ar"/>
              </w:rPr>
            </m:ctrlPr>
          </m:e>
          <m:sub>
            <m:r>
              <m:rPr/>
              <w:rPr>
                <w:rFonts w:ascii="Cambria Math" w:hAnsi="Cambria Math" w:cs="Cambria Math"/>
                <w:color w:val="auto"/>
                <w:szCs w:val="21"/>
                <w:lang w:bidi="ar"/>
              </w:rPr>
              <m:t>global</m:t>
            </m:r>
            <m:ctrlPr>
              <w:rPr>
                <w:rFonts w:ascii="Cambria Math" w:hAnsi="Cambria Math" w:cs="Cambria Math"/>
                <w:bCs/>
                <w:i/>
                <w:iCs/>
                <w:color w:val="auto"/>
                <w:szCs w:val="21"/>
                <w:lang w:bidi="ar"/>
              </w:rPr>
            </m:ctrlPr>
          </m:sub>
        </m:sSub>
      </m:oMath>
      <w:r>
        <w:rPr>
          <w:rFonts w:hint="eastAsia" w:hAnsi="Cambria Math" w:cs="Cambria Math"/>
          <w:bCs/>
          <w:iCs/>
          <w:color w:val="auto"/>
          <w:szCs w:val="21"/>
          <w:lang w:bidi="ar"/>
        </w:rPr>
        <w:t xml:space="preserve"> </w:t>
      </w:r>
      <w:r>
        <w:rPr>
          <w:rFonts w:hint="eastAsia" w:ascii="Times New Roman" w:hAnsi="Times New Roman" w:eastAsia="宋体"/>
          <w:bCs/>
          <w:color w:val="auto"/>
          <w:szCs w:val="21"/>
          <w:lang w:bidi="ar"/>
        </w:rPr>
        <w:t>的区段，箍筋间距</w:t>
      </w:r>
      <m:oMath>
        <m:sSub>
          <m:sSubPr>
            <m:ctrlPr>
              <w:rPr>
                <w:rFonts w:ascii="Cambria Math" w:hAnsi="Cambria Math"/>
                <w:bCs/>
                <w:i/>
                <w:color w:val="auto"/>
                <w:szCs w:val="21"/>
                <w:lang w:bidi="ar"/>
              </w:rPr>
            </m:ctrlPr>
          </m:sSubPr>
          <m:e>
            <m:r>
              <m:rPr/>
              <w:rPr>
                <w:rFonts w:ascii="Cambria Math" w:hAnsi="Cambria Math"/>
                <w:color w:val="auto"/>
                <w:szCs w:val="21"/>
                <w:lang w:bidi="ar"/>
              </w:rPr>
              <m:t>S</m:t>
            </m:r>
            <m:ctrlPr>
              <w:rPr>
                <w:rFonts w:ascii="Cambria Math" w:hAnsi="Cambria Math"/>
                <w:bCs/>
                <w:i/>
                <w:color w:val="auto"/>
                <w:szCs w:val="21"/>
                <w:lang w:bidi="ar"/>
              </w:rPr>
            </m:ctrlPr>
          </m:e>
          <m:sub>
            <m:r>
              <m:rPr/>
              <w:rPr>
                <w:rFonts w:ascii="Cambria Math" w:hAnsi="Cambria Math"/>
                <w:color w:val="auto"/>
                <w:szCs w:val="21"/>
                <w:lang w:bidi="ar"/>
              </w:rPr>
              <m:t>V</m:t>
            </m:r>
            <m:ctrlPr>
              <w:rPr>
                <w:rFonts w:ascii="Cambria Math" w:hAnsi="Cambria Math"/>
                <w:bCs/>
                <w:i/>
                <w:color w:val="auto"/>
                <w:szCs w:val="21"/>
                <w:lang w:bidi="ar"/>
              </w:rPr>
            </m:ctrlPr>
          </m:sub>
        </m:sSub>
      </m:oMath>
      <w:r>
        <w:rPr>
          <w:rFonts w:hint="eastAsia" w:ascii="Times New Roman" w:hAnsi="Times New Roman" w:eastAsia="宋体"/>
          <w:bCs/>
          <w:color w:val="auto"/>
          <w:szCs w:val="21"/>
          <w:lang w:bidi="ar"/>
        </w:rPr>
        <w:t>；可按下列公式计算：</w:t>
      </w:r>
    </w:p>
    <w:p w14:paraId="7082B28C">
      <w:pPr>
        <w:widowControl/>
        <w:numPr>
          <w:ilvl w:val="255"/>
          <w:numId w:val="0"/>
        </w:numPr>
        <w:spacing w:line="360" w:lineRule="auto"/>
        <w:jc w:val="right"/>
        <w:rPr>
          <w:rFonts w:hAnsi="Cambria Math"/>
          <w:bCs/>
          <w:color w:val="auto"/>
          <w:szCs w:val="21"/>
          <w:lang w:bidi="ar"/>
        </w:rPr>
      </w:pPr>
      <m:oMath>
        <m:sSub>
          <m:sSubPr>
            <m:ctrlPr>
              <w:rPr>
                <w:rFonts w:ascii="Cambria Math" w:hAnsi="Cambria Math"/>
                <w:bCs/>
                <w:i/>
                <w:color w:val="auto"/>
                <w:szCs w:val="21"/>
                <w:lang w:bidi="ar"/>
              </w:rPr>
            </m:ctrlPr>
          </m:sSubPr>
          <m:e>
            <m:r>
              <m:rPr/>
              <w:rPr>
                <w:rFonts w:ascii="Cambria Math" w:hAnsi="Cambria Math"/>
                <w:color w:val="auto"/>
                <w:szCs w:val="21"/>
                <w:lang w:bidi="ar"/>
              </w:rPr>
              <m:t>S</m:t>
            </m:r>
            <m:ctrlPr>
              <w:rPr>
                <w:rFonts w:ascii="Cambria Math" w:hAnsi="Cambria Math"/>
                <w:bCs/>
                <w:i/>
                <w:color w:val="auto"/>
                <w:szCs w:val="21"/>
                <w:lang w:bidi="ar"/>
              </w:rPr>
            </m:ctrlPr>
          </m:e>
          <m:sub>
            <m:r>
              <m:rPr/>
              <w:rPr>
                <w:rFonts w:ascii="Cambria Math" w:hAnsi="Cambria Math"/>
                <w:color w:val="auto"/>
                <w:szCs w:val="21"/>
                <w:lang w:bidi="ar"/>
              </w:rPr>
              <m:t>V</m:t>
            </m:r>
            <m:ctrlPr>
              <w:rPr>
                <w:rFonts w:ascii="Cambria Math" w:hAnsi="Cambria Math"/>
                <w:bCs/>
                <w:i/>
                <w:color w:val="auto"/>
                <w:szCs w:val="21"/>
                <w:lang w:bidi="ar"/>
              </w:rPr>
            </m:ctrlPr>
          </m:sub>
        </m:sSub>
        <m:r>
          <m:rPr/>
          <w:rPr>
            <w:rFonts w:ascii="Cambria Math" w:hAnsi="Cambria Math"/>
            <w:color w:val="auto"/>
            <w:szCs w:val="21"/>
            <w:lang w:bidi="ar"/>
          </w:rPr>
          <m:t>=</m:t>
        </m:r>
        <m:f>
          <m:fPr>
            <m:ctrlPr>
              <w:rPr>
                <w:rFonts w:ascii="Cambria Math" w:hAnsi="Cambria Math"/>
                <w:bCs/>
                <w:i/>
                <w:color w:val="auto"/>
                <w:szCs w:val="21"/>
                <w:lang w:bidi="ar"/>
              </w:rPr>
            </m:ctrlPr>
          </m:fPr>
          <m:num>
            <m:sSub>
              <m:sSubPr>
                <m:ctrlPr>
                  <w:rPr>
                    <w:rFonts w:ascii="Cambria Math" w:hAnsi="Cambria Math"/>
                    <w:bCs/>
                    <w:i/>
                    <w:color w:val="auto"/>
                    <w:szCs w:val="21"/>
                    <w:lang w:bidi="ar"/>
                  </w:rPr>
                </m:ctrlPr>
              </m:sSubPr>
              <m:e>
                <m:r>
                  <m:rPr/>
                  <w:rPr>
                    <w:rFonts w:ascii="Cambria Math" w:hAnsi="Cambria Math"/>
                    <w:color w:val="auto"/>
                    <w:szCs w:val="21"/>
                    <w:lang w:bidi="ar"/>
                  </w:rPr>
                  <m:t>f</m:t>
                </m:r>
                <m:ctrlPr>
                  <w:rPr>
                    <w:rFonts w:ascii="Cambria Math" w:hAnsi="Cambria Math"/>
                    <w:bCs/>
                    <w:i/>
                    <w:color w:val="auto"/>
                    <w:szCs w:val="21"/>
                    <w:lang w:bidi="ar"/>
                  </w:rPr>
                </m:ctrlPr>
              </m:e>
              <m:sub>
                <m:r>
                  <m:rPr/>
                  <w:rPr>
                    <w:rFonts w:ascii="Cambria Math" w:hAnsi="Cambria Math"/>
                    <w:color w:val="auto"/>
                    <w:szCs w:val="21"/>
                    <w:lang w:bidi="ar"/>
                  </w:rPr>
                  <m:t>sk</m:t>
                </m:r>
                <m:ctrlPr>
                  <w:rPr>
                    <w:rFonts w:ascii="Cambria Math" w:hAnsi="Cambria Math"/>
                    <w:bCs/>
                    <w:i/>
                    <w:color w:val="auto"/>
                    <w:szCs w:val="21"/>
                    <w:lang w:bidi="ar"/>
                  </w:rPr>
                </m:ctrlPr>
              </m:sub>
            </m:sSub>
            <m:sSub>
              <m:sSubPr>
                <m:ctrlPr>
                  <w:rPr>
                    <w:rFonts w:ascii="Cambria Math" w:hAnsi="Cambria Math"/>
                    <w:bCs/>
                    <w:i/>
                    <w:color w:val="auto"/>
                    <w:szCs w:val="21"/>
                    <w:lang w:bidi="ar"/>
                  </w:rPr>
                </m:ctrlPr>
              </m:sSubPr>
              <m:e>
                <m:r>
                  <m:rPr/>
                  <w:rPr>
                    <w:rFonts w:ascii="Cambria Math" w:hAnsi="Cambria Math"/>
                    <w:color w:val="auto"/>
                    <w:szCs w:val="21"/>
                    <w:lang w:bidi="ar"/>
                  </w:rPr>
                  <m:t>A</m:t>
                </m:r>
                <m:ctrlPr>
                  <w:rPr>
                    <w:rFonts w:ascii="Cambria Math" w:hAnsi="Cambria Math"/>
                    <w:bCs/>
                    <w:i/>
                    <w:color w:val="auto"/>
                    <w:szCs w:val="21"/>
                    <w:lang w:bidi="ar"/>
                  </w:rPr>
                </m:ctrlPr>
              </m:e>
              <m:sub>
                <m:r>
                  <m:rPr/>
                  <w:rPr>
                    <w:rFonts w:ascii="Cambria Math" w:hAnsi="Cambria Math"/>
                    <w:color w:val="auto"/>
                    <w:szCs w:val="21"/>
                    <w:lang w:bidi="ar"/>
                  </w:rPr>
                  <m:t>SV</m:t>
                </m:r>
                <m:ctrlPr>
                  <w:rPr>
                    <w:rFonts w:ascii="Cambria Math" w:hAnsi="Cambria Math"/>
                    <w:bCs/>
                    <w:i/>
                    <w:color w:val="auto"/>
                    <w:szCs w:val="21"/>
                    <w:lang w:bidi="ar"/>
                  </w:rPr>
                </m:ctrlPr>
              </m:sub>
            </m:sSub>
            <m:ctrlPr>
              <w:rPr>
                <w:rFonts w:ascii="Cambria Math" w:hAnsi="Cambria Math"/>
                <w:bCs/>
                <w:i/>
                <w:color w:val="auto"/>
                <w:szCs w:val="21"/>
                <w:lang w:bidi="ar"/>
              </w:rPr>
            </m:ctrlPr>
          </m:num>
          <m:den>
            <m:sSub>
              <m:sSubPr>
                <m:ctrlPr>
                  <w:rPr>
                    <w:rFonts w:ascii="Cambria Math" w:hAnsi="Cambria Math"/>
                    <w:bCs/>
                    <w:i/>
                    <w:color w:val="auto"/>
                    <w:szCs w:val="21"/>
                    <w:lang w:bidi="ar"/>
                  </w:rPr>
                </m:ctrlPr>
              </m:sSubPr>
              <m:e>
                <m:r>
                  <m:rPr/>
                  <w:rPr>
                    <w:rFonts w:ascii="Cambria Math" w:hAnsi="Cambria Math"/>
                    <w:color w:val="auto"/>
                    <w:szCs w:val="21"/>
                    <w:lang w:bidi="ar"/>
                  </w:rPr>
                  <m:t>σ</m:t>
                </m:r>
                <m:ctrlPr>
                  <w:rPr>
                    <w:rFonts w:ascii="Cambria Math" w:hAnsi="Cambria Math"/>
                    <w:bCs/>
                    <w:i/>
                    <w:color w:val="auto"/>
                    <w:szCs w:val="21"/>
                    <w:lang w:bidi="ar"/>
                  </w:rPr>
                </m:ctrlPr>
              </m:e>
              <m:sub>
                <m:r>
                  <m:rPr/>
                  <w:rPr>
                    <w:rFonts w:ascii="Cambria Math" w:hAnsi="Cambria Math"/>
                    <w:color w:val="auto"/>
                    <w:szCs w:val="21"/>
                    <w:lang w:bidi="ar"/>
                  </w:rPr>
                  <m:t>tp</m:t>
                </m:r>
                <m:ctrlPr>
                  <w:rPr>
                    <w:rFonts w:ascii="Cambria Math" w:hAnsi="Cambria Math"/>
                    <w:bCs/>
                    <w:i/>
                    <w:color w:val="auto"/>
                    <w:szCs w:val="21"/>
                    <w:lang w:bidi="ar"/>
                  </w:rPr>
                </m:ctrlPr>
              </m:sub>
            </m:sSub>
            <m:r>
              <m:rPr/>
              <w:rPr>
                <w:rFonts w:ascii="Cambria Math" w:hAnsi="Cambria Math"/>
                <w:color w:val="auto"/>
                <w:szCs w:val="21"/>
                <w:lang w:bidi="ar"/>
              </w:rPr>
              <m:t>b</m:t>
            </m:r>
            <m:ctrlPr>
              <w:rPr>
                <w:rFonts w:ascii="Cambria Math" w:hAnsi="Cambria Math"/>
                <w:bCs/>
                <w:i/>
                <w:color w:val="auto"/>
                <w:szCs w:val="21"/>
                <w:lang w:bidi="ar"/>
              </w:rPr>
            </m:ctrlPr>
          </m:den>
        </m:f>
      </m:oMath>
      <w:r>
        <w:rPr>
          <w:rFonts w:hint="eastAsia" w:hAnsi="Cambria Math"/>
          <w:bCs/>
          <w:color w:val="auto"/>
          <w:szCs w:val="21"/>
          <w:lang w:bidi="ar"/>
        </w:rPr>
        <w:t xml:space="preserve">                                 </w:t>
      </w:r>
      <w:r>
        <w:rPr>
          <w:rFonts w:ascii="Times New Roman" w:hAnsi="Times New Roman" w:cs="Times New Roman"/>
          <w:bCs/>
          <w:color w:val="auto"/>
          <w:szCs w:val="21"/>
          <w:lang w:bidi="ar"/>
        </w:rPr>
        <w:t>(7.1.3)</w:t>
      </w:r>
    </w:p>
    <w:p w14:paraId="6108A523">
      <w:pPr>
        <w:spacing w:line="360" w:lineRule="auto"/>
        <w:ind w:firstLine="420" w:firstLineChars="200"/>
        <w:rPr>
          <w:rFonts w:ascii="Times New Roman" w:hAnsi="Times New Roman" w:eastAsia="宋体"/>
          <w:color w:val="auto"/>
          <w:szCs w:val="21"/>
        </w:rPr>
      </w:pPr>
      <w:r>
        <w:rPr>
          <w:rFonts w:hint="eastAsia" w:hAnsi="Cambria Math"/>
          <w:color w:val="auto"/>
          <w:szCs w:val="21"/>
          <w:lang w:bidi="ar"/>
        </w:rPr>
        <w:t>式中：</w:t>
      </w:r>
      <m:oMath>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sk</m:t>
            </m:r>
            <m:ctrlPr>
              <w:rPr>
                <w:rFonts w:ascii="Cambria Math" w:hAnsi="Cambria Math"/>
                <w:color w:val="auto"/>
              </w:rPr>
            </m:ctrlPr>
          </m:sub>
        </m:sSub>
      </m:oMath>
      <w:r>
        <w:rPr>
          <w:rFonts w:hint="eastAsia" w:ascii="Times New Roman" w:hAnsi="Times New Roman" w:eastAsia="宋体"/>
          <w:color w:val="auto"/>
          <w:szCs w:val="21"/>
        </w:rPr>
        <w:t>——箍筋抗拉强度标准值；</w:t>
      </w:r>
    </w:p>
    <w:p w14:paraId="23B4085B">
      <w:pPr>
        <w:widowControl/>
        <w:numPr>
          <w:ilvl w:val="255"/>
          <w:numId w:val="0"/>
        </w:numPr>
        <w:spacing w:line="360" w:lineRule="auto"/>
        <w:ind w:firstLine="1050" w:firstLineChars="500"/>
        <w:jc w:val="left"/>
        <w:rPr>
          <w:rFonts w:ascii="Times New Roman" w:hAnsi="Times New Roman" w:eastAsia="宋体"/>
          <w:color w:val="auto"/>
          <w:szCs w:val="21"/>
        </w:rPr>
      </w:pPr>
      <m:oMath>
        <m:sSub>
          <m:sSubPr>
            <m:ctrlPr>
              <w:rPr>
                <w:rFonts w:ascii="Cambria Math" w:hAnsi="Cambria Math"/>
                <w:i/>
                <w:color w:val="auto"/>
                <w:szCs w:val="21"/>
                <w:lang w:bidi="ar"/>
              </w:rPr>
            </m:ctrlPr>
          </m:sSubPr>
          <m:e>
            <m:r>
              <m:rPr/>
              <w:rPr>
                <w:rFonts w:ascii="Cambria Math" w:hAnsi="Cambria Math"/>
                <w:color w:val="auto"/>
                <w:szCs w:val="21"/>
                <w:lang w:bidi="ar"/>
              </w:rPr>
              <m:t>A</m:t>
            </m:r>
            <m:ctrlPr>
              <w:rPr>
                <w:rFonts w:ascii="Cambria Math" w:hAnsi="Cambria Math"/>
                <w:i/>
                <w:color w:val="auto"/>
                <w:szCs w:val="21"/>
                <w:lang w:bidi="ar"/>
              </w:rPr>
            </m:ctrlPr>
          </m:e>
          <m:sub>
            <m:r>
              <m:rPr/>
              <w:rPr>
                <w:rFonts w:ascii="Cambria Math" w:hAnsi="Cambria Math"/>
                <w:color w:val="auto"/>
                <w:szCs w:val="21"/>
                <w:lang w:bidi="ar"/>
              </w:rPr>
              <m:t>SV</m:t>
            </m:r>
            <m:ctrlPr>
              <w:rPr>
                <w:rFonts w:ascii="Cambria Math" w:hAnsi="Cambria Math"/>
                <w:i/>
                <w:color w:val="auto"/>
                <w:szCs w:val="21"/>
                <w:lang w:bidi="ar"/>
              </w:rPr>
            </m:ctrlPr>
          </m:sub>
        </m:sSub>
      </m:oMath>
      <w:r>
        <w:rPr>
          <w:rFonts w:hint="eastAsia" w:ascii="Times New Roman" w:hAnsi="Times New Roman" w:eastAsia="宋体"/>
          <w:color w:val="auto"/>
          <w:szCs w:val="21"/>
        </w:rPr>
        <w:t>——同一截面内箍筋的总截面面积（mm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w:t>
      </w:r>
    </w:p>
    <w:p w14:paraId="4CB16054">
      <w:pPr>
        <w:widowControl/>
        <w:numPr>
          <w:ilvl w:val="255"/>
          <w:numId w:val="0"/>
        </w:numPr>
        <w:spacing w:line="360" w:lineRule="auto"/>
        <w:ind w:firstLine="1050" w:firstLineChars="500"/>
        <w:jc w:val="left"/>
        <w:rPr>
          <w:rFonts w:ascii="Times New Roman" w:hAnsi="Times New Roman" w:eastAsia="宋体"/>
          <w:color w:val="auto"/>
          <w:szCs w:val="21"/>
        </w:rPr>
      </w:pPr>
      <w:r>
        <w:rPr>
          <w:rFonts w:hint="eastAsia" w:ascii="Times New Roman" w:hAnsi="Times New Roman" w:eastAsia="宋体"/>
          <w:color w:val="auto"/>
          <w:szCs w:val="21"/>
        </w:rPr>
        <w:t xml:space="preserve">b——倒“T”型UHPC板腹板厚度（mm） </w:t>
      </w:r>
    </w:p>
    <w:p w14:paraId="4BC9451D">
      <w:pPr>
        <w:spacing w:line="360" w:lineRule="auto"/>
        <w:ind w:firstLine="420" w:firstLineChars="200"/>
        <w:rPr>
          <w:rFonts w:ascii="Times New Roman" w:hAnsi="Times New Roman" w:eastAsia="宋体"/>
          <w:color w:val="auto"/>
          <w:szCs w:val="21"/>
        </w:rPr>
      </w:pPr>
    </w:p>
    <w:p w14:paraId="036D5822">
      <w:pPr>
        <w:pStyle w:val="3"/>
        <w:rPr>
          <w:color w:val="auto"/>
        </w:rPr>
      </w:pPr>
      <w:bookmarkStart w:id="95" w:name="_Toc27458"/>
      <w:bookmarkStart w:id="96" w:name="_Toc3390"/>
      <w:bookmarkStart w:id="97" w:name="_Toc16929"/>
      <w:r>
        <w:rPr>
          <w:rFonts w:hint="eastAsia"/>
          <w:color w:val="auto"/>
        </w:rPr>
        <w:t>7.2  短暂状况构件应力计算</w:t>
      </w:r>
      <w:bookmarkEnd w:id="95"/>
      <w:bookmarkEnd w:id="96"/>
      <w:bookmarkEnd w:id="97"/>
    </w:p>
    <w:p w14:paraId="14DAC7BA">
      <w:pPr>
        <w:spacing w:line="360" w:lineRule="auto"/>
        <w:rPr>
          <w:rFonts w:ascii="Times New Roman" w:hAnsi="Times New Roman" w:eastAsia="宋体"/>
          <w:color w:val="auto"/>
          <w:szCs w:val="21"/>
        </w:rPr>
      </w:pPr>
      <w:r>
        <w:rPr>
          <w:rFonts w:hint="eastAsia" w:ascii="Times New Roman" w:hAnsi="Times New Roman" w:eastAsia="宋体"/>
          <w:b/>
          <w:color w:val="auto"/>
          <w:szCs w:val="21"/>
        </w:rPr>
        <w:t xml:space="preserve">7.2.1  </w:t>
      </w:r>
      <w:r>
        <w:rPr>
          <w:rFonts w:hint="eastAsia" w:ascii="Times New Roman" w:hAnsi="Times New Roman" w:eastAsia="宋体"/>
          <w:color w:val="auto"/>
          <w:szCs w:val="21"/>
        </w:rPr>
        <w:t>超高性能混凝土－普通混凝土组合式盖板结构在进行短暂状况设计时，考虑倒“T”型UHPC板在制作、运输及安装等施工阶段，以及组合结构在填土施工等阶段，由自重、施工荷载等引起的正截面和斜截面的应力，并不应超过本节规定的限值，施工荷载除有特别规定外均采用标准值，当有组合时，不考虑荷载组合系数，即组合系数取1.0。</w:t>
      </w:r>
    </w:p>
    <w:p w14:paraId="282CE6F7">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color w:val="auto"/>
          <w:szCs w:val="21"/>
        </w:rPr>
        <w:t xml:space="preserve">7.2.2  </w:t>
      </w:r>
      <w:r>
        <w:rPr>
          <w:rFonts w:hint="eastAsia" w:ascii="Times New Roman" w:hAnsi="Times New Roman" w:eastAsia="宋体"/>
          <w:color w:val="auto"/>
          <w:szCs w:val="21"/>
        </w:rPr>
        <w:t>超高性能混凝土－普通混凝土组合式盖板结构正截面应力应符合下列规定：</w:t>
      </w:r>
    </w:p>
    <w:p w14:paraId="5DA554A4">
      <w:pPr>
        <w:spacing w:line="360" w:lineRule="auto"/>
        <w:ind w:firstLine="422" w:firstLineChars="200"/>
        <w:rPr>
          <w:rFonts w:ascii="Times New Roman" w:hAnsi="Times New Roman" w:eastAsia="宋体"/>
          <w:color w:val="auto"/>
          <w:szCs w:val="21"/>
        </w:rPr>
      </w:pPr>
      <w:r>
        <w:rPr>
          <w:rFonts w:hint="eastAsia" w:ascii="Times New Roman" w:hAnsi="Times New Roman" w:eastAsia="宋体"/>
          <w:b/>
          <w:color w:val="auto"/>
          <w:szCs w:val="21"/>
        </w:rPr>
        <w:t>1</w:t>
      </w:r>
      <w:r>
        <w:rPr>
          <w:rFonts w:hint="eastAsia" w:ascii="Times New Roman" w:hAnsi="Times New Roman" w:eastAsia="宋体"/>
          <w:color w:val="auto"/>
          <w:szCs w:val="21"/>
        </w:rPr>
        <w:t xml:space="preserve"> 受压区超高性能混凝土及普通混凝土边缘的压应力分别满足</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76"/>
        <w:gridCol w:w="2722"/>
        <w:gridCol w:w="2724"/>
      </w:tblGrid>
      <w:tr w14:paraId="21A7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5" w:type="pct"/>
            <w:vAlign w:val="center"/>
          </w:tcPr>
          <w:p w14:paraId="2AACF949">
            <w:pPr>
              <w:spacing w:line="360" w:lineRule="auto"/>
              <w:rPr>
                <w:rFonts w:hint="eastAsia" w:ascii="等线" w:hAnsi="等线" w:eastAsia="等线" w:cs="Times New Roman"/>
                <w:color w:val="auto"/>
                <w:szCs w:val="21"/>
              </w:rPr>
            </w:pPr>
          </w:p>
        </w:tc>
        <w:tc>
          <w:tcPr>
            <w:tcW w:w="1597" w:type="pct"/>
            <w:vAlign w:val="center"/>
          </w:tcPr>
          <w:p w14:paraId="48E439F7">
            <w:pPr>
              <w:spacing w:line="360" w:lineRule="auto"/>
              <w:jc w:val="center"/>
              <w:rPr>
                <w:rFonts w:ascii="Times New Roman" w:hAnsi="Times New Roman" w:eastAsia="宋体"/>
                <w:color w:val="auto"/>
                <w:szCs w:val="21"/>
              </w:rPr>
            </w:pPr>
            <m:oMathPara>
              <m:oMath>
                <m:sSubSup>
                  <m:sSubSupPr>
                    <m:ctrlPr>
                      <w:rPr>
                        <w:rFonts w:ascii="Cambria Math" w:hAnsi="Cambria Math"/>
                        <w:i/>
                        <w:color w:val="auto"/>
                      </w:rPr>
                    </m:ctrlPr>
                  </m:sSubSupPr>
                  <m:e>
                    <m:r>
                      <m:rPr/>
                      <w:rPr>
                        <w:rFonts w:ascii="Cambria Math" w:hAnsi="Cambria Math"/>
                        <w:color w:val="auto"/>
                      </w:rPr>
                      <m:t>σ</m:t>
                    </m:r>
                    <m:ctrlPr>
                      <w:rPr>
                        <w:rFonts w:ascii="Cambria Math" w:hAnsi="Cambria Math"/>
                        <w:i/>
                        <w:color w:val="auto"/>
                      </w:rPr>
                    </m:ctrlPr>
                  </m:e>
                  <m:sub>
                    <m:r>
                      <m:rPr/>
                      <w:rPr>
                        <w:rFonts w:ascii="Cambria Math" w:hAnsi="Cambria Math"/>
                        <w:color w:val="auto"/>
                      </w:rPr>
                      <m:t>cc</m:t>
                    </m:r>
                    <m:ctrlPr>
                      <w:rPr>
                        <w:rFonts w:ascii="Cambria Math" w:hAnsi="Cambria Math"/>
                        <w:i/>
                        <w:color w:val="auto"/>
                      </w:rPr>
                    </m:ctrlPr>
                  </m:sub>
                  <m:sup>
                    <m:r>
                      <m:rPr/>
                      <w:rPr>
                        <w:rFonts w:ascii="Cambria Math" w:hAnsi="Cambria Math"/>
                        <w:color w:val="auto"/>
                      </w:rPr>
                      <m:t>t</m:t>
                    </m:r>
                    <m:ctrlPr>
                      <w:rPr>
                        <w:rFonts w:ascii="Cambria Math" w:hAnsi="Cambria Math"/>
                        <w:i/>
                        <w:color w:val="auto"/>
                      </w:rPr>
                    </m:ctrlPr>
                  </m:sup>
                </m:sSubSup>
                <m:r>
                  <m:rPr/>
                  <w:rPr>
                    <w:rFonts w:ascii="Cambria Math" w:hAnsi="Cambria Math"/>
                    <w:color w:val="auto"/>
                  </w:rPr>
                  <m:t>=</m:t>
                </m:r>
                <m:f>
                  <m:fPr>
                    <m:ctrlPr>
                      <w:rPr>
                        <w:rFonts w:ascii="Cambria Math" w:hAnsi="Cambria Math"/>
                        <w:i/>
                        <w:color w:val="auto"/>
                      </w:rPr>
                    </m:ctrlPr>
                  </m:fPr>
                  <m:num>
                    <m:sSubSup>
                      <m:sSubSupPr>
                        <m:ctrlPr>
                          <w:rPr>
                            <w:rFonts w:ascii="Cambria Math" w:hAnsi="Cambria Math"/>
                            <w:i/>
                            <w:color w:val="auto"/>
                          </w:rPr>
                        </m:ctrlPr>
                      </m:sSubSupPr>
                      <m:e>
                        <m:r>
                          <m:rPr/>
                          <w:rPr>
                            <w:rFonts w:ascii="Cambria Math" w:hAnsi="Cambria Math"/>
                            <w:color w:val="auto"/>
                          </w:rPr>
                          <m:t>M</m:t>
                        </m:r>
                        <m:ctrlPr>
                          <w:rPr>
                            <w:rFonts w:ascii="Cambria Math" w:hAnsi="Cambria Math"/>
                            <w:i/>
                            <w:color w:val="auto"/>
                          </w:rPr>
                        </m:ctrlPr>
                      </m:e>
                      <m:sub>
                        <m:r>
                          <m:rPr/>
                          <w:rPr>
                            <w:rFonts w:ascii="Cambria Math" w:hAnsi="Cambria Math"/>
                            <w:color w:val="auto"/>
                          </w:rPr>
                          <m:t>k</m:t>
                        </m:r>
                        <m:ctrlPr>
                          <w:rPr>
                            <w:rFonts w:ascii="Cambria Math" w:hAnsi="Cambria Math"/>
                            <w:i/>
                            <w:color w:val="auto"/>
                          </w:rPr>
                        </m:ctrlPr>
                      </m:sub>
                      <m:sup>
                        <m:r>
                          <m:rPr/>
                          <w:rPr>
                            <w:rFonts w:ascii="Cambria Math" w:hAnsi="Cambria Math"/>
                            <w:color w:val="auto"/>
                          </w:rPr>
                          <m:t>t</m:t>
                        </m:r>
                        <m:ctrlPr>
                          <w:rPr>
                            <w:rFonts w:ascii="Cambria Math" w:hAnsi="Cambria Math"/>
                            <w:i/>
                            <w:color w:val="auto"/>
                          </w:rPr>
                        </m:ctrlPr>
                      </m:sup>
                    </m:sSubSup>
                    <m:sSub>
                      <m:sSubPr>
                        <m:ctrlPr>
                          <w:rPr>
                            <w:rFonts w:ascii="Cambria Math" w:hAnsi="Cambria Math"/>
                            <w:i/>
                            <w:color w:val="auto"/>
                          </w:rPr>
                        </m:ctrlPr>
                      </m:sSubPr>
                      <m:e>
                        <m:r>
                          <m:rPr/>
                          <w:rPr>
                            <w:rFonts w:ascii="Cambria Math" w:hAnsi="Cambria Math"/>
                            <w:color w:val="auto"/>
                          </w:rPr>
                          <m:t>x</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ctrlPr>
                      <w:rPr>
                        <w:rFonts w:ascii="Cambria Math" w:hAnsi="Cambria Math"/>
                        <w:i/>
                        <w:color w:val="auto"/>
                      </w:rPr>
                    </m:ctrlPr>
                  </m:num>
                  <m:den>
                    <m:sSub>
                      <m:sSubPr>
                        <m:ctrlPr>
                          <w:rPr>
                            <w:rFonts w:ascii="Cambria Math" w:hAnsi="Cambria Math"/>
                            <w:i/>
                            <w:color w:val="auto"/>
                          </w:rPr>
                        </m:ctrlPr>
                      </m:sSubPr>
                      <m:e>
                        <m:r>
                          <m:rPr/>
                          <w:rPr>
                            <w:rFonts w:ascii="Cambria Math" w:hAnsi="Cambria Math"/>
                            <w:color w:val="auto"/>
                          </w:rPr>
                          <m:t>I</m:t>
                        </m:r>
                        <m:ctrlPr>
                          <w:rPr>
                            <w:rFonts w:ascii="Cambria Math" w:hAnsi="Cambria Math"/>
                            <w:i/>
                            <w:color w:val="auto"/>
                          </w:rPr>
                        </m:ctrlPr>
                      </m:e>
                      <m:sub>
                        <m:r>
                          <m:rPr/>
                          <w:rPr>
                            <w:rFonts w:ascii="Cambria Math" w:hAnsi="Cambria Math"/>
                            <w:color w:val="auto"/>
                          </w:rPr>
                          <m:t>cr</m:t>
                        </m:r>
                        <m:ctrlPr>
                          <w:rPr>
                            <w:rFonts w:ascii="Cambria Math" w:hAnsi="Cambria Math"/>
                            <w:i/>
                            <w:color w:val="auto"/>
                          </w:rPr>
                        </m:ctrlPr>
                      </m:sub>
                    </m:sSub>
                    <m:ctrlPr>
                      <w:rPr>
                        <w:rFonts w:ascii="Cambria Math" w:hAnsi="Cambria Math"/>
                        <w:i/>
                        <w:color w:val="auto"/>
                      </w:rPr>
                    </m:ctrlPr>
                  </m:den>
                </m:f>
                <m:r>
                  <m:rPr>
                    <m:sty m:val="p"/>
                  </m:rPr>
                  <w:rPr>
                    <w:rFonts w:ascii="Cambria Math" w:hAnsi="Cambria Math"/>
                    <w:color w:val="auto"/>
                  </w:rPr>
                  <m:t>≤0.80</m:t>
                </m:r>
                <m:sSubSup>
                  <m:sSubSupPr>
                    <m:ctrlPr>
                      <w:rPr>
                        <w:rFonts w:ascii="Cambria Math" w:hAnsi="Cambria Math"/>
                        <w:color w:val="auto"/>
                      </w:rPr>
                    </m:ctrlPr>
                  </m:sSubSupPr>
                  <m:e>
                    <m:r>
                      <m:rPr/>
                      <w:rPr>
                        <w:rFonts w:ascii="Cambria Math" w:hAnsi="Cambria Math"/>
                        <w:color w:val="auto"/>
                      </w:rPr>
                      <m:t>f</m:t>
                    </m:r>
                    <m:ctrlPr>
                      <w:rPr>
                        <w:rFonts w:ascii="Cambria Math" w:hAnsi="Cambria Math"/>
                        <w:color w:val="auto"/>
                      </w:rPr>
                    </m:ctrlPr>
                  </m:e>
                  <m:sub>
                    <m:r>
                      <m:rPr/>
                      <w:rPr>
                        <w:rFonts w:ascii="Cambria Math" w:hAnsi="Cambria Math"/>
                        <w:color w:val="auto"/>
                      </w:rPr>
                      <m:t>fck</m:t>
                    </m:r>
                    <m:ctrlPr>
                      <w:rPr>
                        <w:rFonts w:ascii="Cambria Math" w:hAnsi="Cambria Math"/>
                        <w:color w:val="auto"/>
                      </w:rPr>
                    </m:ctrlPr>
                  </m:sub>
                  <m:sup>
                    <m:r>
                      <m:rPr/>
                      <w:rPr>
                        <w:rFonts w:ascii="Cambria Math" w:hAnsi="Cambria Math"/>
                        <w:color w:val="auto"/>
                      </w:rPr>
                      <m:t>'</m:t>
                    </m:r>
                    <m:ctrlPr>
                      <w:rPr>
                        <w:rFonts w:ascii="Cambria Math" w:hAnsi="Cambria Math"/>
                        <w:color w:val="auto"/>
                      </w:rPr>
                    </m:ctrlPr>
                  </m:sup>
                </m:sSubSup>
              </m:oMath>
            </m:oMathPara>
          </w:p>
        </w:tc>
        <w:tc>
          <w:tcPr>
            <w:tcW w:w="1598" w:type="pct"/>
            <w:vAlign w:val="center"/>
          </w:tcPr>
          <w:p w14:paraId="76908767">
            <w:pPr>
              <w:spacing w:line="360" w:lineRule="auto"/>
              <w:jc w:val="right"/>
              <w:rPr>
                <w:rFonts w:ascii="Times New Roman" w:hAnsi="Times New Roman" w:eastAsia="宋体"/>
                <w:color w:val="auto"/>
                <w:szCs w:val="21"/>
              </w:rPr>
            </w:pPr>
            <w:r>
              <w:rPr>
                <w:rFonts w:ascii="Times New Roman" w:hAnsi="Times New Roman" w:eastAsia="宋体"/>
                <w:color w:val="auto"/>
                <w:szCs w:val="21"/>
              </w:rPr>
              <w:t>(7.2.2-1)</w:t>
            </w:r>
          </w:p>
        </w:tc>
      </w:tr>
    </w:tbl>
    <w:p w14:paraId="186EF903">
      <w:pPr>
        <w:spacing w:line="360" w:lineRule="auto"/>
        <w:ind w:firstLine="422" w:firstLineChars="200"/>
        <w:rPr>
          <w:rFonts w:ascii="Times New Roman" w:hAnsi="Times New Roman" w:eastAsia="宋体"/>
          <w:color w:val="auto"/>
          <w:szCs w:val="21"/>
        </w:rPr>
      </w:pPr>
      <w:r>
        <w:rPr>
          <w:rFonts w:hint="eastAsia" w:ascii="Times New Roman" w:hAnsi="Times New Roman" w:eastAsia="宋体"/>
          <w:b/>
          <w:color w:val="auto"/>
          <w:szCs w:val="21"/>
        </w:rPr>
        <w:t>2</w:t>
      </w:r>
      <w:r>
        <w:rPr>
          <w:rFonts w:hint="eastAsia" w:ascii="Times New Roman" w:hAnsi="Times New Roman" w:eastAsia="宋体"/>
          <w:color w:val="auto"/>
          <w:szCs w:val="21"/>
        </w:rPr>
        <w:t xml:space="preserve"> 受拉区钢筋的应力</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43"/>
        <w:gridCol w:w="583"/>
        <w:gridCol w:w="4026"/>
        <w:gridCol w:w="2170"/>
      </w:tblGrid>
      <w:tr w14:paraId="727EA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5" w:type="pct"/>
            <w:gridSpan w:val="2"/>
            <w:vAlign w:val="center"/>
          </w:tcPr>
          <w:p w14:paraId="74539E7C">
            <w:pPr>
              <w:spacing w:line="360" w:lineRule="auto"/>
              <w:rPr>
                <w:rFonts w:hint="eastAsia" w:ascii="等线" w:hAnsi="等线" w:eastAsia="等线" w:cs="Times New Roman"/>
                <w:color w:val="auto"/>
                <w:szCs w:val="21"/>
              </w:rPr>
            </w:pPr>
          </w:p>
        </w:tc>
        <w:tc>
          <w:tcPr>
            <w:tcW w:w="2362" w:type="pct"/>
            <w:vAlign w:val="center"/>
          </w:tcPr>
          <w:p w14:paraId="46F3F64E">
            <w:pPr>
              <w:spacing w:line="360" w:lineRule="auto"/>
              <w:jc w:val="center"/>
              <w:rPr>
                <w:rFonts w:ascii="Times New Roman" w:hAnsi="Times New Roman" w:eastAsia="宋体"/>
                <w:color w:val="auto"/>
                <w:szCs w:val="21"/>
              </w:rPr>
            </w:pPr>
            <m:oMathPara>
              <m:oMath>
                <m:sSubSup>
                  <m:sSubSupPr>
                    <m:ctrlPr>
                      <w:rPr>
                        <w:rFonts w:ascii="Cambria Math" w:hAnsi="Cambria Math"/>
                        <w:i/>
                        <w:color w:val="auto"/>
                      </w:rPr>
                    </m:ctrlPr>
                  </m:sSubSupPr>
                  <m:e>
                    <m:r>
                      <m:rPr/>
                      <w:rPr>
                        <w:rFonts w:ascii="Cambria Math" w:hAnsi="Cambria Math"/>
                        <w:color w:val="auto"/>
                      </w:rPr>
                      <m:t>σ</m:t>
                    </m:r>
                    <m:ctrlPr>
                      <w:rPr>
                        <w:rFonts w:ascii="Cambria Math" w:hAnsi="Cambria Math"/>
                        <w:i/>
                        <w:color w:val="auto"/>
                      </w:rPr>
                    </m:ctrlPr>
                  </m:e>
                  <m:sub>
                    <m:r>
                      <m:rPr/>
                      <w:rPr>
                        <w:rFonts w:ascii="Cambria Math" w:hAnsi="Cambria Math"/>
                        <w:color w:val="auto"/>
                      </w:rPr>
                      <m:t>si</m:t>
                    </m:r>
                    <m:ctrlPr>
                      <w:rPr>
                        <w:rFonts w:ascii="Cambria Math" w:hAnsi="Cambria Math"/>
                        <w:i/>
                        <w:color w:val="auto"/>
                      </w:rPr>
                    </m:ctrlPr>
                  </m:sub>
                  <m:sup>
                    <m:r>
                      <m:rPr/>
                      <w:rPr>
                        <w:rFonts w:ascii="Cambria Math" w:hAnsi="Cambria Math"/>
                        <w:color w:val="auto"/>
                      </w:rPr>
                      <m:t>t</m:t>
                    </m:r>
                    <m:ctrlPr>
                      <w:rPr>
                        <w:rFonts w:ascii="Cambria Math" w:hAnsi="Cambria Math"/>
                        <w:i/>
                        <w:color w:val="auto"/>
                      </w:rPr>
                    </m:ctrlPr>
                  </m:sup>
                </m:sSubSup>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α</m:t>
                    </m:r>
                    <m:ctrlPr>
                      <w:rPr>
                        <w:rFonts w:ascii="Cambria Math" w:hAnsi="Cambria Math"/>
                        <w:i/>
                        <w:color w:val="auto"/>
                      </w:rPr>
                    </m:ctrlPr>
                  </m:e>
                  <m:sub>
                    <m:r>
                      <m:rPr/>
                      <w:rPr>
                        <w:rFonts w:ascii="Cambria Math" w:hAnsi="Cambria Math"/>
                        <w:color w:val="auto"/>
                      </w:rPr>
                      <m:t>ES</m:t>
                    </m:r>
                    <m:ctrlPr>
                      <w:rPr>
                        <w:rFonts w:ascii="Cambria Math" w:hAnsi="Cambria Math"/>
                        <w:i/>
                        <w:color w:val="auto"/>
                      </w:rPr>
                    </m:ctrlPr>
                  </m:sub>
                </m:sSub>
                <m:f>
                  <m:fPr>
                    <m:ctrlPr>
                      <w:rPr>
                        <w:rFonts w:ascii="Cambria Math" w:hAnsi="Cambria Math"/>
                        <w:i/>
                        <w:color w:val="auto"/>
                      </w:rPr>
                    </m:ctrlPr>
                  </m:fPr>
                  <m:num>
                    <m:sSubSup>
                      <m:sSubSupPr>
                        <m:ctrlPr>
                          <w:rPr>
                            <w:rFonts w:ascii="Cambria Math" w:hAnsi="Cambria Math"/>
                            <w:i/>
                            <w:color w:val="auto"/>
                          </w:rPr>
                        </m:ctrlPr>
                      </m:sSubSupPr>
                      <m:e>
                        <m:r>
                          <m:rPr/>
                          <w:rPr>
                            <w:rFonts w:ascii="Cambria Math" w:hAnsi="Cambria Math"/>
                            <w:color w:val="auto"/>
                          </w:rPr>
                          <m:t>M</m:t>
                        </m:r>
                        <m:ctrlPr>
                          <w:rPr>
                            <w:rFonts w:ascii="Cambria Math" w:hAnsi="Cambria Math"/>
                            <w:i/>
                            <w:color w:val="auto"/>
                          </w:rPr>
                        </m:ctrlPr>
                      </m:e>
                      <m:sub>
                        <m:r>
                          <m:rPr/>
                          <w:rPr>
                            <w:rFonts w:ascii="Cambria Math" w:hAnsi="Cambria Math"/>
                            <w:color w:val="auto"/>
                          </w:rPr>
                          <m:t>k</m:t>
                        </m:r>
                        <m:ctrlPr>
                          <w:rPr>
                            <w:rFonts w:ascii="Cambria Math" w:hAnsi="Cambria Math"/>
                            <w:i/>
                            <w:color w:val="auto"/>
                          </w:rPr>
                        </m:ctrlPr>
                      </m:sub>
                      <m:sup>
                        <m:r>
                          <m:rPr/>
                          <w:rPr>
                            <w:rFonts w:ascii="Cambria Math" w:hAnsi="Cambria Math"/>
                            <w:color w:val="auto"/>
                          </w:rPr>
                          <m:t>t</m:t>
                        </m:r>
                        <m:ctrlPr>
                          <w:rPr>
                            <w:rFonts w:ascii="Cambria Math" w:hAnsi="Cambria Math"/>
                            <w:i/>
                            <w:color w:val="auto"/>
                          </w:rPr>
                        </m:ctrlPr>
                      </m:sup>
                    </m:sSubSup>
                    <m:d>
                      <m:dPr>
                        <m:ctrlPr>
                          <w:rPr>
                            <w:rFonts w:ascii="Cambria Math" w:hAnsi="Cambria Math"/>
                            <w:i/>
                            <w:color w:val="auto"/>
                          </w:rPr>
                        </m:ctrlPr>
                      </m:dPr>
                      <m:e>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0i</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x</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ctrlPr>
                          <w:rPr>
                            <w:rFonts w:ascii="Cambria Math" w:hAnsi="Cambria Math"/>
                            <w:i/>
                            <w:color w:val="auto"/>
                          </w:rPr>
                        </m:ctrlPr>
                      </m:e>
                    </m:d>
                    <m:ctrlPr>
                      <w:rPr>
                        <w:rFonts w:ascii="Cambria Math" w:hAnsi="Cambria Math"/>
                        <w:i/>
                        <w:color w:val="auto"/>
                      </w:rPr>
                    </m:ctrlPr>
                  </m:num>
                  <m:den>
                    <m:sSub>
                      <m:sSubPr>
                        <m:ctrlPr>
                          <w:rPr>
                            <w:rFonts w:ascii="Cambria Math" w:hAnsi="Cambria Math"/>
                            <w:i/>
                            <w:color w:val="auto"/>
                          </w:rPr>
                        </m:ctrlPr>
                      </m:sSubPr>
                      <m:e>
                        <m:r>
                          <m:rPr/>
                          <w:rPr>
                            <w:rFonts w:ascii="Cambria Math" w:hAnsi="Cambria Math"/>
                            <w:color w:val="auto"/>
                          </w:rPr>
                          <m:t>I</m:t>
                        </m:r>
                        <m:ctrlPr>
                          <w:rPr>
                            <w:rFonts w:ascii="Cambria Math" w:hAnsi="Cambria Math"/>
                            <w:i/>
                            <w:color w:val="auto"/>
                          </w:rPr>
                        </m:ctrlPr>
                      </m:e>
                      <m:sub>
                        <m:r>
                          <m:rPr/>
                          <w:rPr>
                            <w:rFonts w:ascii="Cambria Math" w:hAnsi="Cambria Math"/>
                            <w:color w:val="auto"/>
                          </w:rPr>
                          <m:t>cr</m:t>
                        </m:r>
                        <m:ctrlPr>
                          <w:rPr>
                            <w:rFonts w:ascii="Cambria Math" w:hAnsi="Cambria Math"/>
                            <w:i/>
                            <w:color w:val="auto"/>
                          </w:rPr>
                        </m:ctrlPr>
                      </m:sub>
                    </m:sSub>
                    <m:ctrlPr>
                      <w:rPr>
                        <w:rFonts w:ascii="Cambria Math" w:hAnsi="Cambria Math"/>
                        <w:i/>
                        <w:color w:val="auto"/>
                      </w:rPr>
                    </m:ctrlPr>
                  </m:den>
                </m:f>
                <m:r>
                  <m:rPr>
                    <m:sty m:val="p"/>
                  </m:rPr>
                  <w:rPr>
                    <w:rFonts w:ascii="Cambria Math" w:hAnsi="Cambria Math"/>
                    <w:color w:val="auto"/>
                  </w:rPr>
                  <m:t>≤0.75</m:t>
                </m:r>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sk</m:t>
                    </m:r>
                    <m:ctrlPr>
                      <w:rPr>
                        <w:rFonts w:ascii="Cambria Math" w:hAnsi="Cambria Math"/>
                        <w:color w:val="auto"/>
                      </w:rPr>
                    </m:ctrlPr>
                  </m:sub>
                </m:sSub>
              </m:oMath>
            </m:oMathPara>
          </w:p>
        </w:tc>
        <w:tc>
          <w:tcPr>
            <w:tcW w:w="1273" w:type="pct"/>
            <w:vAlign w:val="center"/>
          </w:tcPr>
          <w:p w14:paraId="183CE089">
            <w:pPr>
              <w:spacing w:line="360" w:lineRule="auto"/>
              <w:jc w:val="right"/>
              <w:rPr>
                <w:rFonts w:ascii="Times New Roman" w:hAnsi="Times New Roman" w:eastAsia="宋体"/>
                <w:color w:val="auto"/>
                <w:szCs w:val="21"/>
              </w:rPr>
            </w:pPr>
            <w:r>
              <w:rPr>
                <w:rFonts w:ascii="Times New Roman" w:hAnsi="Times New Roman" w:eastAsia="宋体"/>
                <w:color w:val="auto"/>
                <w:szCs w:val="21"/>
              </w:rPr>
              <w:t>(7.2.2-</w:t>
            </w:r>
            <w:r>
              <w:rPr>
                <w:rFonts w:hint="eastAsia" w:ascii="Times New Roman" w:hAnsi="Times New Roman" w:eastAsia="宋体"/>
                <w:color w:val="auto"/>
                <w:szCs w:val="21"/>
              </w:rPr>
              <w:t>2</w:t>
            </w:r>
            <w:r>
              <w:rPr>
                <w:rFonts w:ascii="Times New Roman" w:hAnsi="Times New Roman" w:eastAsia="宋体"/>
                <w:color w:val="auto"/>
                <w:szCs w:val="21"/>
              </w:rPr>
              <w:t>)</w:t>
            </w:r>
          </w:p>
        </w:tc>
      </w:tr>
      <w:tr w14:paraId="1B850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3" w:type="pct"/>
          </w:tcPr>
          <w:p w14:paraId="7F94E05B">
            <w:pPr>
              <w:wordWrap w:val="0"/>
              <w:spacing w:line="360" w:lineRule="auto"/>
              <w:jc w:val="right"/>
              <w:rPr>
                <w:rFonts w:ascii="Times New Roman" w:hAnsi="Times New Roman" w:eastAsia="宋体"/>
                <w:color w:val="auto"/>
                <w:szCs w:val="21"/>
              </w:rPr>
            </w:pPr>
            <w:r>
              <w:rPr>
                <w:rFonts w:hint="eastAsia" w:ascii="Times New Roman" w:hAnsi="Times New Roman" w:eastAsia="宋体"/>
                <w:color w:val="auto"/>
                <w:szCs w:val="21"/>
              </w:rPr>
              <w:t xml:space="preserve">式中： </w:t>
            </w:r>
            <w:r>
              <w:rPr>
                <w:rFonts w:ascii="Times New Roman" w:hAnsi="Times New Roman" w:eastAsia="宋体"/>
                <w:color w:val="auto"/>
                <w:szCs w:val="21"/>
              </w:rPr>
              <w:t xml:space="preserve">    </w:t>
            </w:r>
            <m:oMath>
              <m:sSubSup>
                <m:sSubSupPr>
                  <m:ctrlPr>
                    <w:rPr>
                      <w:rFonts w:ascii="Cambria Math" w:hAnsi="Cambria Math"/>
                      <w:i/>
                      <w:color w:val="auto"/>
                    </w:rPr>
                  </m:ctrlPr>
                </m:sSubSupPr>
                <m:e>
                  <m:r>
                    <m:rPr/>
                    <w:rPr>
                      <w:rFonts w:ascii="Cambria Math" w:hAnsi="Cambria Math"/>
                      <w:color w:val="auto"/>
                    </w:rPr>
                    <m:t>σ</m:t>
                  </m:r>
                  <m:ctrlPr>
                    <w:rPr>
                      <w:rFonts w:ascii="Cambria Math" w:hAnsi="Cambria Math"/>
                      <w:i/>
                      <w:color w:val="auto"/>
                    </w:rPr>
                  </m:ctrlPr>
                </m:e>
                <m:sub>
                  <m:r>
                    <m:rPr/>
                    <w:rPr>
                      <w:rFonts w:ascii="Cambria Math" w:hAnsi="Cambria Math"/>
                      <w:color w:val="auto"/>
                    </w:rPr>
                    <m:t>cc</m:t>
                  </m:r>
                  <m:ctrlPr>
                    <w:rPr>
                      <w:rFonts w:ascii="Cambria Math" w:hAnsi="Cambria Math"/>
                      <w:i/>
                      <w:color w:val="auto"/>
                    </w:rPr>
                  </m:ctrlPr>
                </m:sub>
                <m:sup>
                  <m:r>
                    <m:rPr/>
                    <w:rPr>
                      <w:rFonts w:ascii="Cambria Math" w:hAnsi="Cambria Math"/>
                      <w:color w:val="auto"/>
                    </w:rPr>
                    <m:t>t</m:t>
                  </m:r>
                  <m:ctrlPr>
                    <w:rPr>
                      <w:rFonts w:ascii="Cambria Math" w:hAnsi="Cambria Math"/>
                      <w:i/>
                      <w:color w:val="auto"/>
                    </w:rPr>
                  </m:ctrlPr>
                </m:sup>
              </m:sSubSup>
            </m:oMath>
          </w:p>
        </w:tc>
        <w:tc>
          <w:tcPr>
            <w:tcW w:w="3977" w:type="pct"/>
            <w:gridSpan w:val="3"/>
          </w:tcPr>
          <w:p w14:paraId="0D6FF7E0">
            <w:pPr>
              <w:spacing w:line="360" w:lineRule="auto"/>
              <w:rPr>
                <w:rFonts w:ascii="Times New Roman" w:hAnsi="Times New Roman" w:eastAsia="宋体"/>
                <w:color w:val="auto"/>
                <w:szCs w:val="21"/>
              </w:rPr>
            </w:pPr>
            <w:r>
              <w:rPr>
                <w:rFonts w:hint="eastAsia" w:ascii="Times New Roman" w:hAnsi="Times New Roman" w:eastAsia="宋体"/>
                <w:color w:val="auto"/>
                <w:szCs w:val="21"/>
              </w:rPr>
              <w:t>——短暂状况计算时截面受压区边缘普通混凝土的压应力（N/mm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w:t>
            </w:r>
          </w:p>
        </w:tc>
      </w:tr>
      <w:tr w14:paraId="4B683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3" w:type="pct"/>
          </w:tcPr>
          <w:p w14:paraId="54E74B9F">
            <w:pPr>
              <w:spacing w:line="360" w:lineRule="auto"/>
              <w:jc w:val="right"/>
              <w:rPr>
                <w:rFonts w:ascii="Times New Roman" w:hAnsi="Times New Roman" w:eastAsia="宋体" w:cs="Times New Roman"/>
                <w:color w:val="auto"/>
                <w:szCs w:val="21"/>
              </w:rPr>
            </w:pPr>
            <m:oMathPara>
              <m:oMathParaPr>
                <m:jc m:val="right"/>
              </m:oMathParaPr>
              <m:oMath>
                <m:sSubSup>
                  <m:sSubSupPr>
                    <m:ctrlPr>
                      <w:rPr>
                        <w:rFonts w:ascii="Cambria Math" w:hAnsi="Cambria Math"/>
                        <w:i/>
                        <w:color w:val="auto"/>
                      </w:rPr>
                    </m:ctrlPr>
                  </m:sSubSupPr>
                  <m:e>
                    <m:r>
                      <m:rPr/>
                      <w:rPr>
                        <w:rFonts w:ascii="Cambria Math" w:hAnsi="Cambria Math"/>
                        <w:color w:val="auto"/>
                      </w:rPr>
                      <m:t>M</m:t>
                    </m:r>
                    <m:ctrlPr>
                      <w:rPr>
                        <w:rFonts w:ascii="Cambria Math" w:hAnsi="Cambria Math"/>
                        <w:i/>
                        <w:color w:val="auto"/>
                      </w:rPr>
                    </m:ctrlPr>
                  </m:e>
                  <m:sub>
                    <m:r>
                      <m:rPr/>
                      <w:rPr>
                        <w:rFonts w:ascii="Cambria Math" w:hAnsi="Cambria Math"/>
                        <w:color w:val="auto"/>
                      </w:rPr>
                      <m:t>k</m:t>
                    </m:r>
                    <m:ctrlPr>
                      <w:rPr>
                        <w:rFonts w:ascii="Cambria Math" w:hAnsi="Cambria Math"/>
                        <w:i/>
                        <w:color w:val="auto"/>
                      </w:rPr>
                    </m:ctrlPr>
                  </m:sub>
                  <m:sup>
                    <m:r>
                      <m:rPr/>
                      <w:rPr>
                        <w:rFonts w:ascii="Cambria Math" w:hAnsi="Cambria Math"/>
                        <w:color w:val="auto"/>
                      </w:rPr>
                      <m:t>t</m:t>
                    </m:r>
                    <m:ctrlPr>
                      <w:rPr>
                        <w:rFonts w:ascii="Cambria Math" w:hAnsi="Cambria Math"/>
                        <w:i/>
                        <w:color w:val="auto"/>
                      </w:rPr>
                    </m:ctrlPr>
                  </m:sup>
                </m:sSubSup>
              </m:oMath>
            </m:oMathPara>
          </w:p>
        </w:tc>
        <w:tc>
          <w:tcPr>
            <w:tcW w:w="3977" w:type="pct"/>
            <w:gridSpan w:val="3"/>
          </w:tcPr>
          <w:p w14:paraId="484CF538">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——由临时的施工荷载标准值产生的弯矩值（N·m）；</w:t>
            </w:r>
          </w:p>
        </w:tc>
      </w:tr>
      <w:tr w14:paraId="64D42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3" w:type="pct"/>
          </w:tcPr>
          <w:p w14:paraId="776F9536">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i/>
                        <w:color w:val="auto"/>
                      </w:rPr>
                    </m:ctrlPr>
                  </m:sSubPr>
                  <m:e>
                    <m:r>
                      <m:rPr/>
                      <w:rPr>
                        <w:rFonts w:ascii="Cambria Math" w:hAnsi="Cambria Math"/>
                        <w:color w:val="auto"/>
                      </w:rPr>
                      <m:t>x</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oMath>
            </m:oMathPara>
          </w:p>
        </w:tc>
        <w:tc>
          <w:tcPr>
            <w:tcW w:w="3977" w:type="pct"/>
            <w:gridSpan w:val="3"/>
          </w:tcPr>
          <w:p w14:paraId="0EBC31EE">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——换算截面的受压区高度，可按换算截面受压区和受拉区对中性轴面积矩相等的原则求得（mm）；</w:t>
            </w:r>
          </w:p>
        </w:tc>
      </w:tr>
      <w:tr w14:paraId="379A1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3" w:type="pct"/>
          </w:tcPr>
          <w:p w14:paraId="3AF305B0">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i/>
                        <w:color w:val="auto"/>
                      </w:rPr>
                    </m:ctrlPr>
                  </m:sSubPr>
                  <m:e>
                    <m:r>
                      <m:rPr/>
                      <w:rPr>
                        <w:rFonts w:ascii="Cambria Math" w:hAnsi="Cambria Math"/>
                        <w:color w:val="auto"/>
                      </w:rPr>
                      <m:t>I</m:t>
                    </m:r>
                    <m:ctrlPr>
                      <w:rPr>
                        <w:rFonts w:ascii="Cambria Math" w:hAnsi="Cambria Math"/>
                        <w:i/>
                        <w:color w:val="auto"/>
                      </w:rPr>
                    </m:ctrlPr>
                  </m:e>
                  <m:sub>
                    <m:r>
                      <m:rPr/>
                      <w:rPr>
                        <w:rFonts w:ascii="Cambria Math" w:hAnsi="Cambria Math"/>
                        <w:color w:val="auto"/>
                      </w:rPr>
                      <m:t>cr</m:t>
                    </m:r>
                    <m:ctrlPr>
                      <w:rPr>
                        <w:rFonts w:ascii="Cambria Math" w:hAnsi="Cambria Math"/>
                        <w:i/>
                        <w:color w:val="auto"/>
                      </w:rPr>
                    </m:ctrlPr>
                  </m:sub>
                </m:sSub>
              </m:oMath>
            </m:oMathPara>
          </w:p>
        </w:tc>
        <w:tc>
          <w:tcPr>
            <w:tcW w:w="3977" w:type="pct"/>
            <w:gridSpan w:val="3"/>
          </w:tcPr>
          <w:p w14:paraId="182DFEF1">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——开裂截面换算截面惯性矩，根据已求得的受压区高度</w:t>
            </w:r>
            <m:oMath>
              <m:sSub>
                <m:sSubPr>
                  <m:ctrlPr>
                    <w:rPr>
                      <w:rFonts w:ascii="Cambria Math" w:hAnsi="Cambria Math"/>
                      <w:i/>
                      <w:color w:val="auto"/>
                    </w:rPr>
                  </m:ctrlPr>
                </m:sSubPr>
                <m:e>
                  <m:r>
                    <m:rPr/>
                    <w:rPr>
                      <w:rFonts w:ascii="Cambria Math" w:hAnsi="Cambria Math"/>
                      <w:color w:val="auto"/>
                    </w:rPr>
                    <m:t>x</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oMath>
            <w:r>
              <w:rPr>
                <w:rFonts w:hint="eastAsia" w:ascii="Times New Roman" w:hAnsi="Times New Roman" w:eastAsia="宋体"/>
                <w:color w:val="auto"/>
                <w:szCs w:val="21"/>
              </w:rPr>
              <w:t>，可按开裂换算截面对中性轴惯性矩之和求得（mm</w:t>
            </w:r>
            <w:r>
              <w:rPr>
                <w:rFonts w:hint="eastAsia" w:ascii="Times New Roman" w:hAnsi="Times New Roman" w:eastAsia="宋体"/>
                <w:color w:val="auto"/>
                <w:szCs w:val="21"/>
                <w:vertAlign w:val="superscript"/>
              </w:rPr>
              <w:t>4</w:t>
            </w:r>
            <w:r>
              <w:rPr>
                <w:rFonts w:hint="eastAsia" w:ascii="Times New Roman" w:hAnsi="Times New Roman" w:eastAsia="宋体"/>
                <w:color w:val="auto"/>
                <w:szCs w:val="21"/>
              </w:rPr>
              <w:t>）；</w:t>
            </w:r>
          </w:p>
        </w:tc>
      </w:tr>
      <w:tr w14:paraId="315C3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3" w:type="pct"/>
          </w:tcPr>
          <w:p w14:paraId="2DF39366">
            <w:pPr>
              <w:spacing w:line="360" w:lineRule="auto"/>
              <w:jc w:val="right"/>
              <w:rPr>
                <w:rFonts w:ascii="Times New Roman" w:hAnsi="Times New Roman" w:eastAsia="宋体" w:cs="Times New Roman"/>
                <w:color w:val="auto"/>
                <w:szCs w:val="21"/>
              </w:rPr>
            </w:pPr>
            <m:oMathPara>
              <m:oMathParaPr>
                <m:jc m:val="right"/>
              </m:oMathParaPr>
              <m:oMath>
                <m:sSubSup>
                  <m:sSubSupPr>
                    <m:ctrlPr>
                      <w:rPr>
                        <w:rFonts w:ascii="Cambria Math" w:hAnsi="Cambria Math"/>
                        <w:i/>
                        <w:color w:val="auto"/>
                      </w:rPr>
                    </m:ctrlPr>
                  </m:sSubSupPr>
                  <m:e>
                    <m:r>
                      <m:rPr/>
                      <w:rPr>
                        <w:rFonts w:ascii="Cambria Math" w:hAnsi="Cambria Math"/>
                        <w:color w:val="auto"/>
                      </w:rPr>
                      <m:t>σ</m:t>
                    </m:r>
                    <m:ctrlPr>
                      <w:rPr>
                        <w:rFonts w:ascii="Cambria Math" w:hAnsi="Cambria Math"/>
                        <w:i/>
                        <w:color w:val="auto"/>
                      </w:rPr>
                    </m:ctrlPr>
                  </m:e>
                  <m:sub>
                    <m:r>
                      <m:rPr/>
                      <w:rPr>
                        <w:rFonts w:ascii="Cambria Math" w:hAnsi="Cambria Math"/>
                        <w:color w:val="auto"/>
                      </w:rPr>
                      <m:t>si</m:t>
                    </m:r>
                    <m:ctrlPr>
                      <w:rPr>
                        <w:rFonts w:ascii="Cambria Math" w:hAnsi="Cambria Math"/>
                        <w:i/>
                        <w:color w:val="auto"/>
                      </w:rPr>
                    </m:ctrlPr>
                  </m:sub>
                  <m:sup>
                    <m:r>
                      <m:rPr/>
                      <w:rPr>
                        <w:rFonts w:ascii="Cambria Math" w:hAnsi="Cambria Math"/>
                        <w:color w:val="auto"/>
                      </w:rPr>
                      <m:t>t</m:t>
                    </m:r>
                    <m:ctrlPr>
                      <w:rPr>
                        <w:rFonts w:ascii="Cambria Math" w:hAnsi="Cambria Math"/>
                        <w:i/>
                        <w:color w:val="auto"/>
                      </w:rPr>
                    </m:ctrlPr>
                  </m:sup>
                </m:sSubSup>
              </m:oMath>
            </m:oMathPara>
          </w:p>
        </w:tc>
        <w:tc>
          <w:tcPr>
            <w:tcW w:w="3977" w:type="pct"/>
            <w:gridSpan w:val="3"/>
          </w:tcPr>
          <w:p w14:paraId="746A6972">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——按短暂状况计算时受拉区第i层钢筋的应力（N/mm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w:t>
            </w:r>
          </w:p>
        </w:tc>
      </w:tr>
      <w:tr w14:paraId="68242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3" w:type="pct"/>
          </w:tcPr>
          <w:p w14:paraId="3B0AC818">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0i</m:t>
                    </m:r>
                    <m:ctrlPr>
                      <w:rPr>
                        <w:rFonts w:ascii="Cambria Math" w:hAnsi="Cambria Math"/>
                        <w:i/>
                        <w:color w:val="auto"/>
                      </w:rPr>
                    </m:ctrlPr>
                  </m:sub>
                </m:sSub>
              </m:oMath>
            </m:oMathPara>
          </w:p>
        </w:tc>
        <w:tc>
          <w:tcPr>
            <w:tcW w:w="3977" w:type="pct"/>
            <w:gridSpan w:val="3"/>
          </w:tcPr>
          <w:p w14:paraId="27AB0D26">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——受压区边缘至受拉区第 i 层钢筋截面重心的距离（mm）；</w:t>
            </w:r>
          </w:p>
        </w:tc>
      </w:tr>
      <w:tr w14:paraId="399DE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3" w:type="pct"/>
          </w:tcPr>
          <w:p w14:paraId="4E3CEFB9">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i/>
                        <w:color w:val="auto"/>
                      </w:rPr>
                    </m:ctrlPr>
                  </m:sSubPr>
                  <m:e>
                    <m:r>
                      <m:rPr/>
                      <w:rPr>
                        <w:rFonts w:ascii="Cambria Math" w:hAnsi="Cambria Math"/>
                        <w:color w:val="auto"/>
                      </w:rPr>
                      <m:t>∂</m:t>
                    </m:r>
                    <m:ctrlPr>
                      <w:rPr>
                        <w:rFonts w:ascii="Cambria Math" w:hAnsi="Cambria Math"/>
                        <w:i/>
                        <w:color w:val="auto"/>
                      </w:rPr>
                    </m:ctrlPr>
                  </m:e>
                  <m:sub>
                    <m:r>
                      <m:rPr/>
                      <w:rPr>
                        <w:rFonts w:ascii="Cambria Math" w:hAnsi="Cambria Math"/>
                        <w:color w:val="auto"/>
                      </w:rPr>
                      <m:t>EC</m:t>
                    </m:r>
                    <m:ctrlPr>
                      <w:rPr>
                        <w:rFonts w:ascii="Cambria Math" w:hAnsi="Cambria Math"/>
                        <w:i/>
                        <w:color w:val="auto"/>
                      </w:rPr>
                    </m:ctrlPr>
                  </m:sub>
                </m:sSub>
              </m:oMath>
            </m:oMathPara>
          </w:p>
        </w:tc>
        <w:tc>
          <w:tcPr>
            <w:tcW w:w="3977" w:type="pct"/>
            <w:gridSpan w:val="3"/>
          </w:tcPr>
          <w:p w14:paraId="12C5641A">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——普通混凝土与超高性能混凝土弹性模量的比值；</w:t>
            </w:r>
          </w:p>
        </w:tc>
      </w:tr>
      <w:tr w14:paraId="1AB59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3" w:type="pct"/>
          </w:tcPr>
          <w:p w14:paraId="7AF5C723">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i/>
                        <w:color w:val="auto"/>
                      </w:rPr>
                    </m:ctrlPr>
                  </m:sSubPr>
                  <m:e>
                    <m:r>
                      <m:rPr/>
                      <w:rPr>
                        <w:rFonts w:ascii="Cambria Math" w:hAnsi="Cambria Math"/>
                        <w:color w:val="auto"/>
                      </w:rPr>
                      <m:t>α</m:t>
                    </m:r>
                    <m:ctrlPr>
                      <w:rPr>
                        <w:rFonts w:ascii="Cambria Math" w:hAnsi="Cambria Math"/>
                        <w:i/>
                        <w:color w:val="auto"/>
                      </w:rPr>
                    </m:ctrlPr>
                  </m:e>
                  <m:sub>
                    <m:r>
                      <m:rPr/>
                      <w:rPr>
                        <w:rFonts w:ascii="Cambria Math" w:hAnsi="Cambria Math"/>
                        <w:color w:val="auto"/>
                      </w:rPr>
                      <m:t>ES</m:t>
                    </m:r>
                    <m:ctrlPr>
                      <w:rPr>
                        <w:rFonts w:ascii="Cambria Math" w:hAnsi="Cambria Math"/>
                        <w:i/>
                        <w:color w:val="auto"/>
                      </w:rPr>
                    </m:ctrlPr>
                  </m:sub>
                </m:sSub>
              </m:oMath>
            </m:oMathPara>
          </w:p>
        </w:tc>
        <w:tc>
          <w:tcPr>
            <w:tcW w:w="3977" w:type="pct"/>
            <w:gridSpan w:val="3"/>
          </w:tcPr>
          <w:p w14:paraId="41E57490">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——普通钢筋弹性模量与超高性能混凝土弹性模量的比值；</w:t>
            </w:r>
          </w:p>
        </w:tc>
      </w:tr>
      <w:tr w14:paraId="27A05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3" w:type="pct"/>
          </w:tcPr>
          <w:p w14:paraId="42D7324A">
            <w:pPr>
              <w:spacing w:line="360" w:lineRule="auto"/>
              <w:jc w:val="right"/>
              <w:rPr>
                <w:rFonts w:ascii="Times New Roman" w:hAnsi="Times New Roman" w:eastAsia="宋体" w:cs="Times New Roman"/>
                <w:color w:val="auto"/>
                <w:szCs w:val="21"/>
              </w:rPr>
            </w:pPr>
            <m:oMathPara>
              <m:oMathParaPr>
                <m:jc m:val="right"/>
              </m:oMathParaPr>
              <m:oMath>
                <m:sSubSup>
                  <m:sSubSupPr>
                    <m:ctrlPr>
                      <w:rPr>
                        <w:rFonts w:ascii="Cambria Math" w:hAnsi="Cambria Math"/>
                        <w:color w:val="auto"/>
                      </w:rPr>
                    </m:ctrlPr>
                  </m:sSubSupPr>
                  <m:e>
                    <m:r>
                      <m:rPr/>
                      <w:rPr>
                        <w:rFonts w:ascii="Cambria Math" w:hAnsi="Cambria Math"/>
                        <w:color w:val="auto"/>
                      </w:rPr>
                      <m:t>f</m:t>
                    </m:r>
                    <m:ctrlPr>
                      <w:rPr>
                        <w:rFonts w:ascii="Cambria Math" w:hAnsi="Cambria Math"/>
                        <w:color w:val="auto"/>
                      </w:rPr>
                    </m:ctrlPr>
                  </m:e>
                  <m:sub>
                    <m:r>
                      <m:rPr/>
                      <w:rPr>
                        <w:rFonts w:ascii="Cambria Math" w:hAnsi="Cambria Math"/>
                        <w:color w:val="auto"/>
                      </w:rPr>
                      <m:t>ck</m:t>
                    </m:r>
                    <m:ctrlPr>
                      <w:rPr>
                        <w:rFonts w:ascii="Cambria Math" w:hAnsi="Cambria Math"/>
                        <w:color w:val="auto"/>
                      </w:rPr>
                    </m:ctrlPr>
                  </m:sub>
                  <m:sup>
                    <m:r>
                      <m:rPr/>
                      <w:rPr>
                        <w:rFonts w:ascii="Cambria Math" w:hAnsi="Cambria Math"/>
                        <w:color w:val="auto"/>
                      </w:rPr>
                      <m:t>'</m:t>
                    </m:r>
                    <m:ctrlPr>
                      <w:rPr>
                        <w:rFonts w:ascii="Cambria Math" w:hAnsi="Cambria Math"/>
                        <w:color w:val="auto"/>
                      </w:rPr>
                    </m:ctrlPr>
                  </m:sup>
                </m:sSubSup>
              </m:oMath>
            </m:oMathPara>
          </w:p>
        </w:tc>
        <w:tc>
          <w:tcPr>
            <w:tcW w:w="3977" w:type="pct"/>
            <w:gridSpan w:val="3"/>
          </w:tcPr>
          <w:p w14:paraId="54B10F2F">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——施工阶段普通混凝土轴心抗压强度标准值（N/mm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），按《公路钢筋混凝土及预应力混凝土桥涵设计规范》JTG 3362规定采用（N/mm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w:t>
            </w:r>
          </w:p>
        </w:tc>
      </w:tr>
      <w:tr w14:paraId="1589F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3" w:type="pct"/>
          </w:tcPr>
          <w:p w14:paraId="4C4869F7">
            <w:pPr>
              <w:spacing w:line="360" w:lineRule="auto"/>
              <w:jc w:val="right"/>
              <w:rPr>
                <w:rFonts w:ascii="Times New Roman" w:hAnsi="Times New Roman" w:eastAsia="宋体" w:cs="Times New Roman"/>
                <w:color w:val="auto"/>
                <w:szCs w:val="21"/>
              </w:rPr>
            </w:pPr>
            <m:oMathPara>
              <m:oMathParaPr>
                <m:jc m:val="right"/>
              </m:oMathParaPr>
              <m:oMath>
                <m:sSubSup>
                  <m:sSubSupPr>
                    <m:ctrlPr>
                      <w:rPr>
                        <w:rFonts w:ascii="Cambria Math" w:hAnsi="Cambria Math"/>
                        <w:color w:val="auto"/>
                      </w:rPr>
                    </m:ctrlPr>
                  </m:sSubSupPr>
                  <m:e>
                    <m:r>
                      <m:rPr/>
                      <w:rPr>
                        <w:rFonts w:ascii="Cambria Math" w:hAnsi="Cambria Math"/>
                        <w:color w:val="auto"/>
                      </w:rPr>
                      <m:t>f</m:t>
                    </m:r>
                    <m:ctrlPr>
                      <w:rPr>
                        <w:rFonts w:ascii="Cambria Math" w:hAnsi="Cambria Math"/>
                        <w:color w:val="auto"/>
                      </w:rPr>
                    </m:ctrlPr>
                  </m:e>
                  <m:sub>
                    <m:r>
                      <m:rPr/>
                      <w:rPr>
                        <w:rFonts w:ascii="Cambria Math" w:hAnsi="Cambria Math"/>
                        <w:color w:val="auto"/>
                      </w:rPr>
                      <m:t>tk</m:t>
                    </m:r>
                    <m:ctrlPr>
                      <w:rPr>
                        <w:rFonts w:ascii="Cambria Math" w:hAnsi="Cambria Math"/>
                        <w:color w:val="auto"/>
                      </w:rPr>
                    </m:ctrlPr>
                  </m:sub>
                  <m:sup>
                    <m:r>
                      <m:rPr/>
                      <w:rPr>
                        <w:rFonts w:ascii="Cambria Math" w:hAnsi="Cambria Math"/>
                        <w:color w:val="auto"/>
                      </w:rPr>
                      <m:t>'</m:t>
                    </m:r>
                    <m:ctrlPr>
                      <w:rPr>
                        <w:rFonts w:ascii="Cambria Math" w:hAnsi="Cambria Math"/>
                        <w:color w:val="auto"/>
                      </w:rPr>
                    </m:ctrlPr>
                  </m:sup>
                </m:sSubSup>
              </m:oMath>
            </m:oMathPara>
          </w:p>
        </w:tc>
        <w:tc>
          <w:tcPr>
            <w:tcW w:w="3977" w:type="pct"/>
            <w:gridSpan w:val="3"/>
          </w:tcPr>
          <w:p w14:paraId="111609FE">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——施工阶段普通混凝土轴心抗拉强度标准值（N/mm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）；应按现行行业标准《公路钢筋混凝土及预应力混凝土桥涵设计规范》JTG 3362规定采用（N/mm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w:t>
            </w:r>
          </w:p>
        </w:tc>
      </w:tr>
      <w:tr w14:paraId="49C86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3" w:type="pct"/>
          </w:tcPr>
          <w:p w14:paraId="6A2B4EAE">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sk</m:t>
                    </m:r>
                    <m:ctrlPr>
                      <w:rPr>
                        <w:rFonts w:ascii="Cambria Math" w:hAnsi="Cambria Math"/>
                        <w:color w:val="auto"/>
                      </w:rPr>
                    </m:ctrlPr>
                  </m:sub>
                </m:sSub>
              </m:oMath>
            </m:oMathPara>
          </w:p>
        </w:tc>
        <w:tc>
          <w:tcPr>
            <w:tcW w:w="3977" w:type="pct"/>
            <w:gridSpan w:val="3"/>
          </w:tcPr>
          <w:p w14:paraId="1A765C87">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——普通钢筋抗拉强度标准值，应按现行行业标准《公路钢筋混凝土及预应力混凝土桥涵设计规范》JTG 3362规定采用（N/mm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w:t>
            </w:r>
          </w:p>
        </w:tc>
      </w:tr>
    </w:tbl>
    <w:p w14:paraId="29676DE8">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color w:val="auto"/>
          <w:szCs w:val="21"/>
        </w:rPr>
        <w:t xml:space="preserve">7.2.3  </w:t>
      </w:r>
      <w:r>
        <w:rPr>
          <w:rFonts w:hint="eastAsia" w:ascii="Times New Roman" w:hAnsi="Times New Roman" w:eastAsia="宋体"/>
          <w:color w:val="auto"/>
          <w:szCs w:val="21"/>
        </w:rPr>
        <w:t>超高性能混凝土－普通混凝土组合式盖板结构中性轴处超高性能混凝土的主拉应力</w:t>
      </w:r>
      <m:oMath>
        <m:sSubSup>
          <m:sSubSupPr>
            <m:ctrlPr>
              <w:rPr>
                <w:rFonts w:ascii="Cambria Math" w:hAnsi="Cambria Math"/>
                <w:i/>
                <w:color w:val="auto"/>
              </w:rPr>
            </m:ctrlPr>
          </m:sSubSupPr>
          <m:e>
            <m:r>
              <m:rPr/>
              <w:rPr>
                <w:rFonts w:ascii="Cambria Math" w:hAnsi="Cambria Math"/>
                <w:color w:val="auto"/>
              </w:rPr>
              <m:t>σ</m:t>
            </m:r>
            <m:ctrlPr>
              <w:rPr>
                <w:rFonts w:ascii="Cambria Math" w:hAnsi="Cambria Math"/>
                <w:i/>
                <w:color w:val="auto"/>
              </w:rPr>
            </m:ctrlPr>
          </m:e>
          <m:sub>
            <m:r>
              <m:rPr/>
              <w:rPr>
                <w:rFonts w:ascii="Cambria Math" w:hAnsi="Cambria Math"/>
                <w:color w:val="auto"/>
              </w:rPr>
              <m:t>tp</m:t>
            </m:r>
            <m:ctrlPr>
              <w:rPr>
                <w:rFonts w:ascii="Cambria Math" w:hAnsi="Cambria Math"/>
                <w:i/>
                <w:color w:val="auto"/>
              </w:rPr>
            </m:ctrlPr>
          </m:sub>
          <m:sup>
            <m:r>
              <m:rPr/>
              <w:rPr>
                <w:rFonts w:ascii="Cambria Math" w:hAnsi="Cambria Math"/>
                <w:color w:val="auto"/>
              </w:rPr>
              <m:t>t</m:t>
            </m:r>
            <m:ctrlPr>
              <w:rPr>
                <w:rFonts w:ascii="Cambria Math" w:hAnsi="Cambria Math"/>
                <w:i/>
                <w:color w:val="auto"/>
              </w:rPr>
            </m:ctrlPr>
          </m:sup>
        </m:sSubSup>
      </m:oMath>
      <w:r>
        <w:rPr>
          <w:rFonts w:hint="eastAsia" w:ascii="Times New Roman" w:hAnsi="Times New Roman" w:eastAsia="宋体"/>
          <w:color w:val="auto"/>
          <w:szCs w:val="21"/>
        </w:rPr>
        <w:t>应符合下列规定：</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30"/>
        <w:gridCol w:w="546"/>
        <w:gridCol w:w="1941"/>
        <w:gridCol w:w="2093"/>
        <w:gridCol w:w="2312"/>
      </w:tblGrid>
      <w:tr w14:paraId="012D3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276" w:type="pct"/>
            <w:gridSpan w:val="2"/>
            <w:vAlign w:val="center"/>
          </w:tcPr>
          <w:p w14:paraId="7FF037CB">
            <w:pPr>
              <w:spacing w:line="360" w:lineRule="auto"/>
              <w:rPr>
                <w:rFonts w:hint="eastAsia" w:ascii="等线" w:hAnsi="等线" w:eastAsia="等线" w:cs="Times New Roman"/>
                <w:color w:val="auto"/>
                <w:szCs w:val="21"/>
              </w:rPr>
            </w:pPr>
          </w:p>
        </w:tc>
        <w:tc>
          <w:tcPr>
            <w:tcW w:w="2367" w:type="pct"/>
            <w:gridSpan w:val="2"/>
            <w:vAlign w:val="center"/>
          </w:tcPr>
          <w:p w14:paraId="3D9950C5">
            <w:pPr>
              <w:spacing w:line="360" w:lineRule="auto"/>
              <w:jc w:val="center"/>
              <w:rPr>
                <w:rFonts w:ascii="Times New Roman" w:hAnsi="Times New Roman" w:eastAsia="宋体"/>
                <w:color w:val="auto"/>
                <w:szCs w:val="21"/>
              </w:rPr>
            </w:pPr>
            <m:oMathPara>
              <m:oMath>
                <m:sSubSup>
                  <m:sSubSupPr>
                    <m:ctrlPr>
                      <w:rPr>
                        <w:rFonts w:ascii="Cambria Math" w:hAnsi="Cambria Math"/>
                        <w:i/>
                        <w:color w:val="auto"/>
                      </w:rPr>
                    </m:ctrlPr>
                  </m:sSubSupPr>
                  <m:e>
                    <m:r>
                      <m:rPr/>
                      <w:rPr>
                        <w:rFonts w:ascii="Cambria Math" w:hAnsi="Cambria Math"/>
                        <w:color w:val="auto"/>
                      </w:rPr>
                      <m:t>σ</m:t>
                    </m:r>
                    <m:ctrlPr>
                      <w:rPr>
                        <w:rFonts w:ascii="Cambria Math" w:hAnsi="Cambria Math"/>
                        <w:i/>
                        <w:color w:val="auto"/>
                      </w:rPr>
                    </m:ctrlPr>
                  </m:e>
                  <m:sub>
                    <m:r>
                      <m:rPr/>
                      <w:rPr>
                        <w:rFonts w:ascii="Cambria Math" w:hAnsi="Cambria Math"/>
                        <w:color w:val="auto"/>
                      </w:rPr>
                      <m:t>tp</m:t>
                    </m:r>
                    <m:ctrlPr>
                      <w:rPr>
                        <w:rFonts w:ascii="Cambria Math" w:hAnsi="Cambria Math"/>
                        <w:i/>
                        <w:color w:val="auto"/>
                      </w:rPr>
                    </m:ctrlPr>
                  </m:sub>
                  <m:sup>
                    <m:r>
                      <m:rPr/>
                      <w:rPr>
                        <w:rFonts w:ascii="Cambria Math" w:hAnsi="Cambria Math"/>
                        <w:color w:val="auto"/>
                      </w:rPr>
                      <m:t>t</m:t>
                    </m:r>
                    <m:ctrlPr>
                      <w:rPr>
                        <w:rFonts w:ascii="Cambria Math" w:hAnsi="Cambria Math"/>
                        <w:i/>
                        <w:color w:val="auto"/>
                      </w:rPr>
                    </m:ctrlPr>
                  </m:sup>
                </m:sSubSup>
                <m:r>
                  <m:rPr/>
                  <w:rPr>
                    <w:rFonts w:ascii="Cambria Math" w:hAnsi="Cambria Math"/>
                    <w:color w:val="auto"/>
                  </w:rPr>
                  <m:t>=</m:t>
                </m:r>
                <m:f>
                  <m:fPr>
                    <m:ctrlPr>
                      <w:rPr>
                        <w:rFonts w:ascii="Cambria Math" w:hAnsi="Cambria Math"/>
                        <w:i/>
                        <w:color w:val="auto"/>
                      </w:rPr>
                    </m:ctrlPr>
                  </m:fPr>
                  <m:num>
                    <m:sSubSup>
                      <m:sSubSupPr>
                        <m:ctrlPr>
                          <w:rPr>
                            <w:rFonts w:ascii="Cambria Math" w:hAnsi="Cambria Math"/>
                            <w:i/>
                            <w:color w:val="auto"/>
                          </w:rPr>
                        </m:ctrlPr>
                      </m:sSubSupPr>
                      <m:e>
                        <m:r>
                          <m:rPr/>
                          <w:rPr>
                            <w:rFonts w:ascii="Cambria Math" w:hAnsi="Cambria Math"/>
                            <w:color w:val="auto"/>
                          </w:rPr>
                          <m:t>V</m:t>
                        </m:r>
                        <m:ctrlPr>
                          <w:rPr>
                            <w:rFonts w:ascii="Cambria Math" w:hAnsi="Cambria Math"/>
                            <w:i/>
                            <w:color w:val="auto"/>
                          </w:rPr>
                        </m:ctrlPr>
                      </m:e>
                      <m:sub>
                        <m:r>
                          <m:rPr/>
                          <w:rPr>
                            <w:rFonts w:ascii="Cambria Math" w:hAnsi="Cambria Math"/>
                            <w:color w:val="auto"/>
                          </w:rPr>
                          <m:t>k</m:t>
                        </m:r>
                        <m:ctrlPr>
                          <w:rPr>
                            <w:rFonts w:ascii="Cambria Math" w:hAnsi="Cambria Math"/>
                            <w:i/>
                            <w:color w:val="auto"/>
                          </w:rPr>
                        </m:ctrlPr>
                      </m:sub>
                      <m:sup>
                        <m:r>
                          <m:rPr/>
                          <w:rPr>
                            <w:rFonts w:ascii="Cambria Math" w:hAnsi="Cambria Math"/>
                            <w:color w:val="auto"/>
                          </w:rPr>
                          <m:t>t</m:t>
                        </m:r>
                        <m:ctrlPr>
                          <w:rPr>
                            <w:rFonts w:ascii="Cambria Math" w:hAnsi="Cambria Math"/>
                            <w:i/>
                            <w:color w:val="auto"/>
                          </w:rPr>
                        </m:ctrlPr>
                      </m:sup>
                    </m:sSubSup>
                    <m:ctrlPr>
                      <w:rPr>
                        <w:rFonts w:ascii="Cambria Math" w:hAnsi="Cambria Math"/>
                        <w:i/>
                        <w:color w:val="auto"/>
                      </w:rPr>
                    </m:ctrlPr>
                  </m:num>
                  <m:den>
                    <m:sSub>
                      <m:sSubPr>
                        <m:ctrlPr>
                          <w:rPr>
                            <w:rFonts w:ascii="Cambria Math" w:hAnsi="Cambria Math"/>
                            <w:i/>
                            <w:color w:val="auto"/>
                          </w:rPr>
                        </m:ctrlPr>
                      </m:sSubPr>
                      <m:e>
                        <m:r>
                          <m:rPr/>
                          <w:rPr>
                            <w:rFonts w:ascii="Cambria Math" w:hAnsi="Cambria Math"/>
                            <w:color w:val="auto"/>
                          </w:rPr>
                          <m:t>b</m:t>
                        </m:r>
                        <m:ctrlPr>
                          <w:rPr>
                            <w:rFonts w:ascii="Cambria Math" w:hAnsi="Cambria Math"/>
                            <w:i/>
                            <w:color w:val="auto"/>
                          </w:rPr>
                        </m:ctrlPr>
                      </m:e>
                      <m:sub>
                        <m:r>
                          <m:rPr/>
                          <w:rPr>
                            <w:rFonts w:ascii="Cambria Math" w:hAnsi="Cambria Math"/>
                            <w:color w:val="auto"/>
                          </w:rPr>
                          <m:t>f</m:t>
                        </m:r>
                        <m:ctrlPr>
                          <w:rPr>
                            <w:rFonts w:ascii="Cambria Math" w:hAnsi="Cambria Math"/>
                            <w:i/>
                            <w:color w:val="auto"/>
                          </w:rPr>
                        </m:ctrlPr>
                      </m:sub>
                    </m:sSub>
                    <m:sSub>
                      <m:sSubPr>
                        <m:ctrlPr>
                          <w:rPr>
                            <w:rFonts w:ascii="Cambria Math" w:hAnsi="Cambria Math"/>
                            <w:i/>
                            <w:color w:val="auto"/>
                          </w:rPr>
                        </m:ctrlPr>
                      </m:sSubPr>
                      <m:e>
                        <m:r>
                          <m:rPr/>
                          <w:rPr>
                            <w:rFonts w:ascii="Cambria Math" w:hAnsi="Cambria Math"/>
                            <w:color w:val="auto"/>
                          </w:rPr>
                          <m:t>z</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ctrlPr>
                      <w:rPr>
                        <w:rFonts w:ascii="Cambria Math" w:hAnsi="Cambria Math"/>
                        <w:i/>
                        <w:color w:val="auto"/>
                      </w:rPr>
                    </m:ctrlPr>
                  </m:den>
                </m:f>
                <m:r>
                  <m:rPr>
                    <m:sty m:val="p"/>
                  </m:rPr>
                  <w:rPr>
                    <w:rFonts w:hint="eastAsia" w:ascii="Cambria Math" w:hAnsi="Cambria Math"/>
                    <w:color w:val="auto"/>
                  </w:rPr>
                  <m:t>≤</m:t>
                </m:r>
                <m:sSubSup>
                  <m:sSubSupPr>
                    <m:ctrlPr>
                      <w:rPr>
                        <w:rFonts w:ascii="Cambria Math" w:hAnsi="Cambria Math"/>
                        <w:color w:val="auto"/>
                      </w:rPr>
                    </m:ctrlPr>
                  </m:sSubSupPr>
                  <m:e>
                    <m:r>
                      <m:rPr/>
                      <w:rPr>
                        <w:rFonts w:ascii="Cambria Math" w:hAnsi="Cambria Math"/>
                        <w:color w:val="auto"/>
                      </w:rPr>
                      <m:t>f</m:t>
                    </m:r>
                    <m:ctrlPr>
                      <w:rPr>
                        <w:rFonts w:ascii="Cambria Math" w:hAnsi="Cambria Math"/>
                        <w:color w:val="auto"/>
                      </w:rPr>
                    </m:ctrlPr>
                  </m:e>
                  <m:sub>
                    <m:r>
                      <m:rPr/>
                      <w:rPr>
                        <w:rFonts w:ascii="Cambria Math" w:hAnsi="Cambria Math"/>
                        <w:color w:val="auto"/>
                      </w:rPr>
                      <m:t>tk</m:t>
                    </m:r>
                    <m:ctrlPr>
                      <w:rPr>
                        <w:rFonts w:ascii="Cambria Math" w:hAnsi="Cambria Math"/>
                        <w:color w:val="auto"/>
                      </w:rPr>
                    </m:ctrlPr>
                  </m:sub>
                  <m:sup>
                    <m:r>
                      <m:rPr/>
                      <w:rPr>
                        <w:rFonts w:hint="eastAsia" w:ascii="Cambria Math" w:hAnsi="Cambria Math"/>
                        <w:color w:val="auto"/>
                      </w:rPr>
                      <m:t>'</m:t>
                    </m:r>
                    <m:ctrlPr>
                      <w:rPr>
                        <w:rFonts w:ascii="Cambria Math" w:hAnsi="Cambria Math"/>
                        <w:color w:val="auto"/>
                      </w:rPr>
                    </m:ctrlPr>
                  </m:sup>
                </m:sSubSup>
              </m:oMath>
            </m:oMathPara>
          </w:p>
        </w:tc>
        <w:tc>
          <w:tcPr>
            <w:tcW w:w="1355" w:type="pct"/>
            <w:vAlign w:val="center"/>
          </w:tcPr>
          <w:p w14:paraId="3DBC704E">
            <w:pPr>
              <w:spacing w:line="360" w:lineRule="auto"/>
              <w:jc w:val="right"/>
              <w:rPr>
                <w:rFonts w:ascii="Times New Roman" w:hAnsi="Times New Roman" w:eastAsia="宋体"/>
                <w:color w:val="auto"/>
                <w:szCs w:val="21"/>
              </w:rPr>
            </w:pPr>
            <w:r>
              <w:rPr>
                <w:rFonts w:ascii="Times New Roman" w:hAnsi="Times New Roman" w:eastAsia="宋体"/>
                <w:color w:val="auto"/>
                <w:szCs w:val="21"/>
              </w:rPr>
              <w:t>(7.2.3)</w:t>
            </w:r>
          </w:p>
        </w:tc>
      </w:tr>
      <w:tr w14:paraId="08883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6" w:type="pct"/>
          </w:tcPr>
          <w:p w14:paraId="3EECC438">
            <w:pPr>
              <w:wordWrap w:val="0"/>
              <w:spacing w:line="360" w:lineRule="auto"/>
              <w:jc w:val="right"/>
              <w:rPr>
                <w:rFonts w:ascii="Times New Roman" w:hAnsi="Times New Roman" w:eastAsia="宋体"/>
                <w:color w:val="auto"/>
                <w:szCs w:val="21"/>
              </w:rPr>
            </w:pPr>
            <w:r>
              <w:rPr>
                <w:rFonts w:hint="eastAsia" w:ascii="Times New Roman" w:hAnsi="Times New Roman" w:eastAsia="宋体"/>
                <w:color w:val="auto"/>
                <w:szCs w:val="21"/>
              </w:rPr>
              <w:t xml:space="preserve">式中： </w:t>
            </w:r>
            <w:r>
              <w:rPr>
                <w:rFonts w:ascii="Times New Roman" w:hAnsi="Times New Roman" w:eastAsia="宋体"/>
                <w:color w:val="auto"/>
                <w:szCs w:val="21"/>
              </w:rPr>
              <w:t xml:space="preserve">   </w:t>
            </w:r>
            <m:oMath>
              <m:sSubSup>
                <m:sSubSupPr>
                  <m:ctrlPr>
                    <w:rPr>
                      <w:rFonts w:ascii="Cambria Math" w:hAnsi="Cambria Math"/>
                      <w:i/>
                      <w:color w:val="auto"/>
                    </w:rPr>
                  </m:ctrlPr>
                </m:sSubSupPr>
                <m:e>
                  <m:r>
                    <m:rPr/>
                    <w:rPr>
                      <w:rFonts w:ascii="Cambria Math" w:hAnsi="Cambria Math"/>
                      <w:color w:val="auto"/>
                    </w:rPr>
                    <m:t>V</m:t>
                  </m:r>
                  <m:ctrlPr>
                    <w:rPr>
                      <w:rFonts w:ascii="Cambria Math" w:hAnsi="Cambria Math"/>
                      <w:i/>
                      <w:color w:val="auto"/>
                    </w:rPr>
                  </m:ctrlPr>
                </m:e>
                <m:sub>
                  <m:r>
                    <m:rPr/>
                    <w:rPr>
                      <w:rFonts w:ascii="Cambria Math" w:hAnsi="Cambria Math"/>
                      <w:color w:val="auto"/>
                    </w:rPr>
                    <m:t>k</m:t>
                  </m:r>
                  <m:ctrlPr>
                    <w:rPr>
                      <w:rFonts w:ascii="Cambria Math" w:hAnsi="Cambria Math"/>
                      <w:i/>
                      <w:color w:val="auto"/>
                    </w:rPr>
                  </m:ctrlPr>
                </m:sub>
                <m:sup>
                  <m:r>
                    <m:rPr/>
                    <w:rPr>
                      <w:rFonts w:ascii="Cambria Math" w:hAnsi="Cambria Math"/>
                      <w:color w:val="auto"/>
                    </w:rPr>
                    <m:t>t</m:t>
                  </m:r>
                  <m:ctrlPr>
                    <w:rPr>
                      <w:rFonts w:ascii="Cambria Math" w:hAnsi="Cambria Math"/>
                      <w:i/>
                      <w:color w:val="auto"/>
                    </w:rPr>
                  </m:ctrlPr>
                </m:sup>
              </m:sSubSup>
            </m:oMath>
          </w:p>
        </w:tc>
        <w:tc>
          <w:tcPr>
            <w:tcW w:w="4043" w:type="pct"/>
            <w:gridSpan w:val="4"/>
          </w:tcPr>
          <w:p w14:paraId="1C306B11">
            <w:pPr>
              <w:spacing w:line="360" w:lineRule="auto"/>
              <w:rPr>
                <w:rFonts w:ascii="Times New Roman" w:hAnsi="Times New Roman" w:eastAsia="宋体"/>
                <w:color w:val="auto"/>
                <w:szCs w:val="21"/>
              </w:rPr>
            </w:pPr>
            <w:r>
              <w:rPr>
                <w:rFonts w:hint="eastAsia" w:ascii="Times New Roman" w:hAnsi="Times New Roman" w:eastAsia="宋体"/>
                <w:color w:val="auto"/>
                <w:szCs w:val="21"/>
              </w:rPr>
              <w:t>——由临时的施工荷载标准值产生的剪力值（N）；</w:t>
            </w:r>
          </w:p>
        </w:tc>
      </w:tr>
      <w:tr w14:paraId="6A1E7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6" w:type="pct"/>
          </w:tcPr>
          <w:p w14:paraId="6DD26760">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i/>
                        <w:color w:val="auto"/>
                      </w:rPr>
                    </m:ctrlPr>
                  </m:sSubPr>
                  <m:e>
                    <m:r>
                      <m:rPr/>
                      <w:rPr>
                        <w:rFonts w:ascii="Cambria Math" w:hAnsi="Cambria Math"/>
                        <w:color w:val="auto"/>
                      </w:rPr>
                      <m:t>b</m:t>
                    </m:r>
                    <m:ctrlPr>
                      <w:rPr>
                        <w:rFonts w:ascii="Cambria Math" w:hAnsi="Cambria Math"/>
                        <w:i/>
                        <w:color w:val="auto"/>
                      </w:rPr>
                    </m:ctrlPr>
                  </m:e>
                  <m:sub>
                    <m:r>
                      <m:rPr/>
                      <w:rPr>
                        <w:rFonts w:ascii="Cambria Math" w:hAnsi="Cambria Math"/>
                        <w:color w:val="auto"/>
                      </w:rPr>
                      <m:t>f</m:t>
                    </m:r>
                    <m:ctrlPr>
                      <w:rPr>
                        <w:rFonts w:ascii="Cambria Math" w:hAnsi="Cambria Math"/>
                        <w:i/>
                        <w:color w:val="auto"/>
                      </w:rPr>
                    </m:ctrlPr>
                  </m:sub>
                </m:sSub>
              </m:oMath>
            </m:oMathPara>
          </w:p>
        </w:tc>
        <w:tc>
          <w:tcPr>
            <w:tcW w:w="4043" w:type="pct"/>
            <w:gridSpan w:val="4"/>
          </w:tcPr>
          <w:p w14:paraId="3BD4B487">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——倒“T”形截面的腹板宽度（mm）；</w:t>
            </w:r>
          </w:p>
        </w:tc>
      </w:tr>
      <w:tr w14:paraId="76D45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6" w:type="pct"/>
          </w:tcPr>
          <w:p w14:paraId="2D35D19B">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i/>
                        <w:color w:val="auto"/>
                      </w:rPr>
                    </m:ctrlPr>
                  </m:sSubPr>
                  <m:e>
                    <m:r>
                      <m:rPr/>
                      <w:rPr>
                        <w:rFonts w:ascii="Cambria Math" w:hAnsi="Cambria Math"/>
                        <w:color w:val="auto"/>
                      </w:rPr>
                      <m:t>z</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oMath>
            </m:oMathPara>
          </w:p>
        </w:tc>
        <w:tc>
          <w:tcPr>
            <w:tcW w:w="4043" w:type="pct"/>
            <w:gridSpan w:val="4"/>
          </w:tcPr>
          <w:p w14:paraId="04B6E0A2">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——受压区合力点至受拉钢筋合力点的距离，如图7.2.3所示，当受压区合力点位于普通混凝土，即</w:t>
            </w:r>
            <m:oMath>
              <m:sSub>
                <m:sSubPr>
                  <m:ctrlPr>
                    <w:rPr>
                      <w:rFonts w:ascii="Cambria Math" w:hAnsi="Cambria Math"/>
                      <w:color w:val="auto"/>
                    </w:rPr>
                  </m:ctrlPr>
                </m:sSubPr>
                <m:e>
                  <m:r>
                    <m:rPr/>
                    <w:rPr>
                      <w:rFonts w:ascii="Cambria Math" w:hAnsi="Cambria Math"/>
                      <w:color w:val="auto"/>
                    </w:rPr>
                    <m:t>z</m:t>
                  </m:r>
                  <m:ctrlPr>
                    <w:rPr>
                      <w:rFonts w:ascii="Cambria Math" w:hAnsi="Cambria Math"/>
                      <w:color w:val="auto"/>
                    </w:rPr>
                  </m:ctrlPr>
                </m:e>
                <m:sub>
                  <m:r>
                    <m:rPr/>
                    <w:rPr>
                      <w:rFonts w:ascii="Cambria Math" w:hAnsi="Cambria Math"/>
                      <w:color w:val="auto"/>
                    </w:rPr>
                    <m:t>0</m:t>
                  </m:r>
                  <m:ctrlPr>
                    <w:rPr>
                      <w:rFonts w:ascii="Cambria Math" w:hAnsi="Cambria Math"/>
                      <w:color w:val="auto"/>
                    </w:rPr>
                  </m:ctrlPr>
                </m:sub>
              </m:sSub>
              <m:r>
                <m:rPr/>
                <w:rPr>
                  <w:rFonts w:ascii="Cambria Math" w:hAnsi="Cambria Math"/>
                  <w:color w:val="auto"/>
                </w:rPr>
                <m:t>&gt;</m:t>
              </m:r>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2</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3</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s2</m:t>
                  </m:r>
                  <m:ctrlPr>
                    <w:rPr>
                      <w:rFonts w:ascii="Cambria Math" w:hAnsi="Cambria Math"/>
                      <w:i/>
                      <w:color w:val="auto"/>
                    </w:rPr>
                  </m:ctrlPr>
                </m:sub>
              </m:sSub>
            </m:oMath>
            <w:r>
              <w:rPr>
                <w:rFonts w:hint="eastAsia" w:ascii="Times New Roman" w:hAnsi="Times New Roman" w:eastAsia="宋体"/>
                <w:color w:val="auto"/>
                <w:szCs w:val="21"/>
              </w:rPr>
              <w:t>时，取</w:t>
            </w:r>
            <m:oMath>
              <m:sSub>
                <m:sSubPr>
                  <m:ctrlPr>
                    <w:rPr>
                      <w:rFonts w:ascii="Cambria Math" w:hAnsi="Cambria Math"/>
                      <w:color w:val="auto"/>
                    </w:rPr>
                  </m:ctrlPr>
                </m:sSubPr>
                <m:e>
                  <m:r>
                    <m:rPr/>
                    <w:rPr>
                      <w:rFonts w:ascii="Cambria Math" w:hAnsi="Cambria Math"/>
                      <w:color w:val="auto"/>
                    </w:rPr>
                    <m:t>z</m:t>
                  </m:r>
                  <m:ctrlPr>
                    <w:rPr>
                      <w:rFonts w:ascii="Cambria Math" w:hAnsi="Cambria Math"/>
                      <w:color w:val="auto"/>
                    </w:rPr>
                  </m:ctrlPr>
                </m:e>
                <m:sub>
                  <m:r>
                    <m:rPr/>
                    <w:rPr>
                      <w:rFonts w:ascii="Cambria Math" w:hAnsi="Cambria Math"/>
                      <w:color w:val="auto"/>
                    </w:rPr>
                    <m:t>0</m:t>
                  </m:r>
                  <m:ctrlPr>
                    <w:rPr>
                      <w:rFonts w:ascii="Cambria Math" w:hAnsi="Cambria Math"/>
                      <w:color w:val="auto"/>
                    </w:rPr>
                  </m:ctrlPr>
                </m:sub>
              </m:sSub>
              <m:r>
                <m:rPr/>
                <w:rPr>
                  <w:rFonts w:hint="eastAsia" w:ascii="Cambria Math" w:hAnsi="Cambria Math"/>
                  <w:color w:val="auto"/>
                </w:rPr>
                <m:t>=</m:t>
              </m:r>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2</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3</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s2</m:t>
                  </m:r>
                  <m:ctrlPr>
                    <w:rPr>
                      <w:rFonts w:ascii="Cambria Math" w:hAnsi="Cambria Math"/>
                      <w:i/>
                      <w:color w:val="auto"/>
                    </w:rPr>
                  </m:ctrlPr>
                </m:sub>
              </m:sSub>
            </m:oMath>
            <w:r>
              <w:rPr>
                <w:rFonts w:hint="eastAsia" w:ascii="Times New Roman" w:hAnsi="Times New Roman" w:eastAsia="宋体"/>
                <w:color w:val="auto"/>
                <w:szCs w:val="21"/>
              </w:rPr>
              <w:t>（mm）；</w:t>
            </w:r>
          </w:p>
        </w:tc>
      </w:tr>
      <w:tr w14:paraId="2648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6" w:type="pct"/>
          </w:tcPr>
          <w:p w14:paraId="4B57FD29">
            <w:pPr>
              <w:spacing w:line="360" w:lineRule="auto"/>
              <w:jc w:val="right"/>
              <w:rPr>
                <w:rFonts w:ascii="Times New Roman" w:hAnsi="Times New Roman" w:eastAsia="宋体" w:cs="Times New Roman"/>
                <w:color w:val="auto"/>
                <w:szCs w:val="21"/>
              </w:rPr>
            </w:pPr>
            <m:oMathPara>
              <m:oMathParaPr>
                <m:jc m:val="right"/>
              </m:oMathParaPr>
              <m:oMath>
                <m:sSubSup>
                  <m:sSubSupPr>
                    <m:ctrlPr>
                      <w:rPr>
                        <w:rFonts w:ascii="Cambria Math" w:hAnsi="Cambria Math"/>
                        <w:color w:val="auto"/>
                      </w:rPr>
                    </m:ctrlPr>
                  </m:sSubSupPr>
                  <m:e>
                    <m:r>
                      <m:rPr/>
                      <w:rPr>
                        <w:rFonts w:ascii="Cambria Math" w:hAnsi="Cambria Math"/>
                        <w:color w:val="auto"/>
                      </w:rPr>
                      <m:t>f</m:t>
                    </m:r>
                    <m:ctrlPr>
                      <w:rPr>
                        <w:rFonts w:ascii="Cambria Math" w:hAnsi="Cambria Math"/>
                        <w:color w:val="auto"/>
                      </w:rPr>
                    </m:ctrlPr>
                  </m:e>
                  <m:sub>
                    <m:r>
                      <m:rPr/>
                      <w:rPr>
                        <w:rFonts w:ascii="Cambria Math" w:hAnsi="Cambria Math"/>
                        <w:color w:val="auto"/>
                      </w:rPr>
                      <m:t>tk</m:t>
                    </m:r>
                    <m:ctrlPr>
                      <w:rPr>
                        <w:rFonts w:ascii="Cambria Math" w:hAnsi="Cambria Math"/>
                        <w:color w:val="auto"/>
                      </w:rPr>
                    </m:ctrlPr>
                  </m:sub>
                  <m:sup>
                    <m:r>
                      <m:rPr/>
                      <w:rPr>
                        <w:rFonts w:ascii="Cambria Math" w:hAnsi="Cambria Math"/>
                        <w:color w:val="auto"/>
                      </w:rPr>
                      <m:t>'</m:t>
                    </m:r>
                    <m:ctrlPr>
                      <w:rPr>
                        <w:rFonts w:ascii="Cambria Math" w:hAnsi="Cambria Math"/>
                        <w:color w:val="auto"/>
                      </w:rPr>
                    </m:ctrlPr>
                  </m:sup>
                </m:sSubSup>
              </m:oMath>
            </m:oMathPara>
          </w:p>
        </w:tc>
        <w:tc>
          <w:tcPr>
            <w:tcW w:w="4043" w:type="pct"/>
            <w:gridSpan w:val="4"/>
          </w:tcPr>
          <w:p w14:paraId="0997F96C">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——施工阶段超高性能混凝土轴心抗拉强度标准值（N/mm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w:t>
            </w:r>
          </w:p>
        </w:tc>
      </w:tr>
      <w:tr w14:paraId="255BA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5" w:type="pct"/>
            <w:gridSpan w:val="3"/>
          </w:tcPr>
          <w:p w14:paraId="3E5CE9AE">
            <w:pPr>
              <w:jc w:val="right"/>
              <w:rPr>
                <w:rFonts w:ascii="Times New Roman" w:hAnsi="Times New Roman" w:eastAsia="宋体" w:cs="Times New Roman"/>
                <w:color w:val="auto"/>
                <w:szCs w:val="21"/>
              </w:rPr>
            </w:pPr>
            <w:r>
              <w:rPr>
                <w:rFonts w:ascii="Times New Roman" w:hAnsi="Times New Roman" w:eastAsia="宋体"/>
                <w:color w:val="auto"/>
                <w:szCs w:val="21"/>
              </w:rPr>
              <w:pict>
                <v:shape id="_x0000_i1146" o:spt="75" type="#_x0000_t75" style="height:105.8pt;width:188.25pt;" filled="f" o:preferrelative="t" stroked="f" coordsize="21600,21600">
                  <v:path/>
                  <v:fill on="f" focussize="0,0"/>
                  <v:stroke on="f" joinstyle="miter"/>
                  <v:imagedata r:id="rId247" cropright="2005f" o:title=""/>
                  <o:lock v:ext="edit" aspectratio="t"/>
                  <w10:wrap type="none"/>
                  <w10:anchorlock/>
                </v:shape>
              </w:pict>
            </w:r>
          </w:p>
        </w:tc>
        <w:tc>
          <w:tcPr>
            <w:tcW w:w="2584" w:type="pct"/>
            <w:gridSpan w:val="2"/>
          </w:tcPr>
          <w:p w14:paraId="0D7D9221">
            <w:pPr>
              <w:ind w:left="420" w:hanging="420" w:hangingChars="200"/>
              <w:jc w:val="center"/>
              <w:rPr>
                <w:rFonts w:ascii="Times New Roman" w:hAnsi="Times New Roman" w:eastAsia="宋体"/>
                <w:color w:val="auto"/>
                <w:szCs w:val="21"/>
              </w:rPr>
            </w:pPr>
            <w:r>
              <w:rPr>
                <w:rFonts w:ascii="Times New Roman" w:hAnsi="Times New Roman" w:eastAsia="宋体"/>
                <w:color w:val="auto"/>
                <w:szCs w:val="21"/>
              </w:rPr>
              <w:pict>
                <v:shape id="_x0000_i1147" o:spt="75" type="#_x0000_t75" style="height:106.5pt;width:195.15pt;" filled="f" o:preferrelative="t" stroked="f" coordsize="21600,21600">
                  <v:path/>
                  <v:fill on="f" focussize="0,0"/>
                  <v:stroke on="f" joinstyle="miter"/>
                  <v:imagedata r:id="rId248" cropright="2100f" o:title=""/>
                  <o:lock v:ext="edit" aspectratio="t"/>
                  <w10:wrap type="none"/>
                  <w10:anchorlock/>
                </v:shape>
              </w:pict>
            </w:r>
          </w:p>
        </w:tc>
      </w:tr>
      <w:tr w14:paraId="305C9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5" w:type="pct"/>
            <w:gridSpan w:val="3"/>
          </w:tcPr>
          <w:p w14:paraId="49393BF9">
            <w:pPr>
              <w:jc w:val="center"/>
              <w:rPr>
                <w:rFonts w:ascii="Times New Roman" w:hAnsi="Times New Roman" w:eastAsia="黑体" w:cs="Times New Roman"/>
                <w:color w:val="auto"/>
                <w:sz w:val="18"/>
                <w:szCs w:val="20"/>
              </w:rPr>
            </w:pPr>
            <w:r>
              <w:rPr>
                <w:rFonts w:ascii="Times New Roman" w:hAnsi="Times New Roman" w:eastAsia="黑体" w:cs="Times New Roman"/>
                <w:color w:val="auto"/>
                <w:sz w:val="18"/>
                <w:szCs w:val="20"/>
              </w:rPr>
              <w:t>（a）受压区合力点位于超高性能混凝土腹板中</w:t>
            </w:r>
          </w:p>
        </w:tc>
        <w:tc>
          <w:tcPr>
            <w:tcW w:w="2584" w:type="pct"/>
            <w:gridSpan w:val="2"/>
          </w:tcPr>
          <w:p w14:paraId="33BE8E0F">
            <w:pPr>
              <w:jc w:val="center"/>
              <w:rPr>
                <w:rFonts w:ascii="Times New Roman" w:hAnsi="Times New Roman" w:eastAsia="黑体" w:cs="Times New Roman"/>
                <w:color w:val="auto"/>
                <w:sz w:val="18"/>
                <w:szCs w:val="20"/>
              </w:rPr>
            </w:pPr>
            <w:r>
              <w:rPr>
                <w:rFonts w:ascii="Times New Roman" w:hAnsi="Times New Roman" w:eastAsia="黑体" w:cs="Times New Roman"/>
                <w:color w:val="auto"/>
                <w:sz w:val="18"/>
                <w:szCs w:val="20"/>
              </w:rPr>
              <w:t>（b）受压区合力点位于普通混凝土中</w:t>
            </w:r>
          </w:p>
        </w:tc>
      </w:tr>
    </w:tbl>
    <w:p w14:paraId="6C19F9F2">
      <w:pPr>
        <w:spacing w:line="360" w:lineRule="auto"/>
        <w:jc w:val="center"/>
        <w:rPr>
          <w:rFonts w:ascii="Times New Roman" w:hAnsi="Times New Roman" w:eastAsia="黑体" w:cs="Times New Roman"/>
          <w:color w:val="auto"/>
          <w:sz w:val="18"/>
          <w:szCs w:val="20"/>
        </w:rPr>
      </w:pPr>
      <w:r>
        <w:rPr>
          <w:rFonts w:ascii="Times New Roman" w:hAnsi="Times New Roman" w:eastAsia="黑体" w:cs="Times New Roman"/>
          <w:color w:val="auto"/>
          <w:sz w:val="18"/>
          <w:szCs w:val="20"/>
        </w:rPr>
        <w:t>图7.2.3 受压区合力点至受拉钢筋合力点的距离</w:t>
      </w:r>
      <m:oMath>
        <m:sSub>
          <m:sSubPr>
            <m:ctrlPr>
              <w:rPr>
                <w:rFonts w:ascii="Cambria Math" w:hAnsi="Cambria Math" w:eastAsia="宋体" w:cs="Times New Roman"/>
                <w:color w:val="auto"/>
                <w:szCs w:val="21"/>
              </w:rPr>
            </m:ctrlPr>
          </m:sSubPr>
          <m:e>
            <m:r>
              <m:rPr/>
              <w:rPr>
                <w:rFonts w:ascii="Cambria Math" w:hAnsi="Cambria Math" w:cs="Times New Roman"/>
                <w:color w:val="auto"/>
              </w:rPr>
              <m:t>z</m:t>
            </m:r>
            <m:ctrlPr>
              <w:rPr>
                <w:rFonts w:ascii="Cambria Math" w:hAnsi="Cambria Math" w:eastAsia="宋体" w:cs="Times New Roman"/>
                <w:color w:val="auto"/>
                <w:szCs w:val="21"/>
              </w:rPr>
            </m:ctrlPr>
          </m:e>
          <m:sub>
            <m:r>
              <m:rPr/>
              <w:rPr>
                <w:rFonts w:ascii="Cambria Math" w:hAnsi="Cambria Math" w:cs="Times New Roman"/>
                <w:color w:val="auto"/>
              </w:rPr>
              <m:t>0</m:t>
            </m:r>
            <m:ctrlPr>
              <w:rPr>
                <w:rFonts w:ascii="Cambria Math" w:hAnsi="Cambria Math" w:eastAsia="宋体" w:cs="Times New Roman"/>
                <w:color w:val="auto"/>
                <w:szCs w:val="21"/>
              </w:rPr>
            </m:ctrlPr>
          </m:sub>
        </m:sSub>
      </m:oMath>
      <w:r>
        <w:rPr>
          <w:rFonts w:ascii="Times New Roman" w:hAnsi="Times New Roman" w:eastAsia="黑体" w:cs="Times New Roman"/>
          <w:color w:val="auto"/>
          <w:sz w:val="18"/>
          <w:szCs w:val="20"/>
        </w:rPr>
        <w:t>取值</w:t>
      </w:r>
    </w:p>
    <w:p w14:paraId="3B969BAC">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color w:val="auto"/>
          <w:szCs w:val="21"/>
        </w:rPr>
        <w:t xml:space="preserve">7.2.4  </w:t>
      </w:r>
      <w:r>
        <w:rPr>
          <w:rFonts w:hint="eastAsia" w:ascii="Times New Roman" w:hAnsi="Times New Roman" w:eastAsia="宋体"/>
          <w:color w:val="auto"/>
          <w:szCs w:val="21"/>
        </w:rPr>
        <w:t>超高性能混凝土－普通混凝土组合式盖板结构中性轴处的主拉应力</w:t>
      </w:r>
      <m:oMath>
        <m:sSubSup>
          <m:sSubSupPr>
            <m:ctrlPr>
              <w:rPr>
                <w:rFonts w:ascii="Cambria Math" w:hAnsi="Cambria Math"/>
                <w:i/>
                <w:color w:val="auto"/>
              </w:rPr>
            </m:ctrlPr>
          </m:sSubSupPr>
          <m:e>
            <m:r>
              <m:rPr/>
              <w:rPr>
                <w:rFonts w:ascii="Cambria Math" w:hAnsi="Cambria Math"/>
                <w:color w:val="auto"/>
              </w:rPr>
              <m:t>σ</m:t>
            </m:r>
            <m:ctrlPr>
              <w:rPr>
                <w:rFonts w:ascii="Cambria Math" w:hAnsi="Cambria Math"/>
                <w:i/>
                <w:color w:val="auto"/>
              </w:rPr>
            </m:ctrlPr>
          </m:e>
          <m:sub>
            <m:r>
              <m:rPr/>
              <w:rPr>
                <w:rFonts w:ascii="Cambria Math" w:hAnsi="Cambria Math"/>
                <w:color w:val="auto"/>
              </w:rPr>
              <m:t>tp</m:t>
            </m:r>
            <m:ctrlPr>
              <w:rPr>
                <w:rFonts w:ascii="Cambria Math" w:hAnsi="Cambria Math"/>
                <w:i/>
                <w:color w:val="auto"/>
              </w:rPr>
            </m:ctrlPr>
          </m:sub>
          <m:sup>
            <m:r>
              <m:rPr/>
              <w:rPr>
                <w:rFonts w:ascii="Cambria Math" w:hAnsi="Cambria Math"/>
                <w:color w:val="auto"/>
              </w:rPr>
              <m:t>t</m:t>
            </m:r>
            <m:ctrlPr>
              <w:rPr>
                <w:rFonts w:ascii="Cambria Math" w:hAnsi="Cambria Math"/>
                <w:i/>
                <w:color w:val="auto"/>
              </w:rPr>
            </m:ctrlPr>
          </m:sup>
        </m:sSubSup>
      </m:oMath>
      <w:r>
        <w:rPr>
          <w:rFonts w:hint="eastAsia" w:ascii="Times New Roman" w:hAnsi="Times New Roman" w:eastAsia="宋体"/>
          <w:color w:val="auto"/>
          <w:szCs w:val="21"/>
        </w:rPr>
        <w:t>应符合下列规定：</w:t>
      </w:r>
    </w:p>
    <w:p w14:paraId="1BDED88C">
      <w:pPr>
        <w:spacing w:line="360" w:lineRule="auto"/>
        <w:ind w:firstLine="422" w:firstLineChars="200"/>
        <w:rPr>
          <w:rFonts w:ascii="Times New Roman" w:hAnsi="Times New Roman" w:eastAsia="宋体"/>
          <w:color w:val="auto"/>
          <w:szCs w:val="21"/>
        </w:rPr>
      </w:pPr>
      <w:r>
        <w:rPr>
          <w:rFonts w:ascii="Times New Roman" w:hAnsi="Times New Roman" w:eastAsia="宋体"/>
          <w:b/>
          <w:color w:val="auto"/>
          <w:szCs w:val="21"/>
        </w:rPr>
        <w:t>1</w:t>
      </w:r>
      <w:r>
        <w:rPr>
          <w:rFonts w:ascii="Times New Roman" w:hAnsi="Times New Roman" w:eastAsia="宋体"/>
          <w:color w:val="auto"/>
          <w:szCs w:val="21"/>
        </w:rPr>
        <w:t xml:space="preserve"> </w:t>
      </w:r>
      <w:r>
        <w:rPr>
          <w:rFonts w:hint="eastAsia" w:ascii="Times New Roman" w:hAnsi="Times New Roman" w:eastAsia="宋体"/>
          <w:color w:val="auto"/>
          <w:szCs w:val="21"/>
        </w:rPr>
        <w:t>若满足</w:t>
      </w:r>
      <m:oMath>
        <m:sSubSup>
          <m:sSubSupPr>
            <m:ctrlPr>
              <w:rPr>
                <w:rFonts w:ascii="Cambria Math" w:hAnsi="Cambria Math"/>
                <w:color w:val="auto"/>
              </w:rPr>
            </m:ctrlPr>
          </m:sSubSupPr>
          <m:e>
            <m:r>
              <m:rPr/>
              <w:rPr>
                <w:rFonts w:ascii="Cambria Math" w:hAnsi="Cambria Math"/>
                <w:color w:val="auto"/>
              </w:rPr>
              <m:t>σ</m:t>
            </m:r>
            <m:ctrlPr>
              <w:rPr>
                <w:rFonts w:ascii="Cambria Math" w:hAnsi="Cambria Math"/>
                <w:color w:val="auto"/>
              </w:rPr>
            </m:ctrlPr>
          </m:e>
          <m:sub>
            <m:r>
              <m:rPr/>
              <w:rPr>
                <w:rFonts w:ascii="Cambria Math" w:hAnsi="Cambria Math"/>
                <w:color w:val="auto"/>
              </w:rPr>
              <m:t>tp</m:t>
            </m:r>
            <m:ctrlPr>
              <w:rPr>
                <w:rFonts w:ascii="Cambria Math" w:hAnsi="Cambria Math"/>
                <w:color w:val="auto"/>
              </w:rPr>
            </m:ctrlPr>
          </m:sub>
          <m:sup>
            <m:r>
              <m:rPr/>
              <w:rPr>
                <w:rFonts w:ascii="Cambria Math" w:hAnsi="Cambria Math"/>
                <w:color w:val="auto"/>
              </w:rPr>
              <m:t>t</m:t>
            </m:r>
            <m:ctrlPr>
              <w:rPr>
                <w:rFonts w:ascii="Cambria Math" w:hAnsi="Cambria Math"/>
                <w:color w:val="auto"/>
              </w:rPr>
            </m:ctrlPr>
          </m:sup>
        </m:sSubSup>
        <m:r>
          <m:rPr/>
          <w:rPr>
            <w:rFonts w:hint="eastAsia" w:ascii="Cambria Math" w:hAnsi="Cambria Math"/>
            <w:color w:val="auto"/>
          </w:rPr>
          <m:t>≤</m:t>
        </m:r>
        <m:f>
          <m:fPr>
            <m:type m:val="lin"/>
            <m:ctrlPr>
              <w:rPr>
                <w:rFonts w:ascii="Cambria Math" w:hAnsi="Cambria Math"/>
                <w:i/>
                <w:color w:val="auto"/>
              </w:rPr>
            </m:ctrlPr>
          </m:fPr>
          <m:num>
            <m:r>
              <m:rPr/>
              <w:rPr>
                <w:rFonts w:ascii="Cambria Math" w:hAnsi="Cambria Math"/>
                <w:color w:val="auto"/>
              </w:rPr>
              <m:t>0.25</m:t>
            </m:r>
            <m:sSubSup>
              <m:sSubSupPr>
                <m:ctrlPr>
                  <w:rPr>
                    <w:rFonts w:ascii="Cambria Math" w:hAnsi="Cambria Math"/>
                    <w:i/>
                    <w:color w:val="auto"/>
                  </w:rPr>
                </m:ctrlPr>
              </m:sSubSupPr>
              <m:e>
                <m:r>
                  <m:rPr/>
                  <w:rPr>
                    <w:rFonts w:ascii="Cambria Math" w:hAnsi="Cambria Math"/>
                    <w:color w:val="auto"/>
                  </w:rPr>
                  <m:t>f</m:t>
                </m:r>
                <m:ctrlPr>
                  <w:rPr>
                    <w:rFonts w:ascii="Cambria Math" w:hAnsi="Cambria Math"/>
                    <w:i/>
                    <w:color w:val="auto"/>
                  </w:rPr>
                </m:ctrlPr>
              </m:e>
              <m:sub>
                <m:r>
                  <m:rPr/>
                  <w:rPr>
                    <w:rFonts w:ascii="Cambria Math" w:hAnsi="Cambria Math"/>
                    <w:color w:val="auto"/>
                  </w:rPr>
                  <m:t>tk</m:t>
                </m:r>
                <m:ctrlPr>
                  <w:rPr>
                    <w:rFonts w:ascii="Cambria Math" w:hAnsi="Cambria Math"/>
                    <w:i/>
                    <w:color w:val="auto"/>
                  </w:rPr>
                </m:ctrlPr>
              </m:sub>
              <m:sup>
                <m:r>
                  <m:rPr/>
                  <w:rPr>
                    <w:rFonts w:hint="eastAsia" w:ascii="Cambria Math" w:hAnsi="Cambria Math"/>
                    <w:color w:val="auto"/>
                  </w:rPr>
                  <m:t>'</m:t>
                </m:r>
                <m:ctrlPr>
                  <w:rPr>
                    <w:rFonts w:ascii="Cambria Math" w:hAnsi="Cambria Math"/>
                    <w:i/>
                    <w:color w:val="auto"/>
                  </w:rPr>
                </m:ctrlPr>
              </m:sup>
            </m:sSubSup>
            <m:ctrlPr>
              <w:rPr>
                <w:rFonts w:ascii="Cambria Math" w:hAnsi="Cambria Math"/>
                <w:i/>
                <w:color w:val="auto"/>
              </w:rPr>
            </m:ctrlPr>
          </m:num>
          <m:den>
            <m:sSub>
              <m:sSubPr>
                <m:ctrlPr>
                  <w:rPr>
                    <w:rFonts w:ascii="Cambria Math" w:hAnsi="Cambria Math"/>
                    <w:i/>
                    <w:color w:val="auto"/>
                  </w:rPr>
                </m:ctrlPr>
              </m:sSubPr>
              <m:e>
                <m:r>
                  <m:rPr/>
                  <w:rPr>
                    <w:rFonts w:ascii="Cambria Math" w:hAnsi="Cambria Math"/>
                    <w:color w:val="auto"/>
                  </w:rPr>
                  <m:t>K</m:t>
                </m:r>
                <m:ctrlPr>
                  <w:rPr>
                    <w:rFonts w:ascii="Cambria Math" w:hAnsi="Cambria Math"/>
                    <w:i/>
                    <w:color w:val="auto"/>
                  </w:rPr>
                </m:ctrlPr>
              </m:e>
              <m:sub>
                <m:r>
                  <m:rPr/>
                  <w:rPr>
                    <w:rFonts w:ascii="Cambria Math" w:hAnsi="Cambria Math"/>
                    <w:color w:val="auto"/>
                  </w:rPr>
                  <m:t>global</m:t>
                </m:r>
                <m:ctrlPr>
                  <w:rPr>
                    <w:rFonts w:ascii="Cambria Math" w:hAnsi="Cambria Math"/>
                    <w:i/>
                    <w:color w:val="auto"/>
                  </w:rPr>
                </m:ctrlPr>
              </m:sub>
            </m:sSub>
            <m:ctrlPr>
              <w:rPr>
                <w:rFonts w:ascii="Cambria Math" w:hAnsi="Cambria Math"/>
                <w:i/>
                <w:color w:val="auto"/>
              </w:rPr>
            </m:ctrlPr>
          </m:den>
        </m:f>
      </m:oMath>
      <w:r>
        <w:rPr>
          <w:rFonts w:hint="eastAsia" w:ascii="Times New Roman" w:hAnsi="Times New Roman" w:eastAsia="宋体"/>
          <w:color w:val="auto"/>
          <w:szCs w:val="21"/>
        </w:rPr>
        <w:t>的条件，该区段的主拉应力全部由超高性能混凝土承受，此时可不设置抗剪钢筋。</w:t>
      </w:r>
      <w:r>
        <w:rPr>
          <w:rFonts w:ascii="Times New Roman" w:hAnsi="Times New Roman" w:eastAsia="宋体"/>
          <w:color w:val="auto"/>
          <w:szCs w:val="21"/>
        </w:rPr>
        <w:t xml:space="preserve"> </w:t>
      </w:r>
    </w:p>
    <w:p w14:paraId="4F263C23">
      <w:pPr>
        <w:spacing w:line="360" w:lineRule="auto"/>
        <w:ind w:firstLine="422" w:firstLineChars="200"/>
        <w:rPr>
          <w:rFonts w:ascii="Times New Roman" w:hAnsi="Times New Roman" w:eastAsia="宋体"/>
          <w:color w:val="auto"/>
          <w:szCs w:val="21"/>
        </w:rPr>
      </w:pPr>
      <w:r>
        <w:rPr>
          <w:rFonts w:ascii="Times New Roman" w:hAnsi="Times New Roman" w:eastAsia="宋体"/>
          <w:b/>
          <w:color w:val="auto"/>
          <w:szCs w:val="21"/>
        </w:rPr>
        <w:t>2</w:t>
      </w:r>
      <w:r>
        <w:rPr>
          <w:rFonts w:ascii="Times New Roman" w:hAnsi="Times New Roman" w:eastAsia="宋体"/>
          <w:color w:val="auto"/>
          <w:szCs w:val="21"/>
        </w:rPr>
        <w:t xml:space="preserve"> </w:t>
      </w:r>
      <w:r>
        <w:rPr>
          <w:rFonts w:hint="eastAsia" w:ascii="Times New Roman" w:hAnsi="Times New Roman" w:eastAsia="宋体"/>
          <w:color w:val="auto"/>
          <w:szCs w:val="21"/>
        </w:rPr>
        <w:t>若不满足</w:t>
      </w:r>
      <m:oMath>
        <m:sSubSup>
          <m:sSubSupPr>
            <m:ctrlPr>
              <w:rPr>
                <w:rFonts w:ascii="Cambria Math" w:hAnsi="Cambria Math"/>
                <w:color w:val="auto"/>
              </w:rPr>
            </m:ctrlPr>
          </m:sSubSupPr>
          <m:e>
            <m:r>
              <m:rPr/>
              <w:rPr>
                <w:rFonts w:ascii="Cambria Math" w:hAnsi="Cambria Math"/>
                <w:color w:val="auto"/>
              </w:rPr>
              <m:t>σ</m:t>
            </m:r>
            <m:ctrlPr>
              <w:rPr>
                <w:rFonts w:ascii="Cambria Math" w:hAnsi="Cambria Math"/>
                <w:color w:val="auto"/>
              </w:rPr>
            </m:ctrlPr>
          </m:e>
          <m:sub>
            <m:r>
              <m:rPr/>
              <w:rPr>
                <w:rFonts w:ascii="Cambria Math" w:hAnsi="Cambria Math"/>
                <w:color w:val="auto"/>
              </w:rPr>
              <m:t>tp</m:t>
            </m:r>
            <m:ctrlPr>
              <w:rPr>
                <w:rFonts w:ascii="Cambria Math" w:hAnsi="Cambria Math"/>
                <w:color w:val="auto"/>
              </w:rPr>
            </m:ctrlPr>
          </m:sub>
          <m:sup>
            <m:r>
              <m:rPr/>
              <w:rPr>
                <w:rFonts w:ascii="Cambria Math" w:hAnsi="Cambria Math"/>
                <w:color w:val="auto"/>
              </w:rPr>
              <m:t>t</m:t>
            </m:r>
            <m:ctrlPr>
              <w:rPr>
                <w:rFonts w:ascii="Cambria Math" w:hAnsi="Cambria Math"/>
                <w:color w:val="auto"/>
              </w:rPr>
            </m:ctrlPr>
          </m:sup>
        </m:sSubSup>
        <m:r>
          <m:rPr/>
          <w:rPr>
            <w:rFonts w:hint="eastAsia" w:ascii="Cambria Math" w:hAnsi="Cambria Math"/>
            <w:color w:val="auto"/>
          </w:rPr>
          <m:t>≤</m:t>
        </m:r>
        <m:f>
          <m:fPr>
            <m:type m:val="lin"/>
            <m:ctrlPr>
              <w:rPr>
                <w:rFonts w:ascii="Cambria Math" w:hAnsi="Cambria Math"/>
                <w:i/>
                <w:color w:val="auto"/>
              </w:rPr>
            </m:ctrlPr>
          </m:fPr>
          <m:num>
            <m:r>
              <m:rPr/>
              <w:rPr>
                <w:rFonts w:ascii="Cambria Math" w:hAnsi="Cambria Math"/>
                <w:color w:val="auto"/>
              </w:rPr>
              <m:t>0.25</m:t>
            </m:r>
            <m:sSubSup>
              <m:sSubSupPr>
                <m:ctrlPr>
                  <w:rPr>
                    <w:rFonts w:ascii="Cambria Math" w:hAnsi="Cambria Math"/>
                    <w:i/>
                    <w:color w:val="auto"/>
                  </w:rPr>
                </m:ctrlPr>
              </m:sSubSupPr>
              <m:e>
                <m:r>
                  <m:rPr/>
                  <w:rPr>
                    <w:rFonts w:ascii="Cambria Math" w:hAnsi="Cambria Math"/>
                    <w:color w:val="auto"/>
                  </w:rPr>
                  <m:t>f</m:t>
                </m:r>
                <m:ctrlPr>
                  <w:rPr>
                    <w:rFonts w:ascii="Cambria Math" w:hAnsi="Cambria Math"/>
                    <w:i/>
                    <w:color w:val="auto"/>
                  </w:rPr>
                </m:ctrlPr>
              </m:e>
              <m:sub>
                <m:r>
                  <m:rPr/>
                  <w:rPr>
                    <w:rFonts w:ascii="Cambria Math" w:hAnsi="Cambria Math"/>
                    <w:color w:val="auto"/>
                  </w:rPr>
                  <m:t>tk</m:t>
                </m:r>
                <m:ctrlPr>
                  <w:rPr>
                    <w:rFonts w:ascii="Cambria Math" w:hAnsi="Cambria Math"/>
                    <w:i/>
                    <w:color w:val="auto"/>
                  </w:rPr>
                </m:ctrlPr>
              </m:sub>
              <m:sup>
                <m:r>
                  <m:rPr/>
                  <w:rPr>
                    <w:rFonts w:hint="eastAsia" w:ascii="Cambria Math" w:hAnsi="Cambria Math"/>
                    <w:color w:val="auto"/>
                  </w:rPr>
                  <m:t>'</m:t>
                </m:r>
                <m:ctrlPr>
                  <w:rPr>
                    <w:rFonts w:ascii="Cambria Math" w:hAnsi="Cambria Math"/>
                    <w:i/>
                    <w:color w:val="auto"/>
                  </w:rPr>
                </m:ctrlPr>
              </m:sup>
            </m:sSubSup>
            <m:ctrlPr>
              <w:rPr>
                <w:rFonts w:ascii="Cambria Math" w:hAnsi="Cambria Math"/>
                <w:i/>
                <w:color w:val="auto"/>
              </w:rPr>
            </m:ctrlPr>
          </m:num>
          <m:den>
            <m:sSub>
              <m:sSubPr>
                <m:ctrlPr>
                  <w:rPr>
                    <w:rFonts w:ascii="Cambria Math" w:hAnsi="Cambria Math"/>
                    <w:i/>
                    <w:color w:val="auto"/>
                  </w:rPr>
                </m:ctrlPr>
              </m:sSubPr>
              <m:e>
                <m:r>
                  <m:rPr/>
                  <w:rPr>
                    <w:rFonts w:ascii="Cambria Math" w:hAnsi="Cambria Math"/>
                    <w:color w:val="auto"/>
                  </w:rPr>
                  <m:t>K</m:t>
                </m:r>
                <m:ctrlPr>
                  <w:rPr>
                    <w:rFonts w:ascii="Cambria Math" w:hAnsi="Cambria Math"/>
                    <w:i/>
                    <w:color w:val="auto"/>
                  </w:rPr>
                </m:ctrlPr>
              </m:e>
              <m:sub>
                <m:r>
                  <m:rPr/>
                  <w:rPr>
                    <w:rFonts w:ascii="Cambria Math" w:hAnsi="Cambria Math"/>
                    <w:color w:val="auto"/>
                  </w:rPr>
                  <m:t>global</m:t>
                </m:r>
                <m:ctrlPr>
                  <w:rPr>
                    <w:rFonts w:ascii="Cambria Math" w:hAnsi="Cambria Math"/>
                    <w:i/>
                    <w:color w:val="auto"/>
                  </w:rPr>
                </m:ctrlPr>
              </m:sub>
            </m:sSub>
            <m:ctrlPr>
              <w:rPr>
                <w:rFonts w:ascii="Cambria Math" w:hAnsi="Cambria Math"/>
                <w:i/>
                <w:color w:val="auto"/>
              </w:rPr>
            </m:ctrlPr>
          </m:den>
        </m:f>
      </m:oMath>
      <w:r>
        <w:rPr>
          <w:rFonts w:hint="eastAsia" w:ascii="Times New Roman" w:hAnsi="Times New Roman" w:eastAsia="宋体"/>
          <w:color w:val="auto"/>
          <w:szCs w:val="21"/>
        </w:rPr>
        <w:t>的条件，该区段的主拉应力全部由超高性能混凝土和箍筋共同承受，箍筋的间距应满足下列要求。</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42"/>
        <w:gridCol w:w="583"/>
        <w:gridCol w:w="4027"/>
        <w:gridCol w:w="2170"/>
      </w:tblGrid>
      <w:tr w14:paraId="267B0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4" w:type="pct"/>
            <w:gridSpan w:val="2"/>
            <w:vAlign w:val="center"/>
          </w:tcPr>
          <w:p w14:paraId="08DDFD49">
            <w:pPr>
              <w:spacing w:line="360" w:lineRule="auto"/>
              <w:rPr>
                <w:rFonts w:ascii="Times New Roman" w:hAnsi="Times New Roman" w:eastAsia="宋体" w:cs="Times New Roman"/>
                <w:color w:val="auto"/>
                <w:szCs w:val="21"/>
              </w:rPr>
            </w:pPr>
          </w:p>
        </w:tc>
        <w:tc>
          <w:tcPr>
            <w:tcW w:w="2363" w:type="pct"/>
            <w:vAlign w:val="center"/>
          </w:tcPr>
          <w:p w14:paraId="474A8295">
            <w:pPr>
              <w:spacing w:line="360" w:lineRule="auto"/>
              <w:jc w:val="center"/>
              <w:rPr>
                <w:rFonts w:ascii="Times New Roman" w:hAnsi="Times New Roman" w:eastAsia="宋体"/>
                <w:color w:val="auto"/>
                <w:szCs w:val="21"/>
              </w:rPr>
            </w:pPr>
            <m:oMathPara>
              <m:oMath>
                <m:sSub>
                  <m:sSubPr>
                    <m:ctrlPr>
                      <w:rPr>
                        <w:rFonts w:ascii="Cambria Math" w:hAnsi="Cambria Math"/>
                        <w:i/>
                        <w:color w:val="auto"/>
                      </w:rPr>
                    </m:ctrlPr>
                  </m:sSubPr>
                  <m:e>
                    <m:r>
                      <m:rPr/>
                      <w:rPr>
                        <w:rFonts w:ascii="Cambria Math" w:hAnsi="Cambria Math"/>
                        <w:color w:val="auto"/>
                      </w:rPr>
                      <m:t>s</m:t>
                    </m:r>
                    <m:ctrlPr>
                      <w:rPr>
                        <w:rFonts w:ascii="Cambria Math" w:hAnsi="Cambria Math"/>
                        <w:i/>
                        <w:color w:val="auto"/>
                      </w:rPr>
                    </m:ctrlPr>
                  </m:e>
                  <m:sub>
                    <m:r>
                      <m:rPr/>
                      <w:rPr>
                        <w:rFonts w:ascii="Cambria Math" w:hAnsi="Cambria Math"/>
                        <w:color w:val="auto"/>
                      </w:rPr>
                      <m:t>v</m:t>
                    </m:r>
                    <m:ctrlPr>
                      <w:rPr>
                        <w:rFonts w:ascii="Cambria Math" w:hAnsi="Cambria Math"/>
                        <w:i/>
                        <w:color w:val="auto"/>
                      </w:rPr>
                    </m:ctrlPr>
                  </m:sub>
                </m:sSub>
                <m:r>
                  <m:rPr/>
                  <w:rPr>
                    <w:rFonts w:hint="eastAsia" w:ascii="Cambria Math" w:hAnsi="Cambria Math"/>
                    <w:color w:val="auto"/>
                  </w:rPr>
                  <m:t>≤</m:t>
                </m:r>
                <m:f>
                  <m:fPr>
                    <m:ctrlPr>
                      <w:rPr>
                        <w:rFonts w:ascii="Cambria Math" w:hAnsi="Cambria Math"/>
                        <w:i/>
                        <w:color w:val="auto"/>
                      </w:rPr>
                    </m:ctrlPr>
                  </m:fPr>
                  <m:num>
                    <m:d>
                      <m:dPr>
                        <m:begChr m:val="["/>
                        <m:endChr m:val="]"/>
                        <m:ctrlPr>
                          <w:rPr>
                            <w:rFonts w:ascii="Cambria Math" w:hAnsi="Cambria Math"/>
                            <w:i/>
                            <w:color w:val="auto"/>
                          </w:rPr>
                        </m:ctrlPr>
                      </m:dPr>
                      <m:e>
                        <m:sSubSup>
                          <m:sSubSupPr>
                            <m:ctrlPr>
                              <w:rPr>
                                <w:rFonts w:ascii="Cambria Math" w:hAnsi="Cambria Math"/>
                                <w:i/>
                                <w:color w:val="auto"/>
                              </w:rPr>
                            </m:ctrlPr>
                          </m:sSubSupPr>
                          <m:e>
                            <m:r>
                              <m:rPr/>
                              <w:rPr>
                                <w:rFonts w:ascii="Cambria Math" w:hAnsi="Cambria Math"/>
                                <w:color w:val="auto"/>
                              </w:rPr>
                              <m:t>σ</m:t>
                            </m:r>
                            <m:ctrlPr>
                              <w:rPr>
                                <w:rFonts w:ascii="Cambria Math" w:hAnsi="Cambria Math"/>
                                <w:i/>
                                <w:color w:val="auto"/>
                              </w:rPr>
                            </m:ctrlPr>
                          </m:e>
                          <m:sub>
                            <m:r>
                              <m:rPr/>
                              <w:rPr>
                                <w:rFonts w:ascii="Cambria Math" w:hAnsi="Cambria Math"/>
                                <w:color w:val="auto"/>
                              </w:rPr>
                              <m:t>s</m:t>
                            </m:r>
                            <m:ctrlPr>
                              <w:rPr>
                                <w:rFonts w:ascii="Cambria Math" w:hAnsi="Cambria Math"/>
                                <w:i/>
                                <w:color w:val="auto"/>
                              </w:rPr>
                            </m:ctrlPr>
                          </m:sub>
                          <m:sup>
                            <m:r>
                              <m:rPr/>
                              <w:rPr>
                                <w:rFonts w:ascii="Cambria Math" w:hAnsi="Cambria Math"/>
                                <w:color w:val="auto"/>
                              </w:rPr>
                              <m:t>t</m:t>
                            </m:r>
                            <m:ctrlPr>
                              <w:rPr>
                                <w:rFonts w:ascii="Cambria Math" w:hAnsi="Cambria Math"/>
                                <w:i/>
                                <w:color w:val="auto"/>
                              </w:rPr>
                            </m:ctrlPr>
                          </m:sup>
                        </m:sSubSup>
                        <m:ctrlPr>
                          <w:rPr>
                            <w:rFonts w:ascii="Cambria Math" w:hAnsi="Cambria Math"/>
                            <w:i/>
                            <w:color w:val="auto"/>
                          </w:rPr>
                        </m:ctrlPr>
                      </m:e>
                    </m:d>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sv</m:t>
                        </m:r>
                        <m:ctrlPr>
                          <w:rPr>
                            <w:rFonts w:ascii="Cambria Math" w:hAnsi="Cambria Math"/>
                            <w:i/>
                            <w:color w:val="auto"/>
                          </w:rPr>
                        </m:ctrlPr>
                      </m:sub>
                    </m:sSub>
                    <m:ctrlPr>
                      <w:rPr>
                        <w:rFonts w:ascii="Cambria Math" w:hAnsi="Cambria Math"/>
                        <w:i/>
                        <w:color w:val="auto"/>
                      </w:rPr>
                    </m:ctrlPr>
                  </m:num>
                  <m:den>
                    <m:sSubSup>
                      <m:sSubSupPr>
                        <m:ctrlPr>
                          <w:rPr>
                            <w:rFonts w:ascii="Cambria Math" w:hAnsi="Cambria Math"/>
                            <w:i/>
                            <w:color w:val="auto"/>
                          </w:rPr>
                        </m:ctrlPr>
                      </m:sSubSupPr>
                      <m:e>
                        <m:r>
                          <m:rPr/>
                          <w:rPr>
                            <w:rFonts w:ascii="Cambria Math" w:hAnsi="Cambria Math"/>
                            <w:color w:val="auto"/>
                          </w:rPr>
                          <m:t>σ</m:t>
                        </m:r>
                        <m:ctrlPr>
                          <w:rPr>
                            <w:rFonts w:ascii="Cambria Math" w:hAnsi="Cambria Math"/>
                            <w:i/>
                            <w:color w:val="auto"/>
                          </w:rPr>
                        </m:ctrlPr>
                      </m:e>
                      <m:sub>
                        <m:r>
                          <m:rPr/>
                          <w:rPr>
                            <w:rFonts w:ascii="Cambria Math" w:hAnsi="Cambria Math"/>
                            <w:color w:val="auto"/>
                          </w:rPr>
                          <m:t>tp</m:t>
                        </m:r>
                        <m:ctrlPr>
                          <w:rPr>
                            <w:rFonts w:ascii="Cambria Math" w:hAnsi="Cambria Math"/>
                            <w:i/>
                            <w:color w:val="auto"/>
                          </w:rPr>
                        </m:ctrlPr>
                      </m:sub>
                      <m:sup>
                        <m:r>
                          <m:rPr/>
                          <w:rPr>
                            <w:rFonts w:ascii="Cambria Math" w:hAnsi="Cambria Math"/>
                            <w:color w:val="auto"/>
                          </w:rPr>
                          <m:t>t</m:t>
                        </m:r>
                        <m:ctrlPr>
                          <w:rPr>
                            <w:rFonts w:ascii="Cambria Math" w:hAnsi="Cambria Math"/>
                            <w:i/>
                            <w:color w:val="auto"/>
                          </w:rPr>
                        </m:ctrlPr>
                      </m:sup>
                    </m:sSubSup>
                    <m:r>
                      <m:rPr/>
                      <w:rPr>
                        <w:rFonts w:ascii="Cambria Math" w:hAnsi="Cambria Math"/>
                        <w:color w:val="auto"/>
                      </w:rPr>
                      <m:t>b</m:t>
                    </m:r>
                    <m:ctrlPr>
                      <w:rPr>
                        <w:rFonts w:ascii="Cambria Math" w:hAnsi="Cambria Math"/>
                        <w:i/>
                        <w:color w:val="auto"/>
                      </w:rPr>
                    </m:ctrlPr>
                  </m:den>
                </m:f>
              </m:oMath>
            </m:oMathPara>
          </w:p>
        </w:tc>
        <w:tc>
          <w:tcPr>
            <w:tcW w:w="1273" w:type="pct"/>
            <w:vAlign w:val="center"/>
          </w:tcPr>
          <w:p w14:paraId="1080564A">
            <w:pPr>
              <w:spacing w:line="360" w:lineRule="auto"/>
              <w:jc w:val="right"/>
              <w:rPr>
                <w:rFonts w:ascii="Times New Roman" w:hAnsi="Times New Roman" w:eastAsia="宋体"/>
                <w:color w:val="auto"/>
                <w:szCs w:val="21"/>
              </w:rPr>
            </w:pPr>
            <w:r>
              <w:rPr>
                <w:rFonts w:ascii="Times New Roman" w:hAnsi="Times New Roman" w:eastAsia="宋体"/>
                <w:color w:val="auto"/>
                <w:szCs w:val="21"/>
              </w:rPr>
              <w:t>(7.2.4)</w:t>
            </w:r>
          </w:p>
        </w:tc>
      </w:tr>
      <w:tr w14:paraId="61B76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tcPr>
          <w:p w14:paraId="5886A865">
            <w:pPr>
              <w:wordWrap w:val="0"/>
              <w:spacing w:line="360" w:lineRule="auto"/>
              <w:jc w:val="right"/>
              <w:rPr>
                <w:rFonts w:ascii="Times New Roman" w:hAnsi="Times New Roman" w:eastAsia="宋体"/>
                <w:color w:val="auto"/>
                <w:szCs w:val="21"/>
              </w:rPr>
            </w:pPr>
            <w:r>
              <w:rPr>
                <w:rFonts w:hint="eastAsia" w:ascii="Times New Roman" w:hAnsi="Times New Roman" w:eastAsia="宋体"/>
                <w:color w:val="auto"/>
                <w:szCs w:val="21"/>
              </w:rPr>
              <w:t>式中：</w:t>
            </w:r>
            <w:r>
              <w:rPr>
                <w:rFonts w:ascii="Times New Roman" w:hAnsi="Times New Roman" w:eastAsia="宋体"/>
                <w:color w:val="auto"/>
                <w:szCs w:val="21"/>
              </w:rPr>
              <w:t xml:space="preserve">    </w:t>
            </w:r>
            <m:oMath>
              <m:d>
                <m:dPr>
                  <m:begChr m:val="["/>
                  <m:endChr m:val="]"/>
                  <m:ctrlPr>
                    <w:rPr>
                      <w:rFonts w:ascii="Cambria Math" w:hAnsi="Cambria Math"/>
                      <w:i/>
                      <w:color w:val="auto"/>
                    </w:rPr>
                  </m:ctrlPr>
                </m:dPr>
                <m:e>
                  <m:sSubSup>
                    <m:sSubSupPr>
                      <m:ctrlPr>
                        <w:rPr>
                          <w:rFonts w:ascii="Cambria Math" w:hAnsi="Cambria Math"/>
                          <w:i/>
                          <w:color w:val="auto"/>
                        </w:rPr>
                      </m:ctrlPr>
                    </m:sSubSupPr>
                    <m:e>
                      <m:r>
                        <m:rPr/>
                        <w:rPr>
                          <w:rFonts w:ascii="Cambria Math" w:hAnsi="Cambria Math"/>
                          <w:color w:val="auto"/>
                        </w:rPr>
                        <m:t>σ</m:t>
                      </m:r>
                      <m:ctrlPr>
                        <w:rPr>
                          <w:rFonts w:ascii="Cambria Math" w:hAnsi="Cambria Math"/>
                          <w:i/>
                          <w:color w:val="auto"/>
                        </w:rPr>
                      </m:ctrlPr>
                    </m:e>
                    <m:sub>
                      <m:r>
                        <m:rPr/>
                        <w:rPr>
                          <w:rFonts w:ascii="Cambria Math" w:hAnsi="Cambria Math"/>
                          <w:color w:val="auto"/>
                        </w:rPr>
                        <m:t>s</m:t>
                      </m:r>
                      <m:ctrlPr>
                        <w:rPr>
                          <w:rFonts w:ascii="Cambria Math" w:hAnsi="Cambria Math"/>
                          <w:i/>
                          <w:color w:val="auto"/>
                        </w:rPr>
                      </m:ctrlPr>
                    </m:sub>
                    <m:sup>
                      <m:r>
                        <m:rPr/>
                        <w:rPr>
                          <w:rFonts w:ascii="Cambria Math" w:hAnsi="Cambria Math"/>
                          <w:color w:val="auto"/>
                        </w:rPr>
                        <m:t>t</m:t>
                      </m:r>
                      <m:ctrlPr>
                        <w:rPr>
                          <w:rFonts w:ascii="Cambria Math" w:hAnsi="Cambria Math"/>
                          <w:i/>
                          <w:color w:val="auto"/>
                        </w:rPr>
                      </m:ctrlPr>
                    </m:sup>
                  </m:sSubSup>
                  <m:ctrlPr>
                    <w:rPr>
                      <w:rFonts w:ascii="Cambria Math" w:hAnsi="Cambria Math"/>
                      <w:i/>
                      <w:color w:val="auto"/>
                    </w:rPr>
                  </m:ctrlPr>
                </m:e>
              </m:d>
            </m:oMath>
          </w:p>
        </w:tc>
        <w:tc>
          <w:tcPr>
            <w:tcW w:w="3978" w:type="pct"/>
            <w:gridSpan w:val="3"/>
          </w:tcPr>
          <w:p w14:paraId="40F71397">
            <w:pPr>
              <w:spacing w:line="360" w:lineRule="auto"/>
              <w:rPr>
                <w:rFonts w:ascii="Times New Roman" w:hAnsi="Times New Roman" w:eastAsia="宋体"/>
                <w:color w:val="auto"/>
                <w:szCs w:val="21"/>
              </w:rPr>
            </w:pPr>
            <w:r>
              <w:rPr>
                <w:rFonts w:hint="eastAsia" w:ascii="Times New Roman" w:hAnsi="Times New Roman" w:eastAsia="宋体"/>
                <w:color w:val="auto"/>
                <w:szCs w:val="21"/>
              </w:rPr>
              <w:t>——短暂状况时钢筋的应力限值，可取</w:t>
            </w:r>
            <m:oMath>
              <m:r>
                <m:rPr>
                  <m:sty m:val="p"/>
                </m:rPr>
                <w:rPr>
                  <w:rFonts w:ascii="Cambria Math" w:hAnsi="Cambria Math"/>
                  <w:color w:val="auto"/>
                </w:rPr>
                <m:t>0.75</m:t>
              </m:r>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sk</m:t>
                  </m:r>
                  <m:ctrlPr>
                    <w:rPr>
                      <w:rFonts w:ascii="Cambria Math" w:hAnsi="Cambria Math"/>
                      <w:color w:val="auto"/>
                    </w:rPr>
                  </m:ctrlPr>
                </m:sub>
              </m:sSub>
            </m:oMath>
            <w:r>
              <w:rPr>
                <w:rFonts w:hint="eastAsia" w:ascii="Times New Roman" w:hAnsi="Times New Roman" w:eastAsia="宋体"/>
                <w:color w:val="auto"/>
                <w:szCs w:val="21"/>
              </w:rPr>
              <w:t>（</w:t>
            </w:r>
            <w:r>
              <w:rPr>
                <w:rFonts w:ascii="Times New Roman" w:hAnsi="Times New Roman" w:eastAsia="宋体"/>
                <w:color w:val="auto"/>
                <w:szCs w:val="21"/>
              </w:rPr>
              <w:t>N/mm</w:t>
            </w:r>
            <w:r>
              <w:rPr>
                <w:rFonts w:ascii="Times New Roman" w:hAnsi="Times New Roman" w:eastAsia="宋体"/>
                <w:color w:val="auto"/>
                <w:szCs w:val="21"/>
                <w:vertAlign w:val="superscript"/>
              </w:rPr>
              <w:t>2</w:t>
            </w:r>
            <w:r>
              <w:rPr>
                <w:rFonts w:hint="eastAsia" w:ascii="Times New Roman" w:hAnsi="Times New Roman" w:eastAsia="宋体"/>
                <w:color w:val="auto"/>
                <w:szCs w:val="21"/>
              </w:rPr>
              <w:t>）；</w:t>
            </w:r>
          </w:p>
        </w:tc>
      </w:tr>
      <w:tr w14:paraId="561AD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2" w:type="pct"/>
          </w:tcPr>
          <w:p w14:paraId="54E0A7AD">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sv</m:t>
                    </m:r>
                    <m:ctrlPr>
                      <w:rPr>
                        <w:rFonts w:ascii="Cambria Math" w:hAnsi="Cambria Math"/>
                        <w:i/>
                        <w:color w:val="auto"/>
                      </w:rPr>
                    </m:ctrlPr>
                  </m:sub>
                </m:sSub>
              </m:oMath>
            </m:oMathPara>
          </w:p>
        </w:tc>
        <w:tc>
          <w:tcPr>
            <w:tcW w:w="3978" w:type="pct"/>
            <w:gridSpan w:val="3"/>
          </w:tcPr>
          <w:p w14:paraId="498D8B03">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——同一截面内箍筋总截面面积（</w:t>
            </w:r>
            <w:r>
              <w:rPr>
                <w:rFonts w:ascii="Times New Roman" w:hAnsi="Times New Roman" w:eastAsia="宋体"/>
                <w:color w:val="auto"/>
                <w:szCs w:val="21"/>
              </w:rPr>
              <w:t>mm</w:t>
            </w:r>
            <w:r>
              <w:rPr>
                <w:rFonts w:ascii="Times New Roman" w:hAnsi="Times New Roman" w:eastAsia="宋体"/>
                <w:color w:val="auto"/>
                <w:szCs w:val="21"/>
                <w:vertAlign w:val="superscript"/>
              </w:rPr>
              <w:t>2</w:t>
            </w:r>
            <w:r>
              <w:rPr>
                <w:rFonts w:hint="eastAsia" w:ascii="Times New Roman" w:hAnsi="Times New Roman" w:eastAsia="宋体"/>
                <w:color w:val="auto"/>
                <w:szCs w:val="21"/>
              </w:rPr>
              <w:t>）。</w:t>
            </w:r>
          </w:p>
        </w:tc>
      </w:tr>
    </w:tbl>
    <w:p w14:paraId="5E198F1B">
      <w:pPr>
        <w:spacing w:line="360" w:lineRule="auto"/>
        <w:ind w:firstLine="422" w:firstLineChars="200"/>
        <w:rPr>
          <w:rFonts w:ascii="Times New Roman" w:hAnsi="Times New Roman" w:eastAsia="宋体"/>
          <w:color w:val="auto"/>
          <w:szCs w:val="21"/>
        </w:rPr>
      </w:pPr>
      <w:r>
        <w:rPr>
          <w:rFonts w:ascii="Times New Roman" w:hAnsi="Times New Roman" w:eastAsia="宋体"/>
          <w:b/>
          <w:color w:val="auto"/>
          <w:szCs w:val="21"/>
        </w:rPr>
        <w:t>3</w:t>
      </w:r>
      <w:r>
        <w:rPr>
          <w:rFonts w:ascii="Times New Roman" w:hAnsi="Times New Roman" w:eastAsia="宋体"/>
          <w:color w:val="auto"/>
          <w:szCs w:val="21"/>
        </w:rPr>
        <w:t xml:space="preserve"> </w:t>
      </w:r>
      <w:r>
        <w:rPr>
          <w:rFonts w:hint="eastAsia" w:ascii="Times New Roman" w:hAnsi="Times New Roman" w:eastAsia="宋体"/>
          <w:color w:val="auto"/>
          <w:szCs w:val="21"/>
        </w:rPr>
        <w:t>按本条计算的箍筋用量少于按斜截面抗剪承载力计算的箍筋用量时，箍筋用量应采用两者较大值。</w:t>
      </w:r>
    </w:p>
    <w:p w14:paraId="1593D893">
      <w:pPr>
        <w:rPr>
          <w:rFonts w:hint="eastAsia" w:ascii="微软雅黑" w:hAnsi="微软雅黑" w:eastAsia="微软雅黑" w:cs="宋体"/>
          <w:b/>
          <w:color w:val="auto"/>
          <w:kern w:val="0"/>
          <w:sz w:val="28"/>
          <w:szCs w:val="30"/>
        </w:rPr>
      </w:pPr>
      <w:r>
        <w:rPr>
          <w:rFonts w:hint="eastAsia" w:ascii="微软雅黑" w:hAnsi="微软雅黑" w:eastAsia="微软雅黑" w:cs="宋体"/>
          <w:b/>
          <w:color w:val="auto"/>
          <w:kern w:val="0"/>
          <w:sz w:val="28"/>
          <w:szCs w:val="30"/>
        </w:rPr>
        <w:br w:type="page"/>
      </w:r>
    </w:p>
    <w:p w14:paraId="63E84A1B">
      <w:pPr>
        <w:pStyle w:val="2"/>
        <w:spacing w:before="312" w:after="312"/>
        <w:rPr>
          <w:rFonts w:ascii="Times New Roman" w:hAnsi="Times New Roman"/>
          <w:color w:val="auto"/>
        </w:rPr>
      </w:pPr>
      <w:bookmarkStart w:id="98" w:name="_Toc16045"/>
      <w:bookmarkStart w:id="99" w:name="_Toc7391"/>
      <w:bookmarkStart w:id="100" w:name="_Toc16384"/>
      <w:r>
        <w:rPr>
          <w:rFonts w:ascii="Times New Roman" w:hAnsi="Times New Roman"/>
          <w:color w:val="auto"/>
        </w:rPr>
        <w:t>8  构造要求</w:t>
      </w:r>
      <w:bookmarkEnd w:id="98"/>
      <w:bookmarkEnd w:id="99"/>
      <w:bookmarkEnd w:id="100"/>
    </w:p>
    <w:p w14:paraId="616FCB51">
      <w:pPr>
        <w:pStyle w:val="3"/>
        <w:rPr>
          <w:color w:val="auto"/>
        </w:rPr>
      </w:pPr>
      <w:bookmarkStart w:id="101" w:name="_Toc26697"/>
      <w:bookmarkStart w:id="102" w:name="_Toc16969"/>
      <w:bookmarkStart w:id="103" w:name="_Toc32045"/>
      <w:r>
        <w:rPr>
          <w:color w:val="auto"/>
        </w:rPr>
        <w:t>8</w:t>
      </w:r>
      <w:r>
        <w:rPr>
          <w:rFonts w:hint="eastAsia"/>
          <w:color w:val="auto"/>
        </w:rPr>
        <w:t>.1  一般规定</w:t>
      </w:r>
      <w:bookmarkEnd w:id="101"/>
      <w:bookmarkEnd w:id="102"/>
      <w:bookmarkEnd w:id="103"/>
    </w:p>
    <w:p w14:paraId="18D7D6A4">
      <w:pPr>
        <w:numPr>
          <w:ilvl w:val="2"/>
          <w:numId w:val="0"/>
        </w:numPr>
        <w:spacing w:line="360" w:lineRule="auto"/>
        <w:outlineLvl w:val="2"/>
        <w:rPr>
          <w:rFonts w:ascii="Times New Roman" w:hAnsi="Times New Roman" w:eastAsia="宋体"/>
          <w:color w:val="auto"/>
          <w:szCs w:val="21"/>
        </w:rPr>
      </w:pPr>
      <w:r>
        <w:rPr>
          <w:rFonts w:ascii="Times New Roman" w:hAnsi="Times New Roman" w:eastAsia="宋体"/>
          <w:b/>
          <w:color w:val="auto"/>
          <w:szCs w:val="21"/>
        </w:rPr>
        <w:t>8</w:t>
      </w:r>
      <w:r>
        <w:rPr>
          <w:rFonts w:hint="eastAsia" w:ascii="Times New Roman" w:hAnsi="Times New Roman" w:eastAsia="宋体"/>
          <w:b/>
          <w:color w:val="auto"/>
          <w:szCs w:val="21"/>
        </w:rPr>
        <w:t xml:space="preserve">.1.1  </w:t>
      </w:r>
      <w:r>
        <w:rPr>
          <w:rFonts w:hint="eastAsia" w:ascii="Times New Roman" w:hAnsi="Times New Roman" w:eastAsia="宋体"/>
          <w:color w:val="auto"/>
          <w:szCs w:val="21"/>
        </w:rPr>
        <w:t>超高性能混凝土-普通混凝土组合式盖板结构的一般构造如图</w:t>
      </w:r>
      <w:r>
        <w:rPr>
          <w:rFonts w:ascii="Times New Roman" w:hAnsi="Times New Roman" w:eastAsia="宋体"/>
          <w:color w:val="auto"/>
          <w:szCs w:val="21"/>
        </w:rPr>
        <w:t>8.1.1</w:t>
      </w:r>
      <w:r>
        <w:rPr>
          <w:rFonts w:hint="eastAsia" w:ascii="Times New Roman" w:hAnsi="Times New Roman" w:eastAsia="宋体"/>
          <w:color w:val="auto"/>
          <w:szCs w:val="21"/>
        </w:rPr>
        <w:t>所示。</w:t>
      </w:r>
    </w:p>
    <w:tbl>
      <w:tblPr>
        <w:tblStyle w:val="4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14:paraId="08C32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vAlign w:val="center"/>
          </w:tcPr>
          <w:p w14:paraId="2B5220DB">
            <w:pPr>
              <w:jc w:val="center"/>
              <w:rPr>
                <w:rFonts w:ascii="Times New Roman" w:hAnsi="Times New Roman" w:eastAsia="宋体"/>
                <w:color w:val="auto"/>
                <w:szCs w:val="21"/>
              </w:rPr>
            </w:pPr>
            <w:r>
              <w:rPr>
                <w:color w:val="auto"/>
              </w:rPr>
              <w:drawing>
                <wp:inline distT="0" distB="0" distL="114300" distR="114300">
                  <wp:extent cx="4041775" cy="1619885"/>
                  <wp:effectExtent l="0" t="0" r="15875" b="1841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49"/>
                          <a:stretch>
                            <a:fillRect/>
                          </a:stretch>
                        </pic:blipFill>
                        <pic:spPr>
                          <a:xfrm>
                            <a:off x="0" y="0"/>
                            <a:ext cx="4041775" cy="1619885"/>
                          </a:xfrm>
                          <a:prstGeom prst="rect">
                            <a:avLst/>
                          </a:prstGeom>
                          <a:noFill/>
                          <a:ln>
                            <a:noFill/>
                          </a:ln>
                        </pic:spPr>
                      </pic:pic>
                    </a:graphicData>
                  </a:graphic>
                </wp:inline>
              </w:drawing>
            </w:r>
          </w:p>
        </w:tc>
      </w:tr>
      <w:tr w14:paraId="5CDC8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vAlign w:val="center"/>
          </w:tcPr>
          <w:p w14:paraId="4273504D">
            <w:pPr>
              <w:jc w:val="center"/>
              <w:rPr>
                <w:rFonts w:hint="eastAsia" w:eastAsia="黑体" w:asciiTheme="majorHAnsi" w:hAnsiTheme="majorHAnsi" w:cstheme="majorBidi"/>
                <w:color w:val="auto"/>
                <w:sz w:val="18"/>
                <w:szCs w:val="20"/>
              </w:rPr>
            </w:pPr>
            <w:r>
              <w:rPr>
                <w:rFonts w:ascii="Times New Roman" w:hAnsi="Times New Roman" w:eastAsia="黑体" w:cs="Times New Roman"/>
                <w:color w:val="auto"/>
                <w:sz w:val="18"/>
                <w:szCs w:val="20"/>
              </w:rPr>
              <w:t>（a）</w:t>
            </w:r>
            <w:r>
              <w:rPr>
                <w:rFonts w:hint="eastAsia" w:ascii="Times New Roman" w:hAnsi="Times New Roman" w:eastAsia="黑体" w:cs="Times New Roman"/>
                <w:color w:val="auto"/>
                <w:sz w:val="18"/>
                <w:szCs w:val="20"/>
              </w:rPr>
              <w:t>倒</w:t>
            </w:r>
            <w:r>
              <w:rPr>
                <w:rFonts w:ascii="Times New Roman" w:hAnsi="Times New Roman" w:eastAsia="黑体" w:cs="Times New Roman"/>
                <w:color w:val="auto"/>
                <w:sz w:val="18"/>
                <w:szCs w:val="20"/>
              </w:rPr>
              <w:t>“π”形</w:t>
            </w:r>
            <w:r>
              <w:rPr>
                <w:rFonts w:hint="eastAsia" w:ascii="Times New Roman" w:hAnsi="Times New Roman" w:eastAsia="黑体" w:cs="Times New Roman"/>
                <w:color w:val="auto"/>
                <w:sz w:val="18"/>
                <w:szCs w:val="20"/>
              </w:rPr>
              <w:t>组合</w:t>
            </w:r>
            <w:r>
              <w:rPr>
                <w:rFonts w:ascii="Times New Roman" w:hAnsi="Times New Roman" w:eastAsia="黑体" w:cs="Times New Roman"/>
                <w:color w:val="auto"/>
                <w:sz w:val="18"/>
                <w:szCs w:val="20"/>
              </w:rPr>
              <w:t>梁</w:t>
            </w:r>
          </w:p>
        </w:tc>
      </w:tr>
      <w:tr w14:paraId="1DB7E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vAlign w:val="center"/>
          </w:tcPr>
          <w:p w14:paraId="122B2F07">
            <w:pPr>
              <w:jc w:val="center"/>
              <w:rPr>
                <w:rFonts w:ascii="Times New Roman" w:hAnsi="Times New Roman" w:eastAsia="宋体"/>
                <w:color w:val="auto"/>
                <w:szCs w:val="21"/>
              </w:rPr>
            </w:pPr>
            <w:r>
              <w:rPr>
                <w:color w:val="auto"/>
              </w:rPr>
              <w:drawing>
                <wp:inline distT="0" distB="0" distL="114300" distR="114300">
                  <wp:extent cx="2646045" cy="1645285"/>
                  <wp:effectExtent l="0" t="0" r="1905" b="1206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50"/>
                          <a:stretch>
                            <a:fillRect/>
                          </a:stretch>
                        </pic:blipFill>
                        <pic:spPr>
                          <a:xfrm>
                            <a:off x="0" y="0"/>
                            <a:ext cx="2646045" cy="1645285"/>
                          </a:xfrm>
                          <a:prstGeom prst="rect">
                            <a:avLst/>
                          </a:prstGeom>
                          <a:noFill/>
                          <a:ln>
                            <a:noFill/>
                          </a:ln>
                        </pic:spPr>
                      </pic:pic>
                    </a:graphicData>
                  </a:graphic>
                </wp:inline>
              </w:drawing>
            </w:r>
          </w:p>
        </w:tc>
      </w:tr>
      <w:tr w14:paraId="43F18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vAlign w:val="center"/>
          </w:tcPr>
          <w:p w14:paraId="32495FEB">
            <w:pPr>
              <w:jc w:val="center"/>
              <w:rPr>
                <w:rFonts w:hint="eastAsia" w:eastAsia="黑体" w:asciiTheme="majorHAnsi" w:hAnsiTheme="majorHAnsi" w:cstheme="majorBidi"/>
                <w:color w:val="auto"/>
                <w:sz w:val="18"/>
                <w:szCs w:val="20"/>
              </w:rPr>
            </w:pPr>
            <w:r>
              <w:rPr>
                <w:rFonts w:ascii="Times New Roman" w:hAnsi="Times New Roman" w:eastAsia="黑体" w:cs="Times New Roman"/>
                <w:color w:val="auto"/>
                <w:sz w:val="18"/>
                <w:szCs w:val="20"/>
              </w:rPr>
              <w:t>（b）</w:t>
            </w:r>
            <w:r>
              <w:rPr>
                <w:rFonts w:hint="eastAsia" w:ascii="Times New Roman" w:hAnsi="Times New Roman" w:eastAsia="黑体" w:cs="Times New Roman"/>
                <w:color w:val="auto"/>
                <w:sz w:val="18"/>
                <w:szCs w:val="20"/>
              </w:rPr>
              <w:t>倒“</w:t>
            </w:r>
            <w:r>
              <w:rPr>
                <w:rFonts w:ascii="Times New Roman" w:hAnsi="Times New Roman" w:eastAsia="黑体" w:cs="Times New Roman"/>
                <w:color w:val="auto"/>
                <w:sz w:val="18"/>
                <w:szCs w:val="20"/>
              </w:rPr>
              <w:t>T”形组合梁</w:t>
            </w:r>
          </w:p>
        </w:tc>
      </w:tr>
    </w:tbl>
    <w:p w14:paraId="2362C93A">
      <w:pPr>
        <w:spacing w:line="360" w:lineRule="auto"/>
        <w:jc w:val="center"/>
        <w:rPr>
          <w:rFonts w:ascii="Times New Roman" w:hAnsi="Times New Roman" w:eastAsia="黑体" w:cs="Times New Roman"/>
          <w:color w:val="auto"/>
          <w:sz w:val="18"/>
          <w:szCs w:val="20"/>
        </w:rPr>
      </w:pPr>
      <w:r>
        <w:rPr>
          <w:rFonts w:ascii="Times New Roman" w:hAnsi="Times New Roman" w:eastAsia="黑体" w:cs="Times New Roman"/>
          <w:color w:val="auto"/>
          <w:sz w:val="18"/>
          <w:szCs w:val="20"/>
        </w:rPr>
        <w:t>图8.1.1 超高性能混凝土-普通混凝土组合式盖板结构一般构造图</w:t>
      </w:r>
    </w:p>
    <w:p w14:paraId="1FCE70E4">
      <w:pPr>
        <w:numPr>
          <w:ilvl w:val="2"/>
          <w:numId w:val="0"/>
        </w:numPr>
        <w:spacing w:line="360" w:lineRule="auto"/>
        <w:outlineLvl w:val="2"/>
        <w:rPr>
          <w:rFonts w:ascii="Times New Roman" w:hAnsi="Times New Roman" w:eastAsia="宋体"/>
          <w:b/>
          <w:bCs/>
          <w:color w:val="auto"/>
          <w:szCs w:val="21"/>
        </w:rPr>
      </w:pPr>
      <w:r>
        <w:rPr>
          <w:rFonts w:ascii="Times New Roman" w:hAnsi="Times New Roman" w:eastAsia="宋体"/>
          <w:b/>
          <w:color w:val="auto"/>
          <w:szCs w:val="21"/>
        </w:rPr>
        <w:t>8</w:t>
      </w:r>
      <w:r>
        <w:rPr>
          <w:rFonts w:hint="eastAsia" w:ascii="Times New Roman" w:hAnsi="Times New Roman" w:eastAsia="宋体"/>
          <w:b/>
          <w:color w:val="auto"/>
          <w:szCs w:val="21"/>
        </w:rPr>
        <w:t>.1.</w:t>
      </w:r>
      <w:r>
        <w:rPr>
          <w:rFonts w:ascii="Times New Roman" w:hAnsi="Times New Roman" w:eastAsia="宋体"/>
          <w:b/>
          <w:color w:val="auto"/>
          <w:szCs w:val="21"/>
        </w:rPr>
        <w:t>2</w:t>
      </w:r>
      <w:r>
        <w:rPr>
          <w:rFonts w:hint="eastAsia" w:ascii="Times New Roman" w:hAnsi="Times New Roman" w:eastAsia="宋体"/>
          <w:b/>
          <w:color w:val="auto"/>
          <w:szCs w:val="21"/>
        </w:rPr>
        <w:t xml:space="preserve">  </w:t>
      </w:r>
      <w:r>
        <w:rPr>
          <w:rFonts w:hint="eastAsia" w:ascii="Times New Roman" w:hAnsi="Times New Roman" w:eastAsia="宋体"/>
          <w:color w:val="auto"/>
          <w:szCs w:val="21"/>
        </w:rPr>
        <w:t>超高性能混凝土－普通混凝土组合式盖板结构的抗剪连接件宜采用普通钢筋（图</w:t>
      </w:r>
      <w:r>
        <w:rPr>
          <w:rFonts w:ascii="Times New Roman" w:hAnsi="Times New Roman" w:eastAsia="宋体"/>
          <w:b/>
          <w:bCs/>
          <w:color w:val="auto"/>
          <w:szCs w:val="21"/>
        </w:rPr>
        <w:t>8.1.2</w:t>
      </w:r>
      <w:r>
        <w:rPr>
          <w:rFonts w:hint="eastAsia" w:ascii="Times New Roman" w:hAnsi="Times New Roman" w:eastAsia="宋体"/>
          <w:b/>
          <w:bCs/>
          <w:color w:val="auto"/>
          <w:szCs w:val="21"/>
        </w:rPr>
        <w:t>）。</w:t>
      </w:r>
    </w:p>
    <w:tbl>
      <w:tblPr>
        <w:tblStyle w:val="4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95"/>
        <w:gridCol w:w="3901"/>
      </w:tblGrid>
      <w:tr w14:paraId="09455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5" w:type="dxa"/>
          </w:tcPr>
          <w:p w14:paraId="4DCDA4DB">
            <w:pPr>
              <w:jc w:val="center"/>
              <w:rPr>
                <w:rFonts w:ascii="Times New Roman" w:hAnsi="Times New Roman" w:eastAsia="宋体"/>
                <w:b/>
                <w:bCs/>
                <w:color w:val="auto"/>
                <w:szCs w:val="21"/>
              </w:rPr>
            </w:pPr>
            <w:r>
              <w:rPr>
                <w:rFonts w:ascii="Times New Roman" w:hAnsi="Times New Roman" w:eastAsia="宋体"/>
                <w:b/>
                <w:bCs/>
                <w:color w:val="auto"/>
                <w:szCs w:val="21"/>
              </w:rPr>
              <w:drawing>
                <wp:inline distT="0" distB="0" distL="0" distR="0">
                  <wp:extent cx="2413000" cy="1698625"/>
                  <wp:effectExtent l="0" t="0" r="0" b="3175"/>
                  <wp:docPr id="6213435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43529" name="图片 5"/>
                          <pic:cNvPicPr>
                            <a:picLocks noChangeAspect="1"/>
                          </pic:cNvPicPr>
                        </pic:nvPicPr>
                        <pic:blipFill>
                          <a:blip r:embed="rId251">
                            <a:extLst>
                              <a:ext uri="{BEBA8EAE-BF5A-486C-A8C5-ECC9F3942E4B}">
                                <a14:imgProps xmlns:a14="http://schemas.microsoft.com/office/drawing/2010/main">
                                  <a14:imgLayer r:embed="rId252">
                                    <a14:imgEffect>
                                      <a14:artisticPaintStrokes/>
                                    </a14:imgEffect>
                                  </a14:imgLayer>
                                </a14:imgProps>
                              </a:ext>
                            </a:extLst>
                          </a:blip>
                          <a:stretch>
                            <a:fillRect/>
                          </a:stretch>
                        </pic:blipFill>
                        <pic:spPr>
                          <a:xfrm>
                            <a:off x="0" y="0"/>
                            <a:ext cx="2418674" cy="1702623"/>
                          </a:xfrm>
                          <a:prstGeom prst="rect">
                            <a:avLst/>
                          </a:prstGeom>
                        </pic:spPr>
                      </pic:pic>
                    </a:graphicData>
                  </a:graphic>
                </wp:inline>
              </w:drawing>
            </w:r>
          </w:p>
        </w:tc>
        <w:tc>
          <w:tcPr>
            <w:tcW w:w="3901" w:type="dxa"/>
            <w:vAlign w:val="bottom"/>
          </w:tcPr>
          <w:p w14:paraId="653A5114">
            <w:pPr>
              <w:jc w:val="center"/>
              <w:rPr>
                <w:rFonts w:ascii="Times New Roman" w:hAnsi="Times New Roman" w:eastAsia="宋体"/>
                <w:b/>
                <w:bCs/>
                <w:color w:val="auto"/>
                <w:szCs w:val="21"/>
              </w:rPr>
            </w:pPr>
            <w:r>
              <w:rPr>
                <w:rFonts w:ascii="Times New Roman" w:hAnsi="Times New Roman" w:eastAsia="宋体"/>
                <w:b/>
                <w:bCs/>
                <w:color w:val="auto"/>
                <w:szCs w:val="21"/>
              </w:rPr>
              <w:drawing>
                <wp:inline distT="0" distB="0" distL="0" distR="0">
                  <wp:extent cx="2030730" cy="1539875"/>
                  <wp:effectExtent l="0" t="0" r="1270" b="9525"/>
                  <wp:docPr id="18534574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57442" name="图片 6"/>
                          <pic:cNvPicPr>
                            <a:picLocks noChangeAspect="1"/>
                          </pic:cNvPicPr>
                        </pic:nvPicPr>
                        <pic:blipFill>
                          <a:blip r:embed="rId253">
                            <a:extLst>
                              <a:ext uri="{BEBA8EAE-BF5A-486C-A8C5-ECC9F3942E4B}">
                                <a14:imgProps xmlns:a14="http://schemas.microsoft.com/office/drawing/2010/main">
                                  <a14:imgLayer r:embed="rId254">
                                    <a14:imgEffect>
                                      <a14:artisticPaintStrokes/>
                                    </a14:imgEffect>
                                  </a14:imgLayer>
                                </a14:imgProps>
                              </a:ext>
                            </a:extLst>
                          </a:blip>
                          <a:stretch>
                            <a:fillRect/>
                          </a:stretch>
                        </pic:blipFill>
                        <pic:spPr>
                          <a:xfrm>
                            <a:off x="0" y="0"/>
                            <a:ext cx="2030819" cy="1540106"/>
                          </a:xfrm>
                          <a:prstGeom prst="rect">
                            <a:avLst/>
                          </a:prstGeom>
                        </pic:spPr>
                      </pic:pic>
                    </a:graphicData>
                  </a:graphic>
                </wp:inline>
              </w:drawing>
            </w:r>
          </w:p>
        </w:tc>
      </w:tr>
      <w:tr w14:paraId="006AA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5" w:type="dxa"/>
          </w:tcPr>
          <w:p w14:paraId="45624028">
            <w:pPr>
              <w:jc w:val="center"/>
              <w:rPr>
                <w:rFonts w:hint="eastAsia" w:eastAsia="黑体" w:asciiTheme="majorHAnsi" w:hAnsiTheme="majorHAnsi" w:cstheme="majorBidi"/>
                <w:b/>
                <w:bCs/>
                <w:color w:val="auto"/>
                <w:sz w:val="18"/>
                <w:szCs w:val="20"/>
              </w:rPr>
            </w:pPr>
            <w:r>
              <w:rPr>
                <w:rFonts w:ascii="Times New Roman" w:hAnsi="Times New Roman" w:eastAsia="黑体" w:cs="Times New Roman"/>
                <w:b/>
                <w:bCs/>
                <w:color w:val="auto"/>
                <w:sz w:val="18"/>
                <w:szCs w:val="20"/>
              </w:rPr>
              <w:t>（a）“π”形梁</w:t>
            </w:r>
          </w:p>
        </w:tc>
        <w:tc>
          <w:tcPr>
            <w:tcW w:w="3901" w:type="dxa"/>
          </w:tcPr>
          <w:p w14:paraId="65441871">
            <w:pPr>
              <w:jc w:val="center"/>
              <w:rPr>
                <w:rFonts w:hint="eastAsia" w:eastAsia="黑体" w:asciiTheme="majorHAnsi" w:hAnsiTheme="majorHAnsi" w:cstheme="majorBidi"/>
                <w:b/>
                <w:bCs/>
                <w:color w:val="auto"/>
                <w:sz w:val="18"/>
                <w:szCs w:val="20"/>
              </w:rPr>
            </w:pPr>
            <w:r>
              <w:rPr>
                <w:rFonts w:ascii="Times New Roman" w:hAnsi="Times New Roman" w:eastAsia="黑体" w:cs="Times New Roman"/>
                <w:b/>
                <w:bCs/>
                <w:color w:val="auto"/>
                <w:sz w:val="18"/>
                <w:szCs w:val="20"/>
              </w:rPr>
              <w:t>（b）“T”形梁</w:t>
            </w:r>
          </w:p>
        </w:tc>
      </w:tr>
    </w:tbl>
    <w:p w14:paraId="16713C5B">
      <w:pPr>
        <w:spacing w:line="360" w:lineRule="auto"/>
        <w:jc w:val="center"/>
        <w:rPr>
          <w:rFonts w:ascii="Times New Roman" w:hAnsi="Times New Roman" w:eastAsia="黑体" w:cs="Times New Roman"/>
          <w:b/>
          <w:bCs/>
          <w:color w:val="auto"/>
          <w:sz w:val="18"/>
          <w:szCs w:val="20"/>
        </w:rPr>
      </w:pPr>
      <w:r>
        <w:rPr>
          <w:rFonts w:ascii="Times New Roman" w:hAnsi="Times New Roman" w:eastAsia="黑体" w:cs="Times New Roman"/>
          <w:b/>
          <w:bCs/>
          <w:color w:val="auto"/>
          <w:sz w:val="18"/>
          <w:szCs w:val="20"/>
        </w:rPr>
        <w:t>图8.1.2界面抗剪连接件示意图</w:t>
      </w:r>
    </w:p>
    <w:p w14:paraId="11253DAA">
      <w:pPr>
        <w:numPr>
          <w:ilvl w:val="2"/>
          <w:numId w:val="0"/>
        </w:numPr>
        <w:spacing w:line="360" w:lineRule="auto"/>
        <w:outlineLvl w:val="2"/>
        <w:rPr>
          <w:rFonts w:ascii="Times New Roman" w:hAnsi="Times New Roman" w:eastAsia="宋体"/>
          <w:color w:val="auto"/>
          <w:szCs w:val="21"/>
        </w:rPr>
      </w:pPr>
      <w:r>
        <w:rPr>
          <w:rFonts w:ascii="Times New Roman" w:hAnsi="Times New Roman" w:eastAsia="宋体"/>
          <w:b/>
          <w:color w:val="auto"/>
          <w:szCs w:val="21"/>
        </w:rPr>
        <w:t>8</w:t>
      </w:r>
      <w:r>
        <w:rPr>
          <w:rFonts w:hint="eastAsia" w:ascii="Times New Roman" w:hAnsi="Times New Roman" w:eastAsia="宋体"/>
          <w:b/>
          <w:color w:val="auto"/>
          <w:szCs w:val="21"/>
        </w:rPr>
        <w:t>.1.</w:t>
      </w:r>
      <w:r>
        <w:rPr>
          <w:rFonts w:ascii="Times New Roman" w:hAnsi="Times New Roman" w:eastAsia="宋体"/>
          <w:b/>
          <w:color w:val="auto"/>
          <w:szCs w:val="21"/>
        </w:rPr>
        <w:t>3</w:t>
      </w:r>
      <w:r>
        <w:rPr>
          <w:rFonts w:hint="eastAsia" w:ascii="Times New Roman" w:hAnsi="Times New Roman" w:eastAsia="宋体"/>
          <w:b/>
          <w:color w:val="auto"/>
          <w:szCs w:val="21"/>
        </w:rPr>
        <w:t xml:space="preserve">  </w:t>
      </w:r>
      <w:r>
        <w:rPr>
          <w:rFonts w:hint="eastAsia" w:ascii="Times New Roman" w:hAnsi="Times New Roman" w:eastAsia="宋体"/>
          <w:color w:val="auto"/>
          <w:szCs w:val="21"/>
        </w:rPr>
        <w:t>普通钢筋的超高性能混凝土保护层厚度应满足下列要求：</w:t>
      </w:r>
    </w:p>
    <w:p w14:paraId="5CBB5020">
      <w:pPr>
        <w:spacing w:line="360" w:lineRule="auto"/>
        <w:ind w:firstLine="420"/>
        <w:rPr>
          <w:rFonts w:ascii="Times New Roman" w:hAnsi="Times New Roman" w:eastAsia="宋体"/>
          <w:color w:val="auto"/>
          <w:szCs w:val="21"/>
        </w:rPr>
      </w:pPr>
      <w:r>
        <w:rPr>
          <w:rFonts w:hint="eastAsia" w:ascii="Times New Roman" w:hAnsi="Times New Roman" w:eastAsia="宋体"/>
          <w:b/>
          <w:color w:val="auto"/>
          <w:szCs w:val="21"/>
        </w:rPr>
        <w:t>1</w:t>
      </w:r>
      <w:r>
        <w:rPr>
          <w:rFonts w:ascii="Times New Roman" w:hAnsi="Times New Roman" w:eastAsia="宋体"/>
          <w:color w:val="auto"/>
          <w:szCs w:val="21"/>
        </w:rPr>
        <w:t xml:space="preserve"> </w:t>
      </w:r>
      <w:r>
        <w:rPr>
          <w:rFonts w:hint="eastAsia" w:ascii="Times New Roman" w:hAnsi="Times New Roman" w:eastAsia="宋体"/>
          <w:color w:val="auto"/>
          <w:szCs w:val="21"/>
        </w:rPr>
        <w:t>普通钢筋保护层厚度应取钢筋外缘至超高性能混凝土表面的距离，且不应小于钢筋公称直径。</w:t>
      </w:r>
    </w:p>
    <w:p w14:paraId="18FDC803">
      <w:pPr>
        <w:spacing w:line="360" w:lineRule="auto"/>
        <w:ind w:firstLine="420"/>
        <w:rPr>
          <w:rFonts w:ascii="Times New Roman" w:hAnsi="Times New Roman" w:eastAsia="宋体"/>
          <w:color w:val="auto"/>
          <w:szCs w:val="21"/>
        </w:rPr>
      </w:pPr>
      <w:r>
        <w:rPr>
          <w:rFonts w:hint="eastAsia" w:ascii="Times New Roman" w:hAnsi="Times New Roman" w:eastAsia="宋体"/>
          <w:b/>
          <w:color w:val="auto"/>
          <w:szCs w:val="21"/>
        </w:rPr>
        <w:t>2</w:t>
      </w:r>
      <w:r>
        <w:rPr>
          <w:rFonts w:ascii="Times New Roman" w:hAnsi="Times New Roman" w:eastAsia="宋体"/>
          <w:color w:val="auto"/>
          <w:szCs w:val="21"/>
        </w:rPr>
        <w:t xml:space="preserve"> </w:t>
      </w:r>
      <w:r>
        <w:rPr>
          <w:rFonts w:hint="eastAsia" w:ascii="Times New Roman" w:hAnsi="Times New Roman" w:eastAsia="宋体"/>
          <w:color w:val="auto"/>
          <w:szCs w:val="21"/>
        </w:rPr>
        <w:t>普通钢筋保护层厚度不应小于1</w:t>
      </w:r>
      <w:r>
        <w:rPr>
          <w:rFonts w:ascii="Times New Roman" w:hAnsi="Times New Roman" w:eastAsia="宋体"/>
          <w:color w:val="auto"/>
          <w:szCs w:val="21"/>
        </w:rPr>
        <w:t>.5</w:t>
      </w:r>
      <w:r>
        <w:rPr>
          <w:rFonts w:hint="eastAsia" w:ascii="Times New Roman" w:hAnsi="Times New Roman" w:eastAsia="宋体"/>
          <w:color w:val="auto"/>
          <w:szCs w:val="21"/>
        </w:rPr>
        <w:t>倍钢纤维长度。当掺入纤维长度不等的混杂纤维时，钢纤维长度应取较大值。</w:t>
      </w:r>
    </w:p>
    <w:p w14:paraId="5AEED7EE">
      <w:pPr>
        <w:spacing w:line="360" w:lineRule="auto"/>
        <w:ind w:firstLine="420"/>
        <w:rPr>
          <w:rFonts w:ascii="Times New Roman" w:hAnsi="Times New Roman" w:eastAsia="宋体"/>
          <w:color w:val="auto"/>
          <w:szCs w:val="21"/>
        </w:rPr>
      </w:pPr>
      <w:r>
        <w:rPr>
          <w:rFonts w:hint="eastAsia" w:ascii="Times New Roman" w:hAnsi="Times New Roman" w:eastAsia="宋体"/>
          <w:b/>
          <w:color w:val="auto"/>
          <w:szCs w:val="21"/>
        </w:rPr>
        <w:t>3</w:t>
      </w:r>
      <w:r>
        <w:rPr>
          <w:rFonts w:ascii="Times New Roman" w:hAnsi="Times New Roman" w:eastAsia="宋体"/>
          <w:color w:val="auto"/>
          <w:szCs w:val="21"/>
        </w:rPr>
        <w:t xml:space="preserve"> </w:t>
      </w:r>
      <w:r>
        <w:rPr>
          <w:rFonts w:hint="eastAsia" w:ascii="Times New Roman" w:hAnsi="Times New Roman" w:eastAsia="宋体"/>
          <w:color w:val="auto"/>
          <w:szCs w:val="21"/>
        </w:rPr>
        <w:t>超高性能混凝土结构最外侧钢筋的保护层厚度不应小于表</w:t>
      </w:r>
      <w:r>
        <w:rPr>
          <w:rFonts w:ascii="Times New Roman" w:hAnsi="Times New Roman" w:eastAsia="宋体"/>
          <w:color w:val="auto"/>
          <w:szCs w:val="21"/>
        </w:rPr>
        <w:t>8.1.2</w:t>
      </w:r>
      <w:r>
        <w:rPr>
          <w:rFonts w:hint="eastAsia" w:ascii="Times New Roman" w:hAnsi="Times New Roman" w:eastAsia="宋体"/>
          <w:color w:val="auto"/>
          <w:szCs w:val="21"/>
        </w:rPr>
        <w:t>的规定值。</w:t>
      </w:r>
    </w:p>
    <w:p w14:paraId="17DEB22F">
      <w:pPr>
        <w:spacing w:line="360" w:lineRule="auto"/>
        <w:jc w:val="center"/>
        <w:rPr>
          <w:rFonts w:ascii="Times New Roman" w:hAnsi="Times New Roman" w:eastAsia="黑体" w:cs="Times New Roman"/>
          <w:color w:val="auto"/>
          <w:sz w:val="18"/>
          <w:szCs w:val="20"/>
        </w:rPr>
      </w:pPr>
      <w:r>
        <w:rPr>
          <w:rFonts w:ascii="Times New Roman" w:hAnsi="Times New Roman" w:eastAsia="黑体" w:cs="Times New Roman"/>
          <w:color w:val="auto"/>
          <w:sz w:val="18"/>
          <w:szCs w:val="20"/>
        </w:rPr>
        <w:t>表8.1.2 超高性能混凝土保护层最小厚度</w:t>
      </w:r>
    </w:p>
    <w:tbl>
      <w:tblPr>
        <w:tblStyle w:val="46"/>
        <w:tblW w:w="4896" w:type="pct"/>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7"/>
        <w:gridCol w:w="4838"/>
      </w:tblGrid>
      <w:tr w14:paraId="6190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rPr>
        <w:tc>
          <w:tcPr>
            <w:tcW w:w="2101" w:type="pct"/>
            <w:vAlign w:val="center"/>
          </w:tcPr>
          <w:p w14:paraId="55667E0E">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环境类别</w:t>
            </w:r>
          </w:p>
        </w:tc>
        <w:tc>
          <w:tcPr>
            <w:tcW w:w="2898" w:type="pct"/>
            <w:vAlign w:val="center"/>
          </w:tcPr>
          <w:p w14:paraId="57FEB5C7">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超高性能混凝土梁、板最小保护层厚度（mm）</w:t>
            </w:r>
          </w:p>
        </w:tc>
      </w:tr>
      <w:tr w14:paraId="296D4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101" w:type="pct"/>
            <w:vAlign w:val="center"/>
          </w:tcPr>
          <w:p w14:paraId="7DA0588B">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Ⅰ类环境-一般环境</w:t>
            </w:r>
          </w:p>
        </w:tc>
        <w:tc>
          <w:tcPr>
            <w:tcW w:w="2898" w:type="pct"/>
            <w:vAlign w:val="center"/>
          </w:tcPr>
          <w:p w14:paraId="0B71D7B7">
            <w:pPr>
              <w:jc w:val="center"/>
              <w:rPr>
                <w:rFonts w:ascii="Times New Roman" w:hAnsi="Times New Roman" w:eastAsia="宋体"/>
                <w:color w:val="auto"/>
                <w:sz w:val="18"/>
                <w:szCs w:val="18"/>
              </w:rPr>
            </w:pPr>
            <w:r>
              <w:rPr>
                <w:rFonts w:ascii="Times New Roman" w:hAnsi="Times New Roman" w:eastAsia="宋体"/>
                <w:color w:val="auto"/>
                <w:sz w:val="18"/>
                <w:szCs w:val="18"/>
              </w:rPr>
              <w:t>15</w:t>
            </w:r>
          </w:p>
        </w:tc>
      </w:tr>
      <w:tr w14:paraId="4E6CB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01" w:type="pct"/>
            <w:vAlign w:val="center"/>
          </w:tcPr>
          <w:p w14:paraId="614FFA15">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Ⅲ类环境-近海或海洋氯化物环境</w:t>
            </w:r>
          </w:p>
        </w:tc>
        <w:tc>
          <w:tcPr>
            <w:tcW w:w="2898" w:type="pct"/>
            <w:vAlign w:val="center"/>
          </w:tcPr>
          <w:p w14:paraId="5439F4AF">
            <w:pPr>
              <w:jc w:val="center"/>
              <w:rPr>
                <w:rFonts w:ascii="Times New Roman" w:hAnsi="Times New Roman" w:eastAsia="宋体"/>
                <w:color w:val="auto"/>
                <w:sz w:val="18"/>
                <w:szCs w:val="18"/>
              </w:rPr>
            </w:pPr>
            <w:r>
              <w:rPr>
                <w:rFonts w:ascii="Times New Roman" w:hAnsi="Times New Roman" w:eastAsia="宋体"/>
                <w:color w:val="auto"/>
                <w:sz w:val="18"/>
                <w:szCs w:val="18"/>
              </w:rPr>
              <w:t>20</w:t>
            </w:r>
          </w:p>
        </w:tc>
      </w:tr>
    </w:tbl>
    <w:p w14:paraId="3CAE04B4">
      <w:pPr>
        <w:spacing w:before="156" w:beforeLines="50"/>
        <w:rPr>
          <w:rFonts w:ascii="Times New Roman" w:hAnsi="Times New Roman" w:eastAsia="宋体"/>
          <w:color w:val="auto"/>
          <w:sz w:val="18"/>
          <w:szCs w:val="18"/>
        </w:rPr>
      </w:pPr>
      <w:r>
        <w:rPr>
          <w:rFonts w:hint="eastAsia" w:ascii="Times New Roman" w:hAnsi="Times New Roman" w:eastAsia="宋体"/>
          <w:color w:val="auto"/>
          <w:sz w:val="18"/>
          <w:szCs w:val="18"/>
        </w:rPr>
        <w:t>注：表中数值仅针对一般环境或近海环境的通道工程，且作用等级最低、钢筋和超高性能混凝土均无特殊防腐措施规定的。</w:t>
      </w:r>
    </w:p>
    <w:p w14:paraId="7AF7523E">
      <w:pPr>
        <w:numPr>
          <w:ilvl w:val="2"/>
          <w:numId w:val="0"/>
        </w:numPr>
        <w:spacing w:line="360" w:lineRule="auto"/>
        <w:outlineLvl w:val="2"/>
        <w:rPr>
          <w:rFonts w:ascii="Times New Roman" w:hAnsi="Times New Roman" w:eastAsia="宋体"/>
          <w:color w:val="auto"/>
          <w:szCs w:val="21"/>
        </w:rPr>
      </w:pPr>
      <w:r>
        <w:rPr>
          <w:rFonts w:ascii="Times New Roman" w:hAnsi="Times New Roman" w:eastAsia="宋体"/>
          <w:b/>
          <w:color w:val="auto"/>
          <w:szCs w:val="21"/>
        </w:rPr>
        <w:t>8</w:t>
      </w:r>
      <w:r>
        <w:rPr>
          <w:rFonts w:hint="eastAsia" w:ascii="Times New Roman" w:hAnsi="Times New Roman" w:eastAsia="宋体"/>
          <w:b/>
          <w:color w:val="auto"/>
          <w:szCs w:val="21"/>
        </w:rPr>
        <w:t xml:space="preserve">.1.4  </w:t>
      </w:r>
      <w:r>
        <w:rPr>
          <w:rFonts w:hint="eastAsia" w:ascii="Times New Roman" w:hAnsi="Times New Roman" w:eastAsia="宋体"/>
          <w:color w:val="auto"/>
          <w:szCs w:val="21"/>
        </w:rPr>
        <w:t>组合式盖板结构普通混凝土部分顶面应设置构造钢筋，并应符合现行行业标准《公路钢筋混凝土及预应力混凝土桥涵设计规范》J</w:t>
      </w:r>
      <w:r>
        <w:rPr>
          <w:rFonts w:ascii="Times New Roman" w:hAnsi="Times New Roman" w:eastAsia="宋体"/>
          <w:color w:val="auto"/>
          <w:szCs w:val="21"/>
        </w:rPr>
        <w:t>TG 3362</w:t>
      </w:r>
      <w:r>
        <w:rPr>
          <w:rFonts w:hint="eastAsia" w:ascii="Times New Roman" w:hAnsi="Times New Roman" w:eastAsia="宋体"/>
          <w:color w:val="auto"/>
          <w:szCs w:val="21"/>
        </w:rPr>
        <w:t>的规定。</w:t>
      </w:r>
    </w:p>
    <w:p w14:paraId="7D1B0117">
      <w:pPr>
        <w:spacing w:before="156" w:beforeLines="50"/>
        <w:rPr>
          <w:rFonts w:ascii="Times New Roman" w:hAnsi="Times New Roman" w:eastAsia="宋体"/>
          <w:color w:val="auto"/>
          <w:sz w:val="18"/>
          <w:szCs w:val="18"/>
        </w:rPr>
      </w:pPr>
    </w:p>
    <w:p w14:paraId="1005D734">
      <w:pPr>
        <w:pStyle w:val="3"/>
        <w:rPr>
          <w:color w:val="auto"/>
        </w:rPr>
      </w:pPr>
      <w:bookmarkStart w:id="104" w:name="_Toc4071"/>
      <w:bookmarkStart w:id="105" w:name="_Toc31487"/>
      <w:bookmarkStart w:id="106" w:name="_Toc19996"/>
      <w:r>
        <w:rPr>
          <w:color w:val="auto"/>
        </w:rPr>
        <w:t>8.2</w:t>
      </w:r>
      <w:r>
        <w:rPr>
          <w:rFonts w:hint="eastAsia"/>
          <w:color w:val="auto"/>
        </w:rPr>
        <w:t xml:space="preserve">  </w:t>
      </w:r>
      <w:r>
        <w:rPr>
          <w:color w:val="auto"/>
        </w:rPr>
        <w:t>超高性能混凝土倒“T”/“π”形梁</w:t>
      </w:r>
      <w:bookmarkEnd w:id="104"/>
      <w:bookmarkEnd w:id="105"/>
      <w:bookmarkEnd w:id="106"/>
    </w:p>
    <w:p w14:paraId="4B1DA581">
      <w:pPr>
        <w:numPr>
          <w:ilvl w:val="2"/>
          <w:numId w:val="0"/>
        </w:numPr>
        <w:spacing w:line="360" w:lineRule="auto"/>
        <w:outlineLvl w:val="2"/>
        <w:rPr>
          <w:rFonts w:ascii="Times New Roman" w:hAnsi="Times New Roman" w:eastAsia="宋体" w:cs="Times New Roman"/>
          <w:color w:val="auto"/>
          <w:szCs w:val="21"/>
        </w:rPr>
      </w:pPr>
      <w:r>
        <w:rPr>
          <w:rFonts w:ascii="Times New Roman" w:hAnsi="Times New Roman" w:eastAsia="宋体" w:cs="Times New Roman"/>
          <w:b/>
          <w:color w:val="auto"/>
          <w:szCs w:val="21"/>
        </w:rPr>
        <w:t xml:space="preserve">8.2.1  </w:t>
      </w:r>
      <w:r>
        <w:rPr>
          <w:rFonts w:ascii="Times New Roman" w:hAnsi="Times New Roman" w:eastAsia="宋体" w:cs="Times New Roman"/>
          <w:color w:val="auto"/>
          <w:szCs w:val="21"/>
        </w:rPr>
        <w:t>超高性能混凝土倒</w:t>
      </w:r>
      <w:r>
        <w:rPr>
          <w:rFonts w:hint="eastAsia" w:ascii="Times New Roman" w:hAnsi="Times New Roman" w:eastAsia="宋体"/>
          <w:color w:val="auto"/>
          <w:szCs w:val="21"/>
        </w:rPr>
        <w:t>“T”/“π”</w:t>
      </w:r>
      <w:r>
        <w:rPr>
          <w:rFonts w:ascii="Times New Roman" w:hAnsi="Times New Roman" w:eastAsia="宋体" w:cs="Times New Roman"/>
          <w:color w:val="auto"/>
          <w:szCs w:val="21"/>
        </w:rPr>
        <w:t>形梁的尺寸应满足下列要求：</w:t>
      </w:r>
    </w:p>
    <w:p w14:paraId="4B6327DE">
      <w:pPr>
        <w:spacing w:line="360" w:lineRule="auto"/>
        <w:ind w:firstLine="422" w:firstLineChars="200"/>
        <w:rPr>
          <w:rFonts w:ascii="Times New Roman" w:hAnsi="Times New Roman" w:eastAsia="宋体" w:cs="Times New Roman"/>
          <w:color w:val="auto"/>
          <w:szCs w:val="21"/>
        </w:rPr>
      </w:pPr>
      <w:r>
        <w:rPr>
          <w:rFonts w:ascii="Times New Roman" w:hAnsi="Times New Roman" w:eastAsia="宋体" w:cs="Times New Roman"/>
          <w:b/>
          <w:color w:val="auto"/>
          <w:szCs w:val="21"/>
        </w:rPr>
        <w:t>1</w:t>
      </w:r>
      <w:r>
        <w:rPr>
          <w:rFonts w:ascii="Times New Roman" w:hAnsi="Times New Roman" w:eastAsia="宋体" w:cs="Times New Roman"/>
          <w:color w:val="auto"/>
          <w:szCs w:val="21"/>
        </w:rPr>
        <w:t xml:space="preserve"> 超高性能混凝土倒</w:t>
      </w:r>
      <w:r>
        <w:rPr>
          <w:rFonts w:hint="eastAsia" w:ascii="Times New Roman" w:hAnsi="Times New Roman" w:eastAsia="宋体"/>
          <w:color w:val="auto"/>
          <w:szCs w:val="21"/>
        </w:rPr>
        <w:t>“T”/“π”</w:t>
      </w:r>
      <w:r>
        <w:rPr>
          <w:rFonts w:ascii="Times New Roman" w:hAnsi="Times New Roman" w:eastAsia="宋体" w:cs="Times New Roman"/>
          <w:color w:val="auto"/>
          <w:szCs w:val="21"/>
        </w:rPr>
        <w:t>形梁底板厚度不应小于80mm。</w:t>
      </w:r>
    </w:p>
    <w:p w14:paraId="35FD5FF8">
      <w:pPr>
        <w:spacing w:line="360" w:lineRule="auto"/>
        <w:ind w:firstLine="422" w:firstLineChars="200"/>
        <w:rPr>
          <w:rFonts w:ascii="Times New Roman" w:hAnsi="Times New Roman" w:eastAsia="宋体" w:cs="Times New Roman"/>
          <w:color w:val="auto"/>
          <w:szCs w:val="21"/>
        </w:rPr>
      </w:pPr>
      <w:r>
        <w:rPr>
          <w:rFonts w:ascii="Times New Roman" w:hAnsi="Times New Roman" w:eastAsia="宋体" w:cs="Times New Roman"/>
          <w:b/>
          <w:color w:val="auto"/>
          <w:szCs w:val="21"/>
        </w:rPr>
        <w:t>2</w:t>
      </w:r>
      <w:r>
        <w:rPr>
          <w:rFonts w:ascii="Times New Roman" w:hAnsi="Times New Roman" w:eastAsia="宋体" w:cs="Times New Roman"/>
          <w:color w:val="auto"/>
          <w:szCs w:val="21"/>
        </w:rPr>
        <w:t xml:space="preserve"> 超高性能混凝土倒</w:t>
      </w:r>
      <w:r>
        <w:rPr>
          <w:rFonts w:hint="eastAsia" w:ascii="Times New Roman" w:hAnsi="Times New Roman" w:eastAsia="宋体"/>
          <w:color w:val="auto"/>
          <w:szCs w:val="21"/>
        </w:rPr>
        <w:t>“T”/“π”</w:t>
      </w:r>
      <w:r>
        <w:rPr>
          <w:rFonts w:ascii="Times New Roman" w:hAnsi="Times New Roman" w:eastAsia="宋体" w:cs="Times New Roman"/>
          <w:color w:val="auto"/>
          <w:szCs w:val="21"/>
        </w:rPr>
        <w:t>形梁的腹板厚度，未配置箍筋时不应小于75mm，配置箍筋时不应小于100mm。</w:t>
      </w:r>
    </w:p>
    <w:p w14:paraId="54576B49">
      <w:pPr>
        <w:spacing w:line="360" w:lineRule="auto"/>
        <w:ind w:firstLine="422" w:firstLineChars="200"/>
        <w:rPr>
          <w:rFonts w:ascii="Times New Roman" w:hAnsi="Times New Roman" w:eastAsia="宋体" w:cs="Times New Roman"/>
          <w:color w:val="auto"/>
          <w:szCs w:val="21"/>
        </w:rPr>
      </w:pPr>
      <w:r>
        <w:rPr>
          <w:rFonts w:ascii="Times New Roman" w:hAnsi="Times New Roman" w:eastAsia="宋体" w:cs="Times New Roman"/>
          <w:b/>
          <w:color w:val="auto"/>
          <w:szCs w:val="21"/>
        </w:rPr>
        <w:t>3</w:t>
      </w:r>
      <w:r>
        <w:rPr>
          <w:rFonts w:ascii="Times New Roman" w:hAnsi="Times New Roman" w:eastAsia="宋体" w:cs="Times New Roman"/>
          <w:color w:val="auto"/>
          <w:szCs w:val="21"/>
        </w:rPr>
        <w:t xml:space="preserve"> 底板与腹板连接处宜设倒角，必要时也可设置承托。</w:t>
      </w:r>
    </w:p>
    <w:p w14:paraId="38BBA038">
      <w:pPr>
        <w:numPr>
          <w:ilvl w:val="2"/>
          <w:numId w:val="0"/>
        </w:numPr>
        <w:spacing w:line="360" w:lineRule="auto"/>
        <w:outlineLvl w:val="2"/>
        <w:rPr>
          <w:rFonts w:ascii="Times New Roman" w:hAnsi="Times New Roman" w:eastAsia="宋体"/>
          <w:color w:val="auto"/>
          <w:szCs w:val="21"/>
        </w:rPr>
      </w:pPr>
      <w:r>
        <w:rPr>
          <w:rFonts w:ascii="Times New Roman" w:hAnsi="Times New Roman" w:eastAsia="宋体"/>
          <w:b/>
          <w:color w:val="auto"/>
          <w:szCs w:val="21"/>
        </w:rPr>
        <w:t>8</w:t>
      </w:r>
      <w:r>
        <w:rPr>
          <w:rFonts w:hint="eastAsia" w:ascii="Times New Roman" w:hAnsi="Times New Roman" w:eastAsia="宋体"/>
          <w:b/>
          <w:color w:val="auto"/>
          <w:szCs w:val="21"/>
        </w:rPr>
        <w:t xml:space="preserve">.2.2  </w:t>
      </w:r>
      <w:r>
        <w:rPr>
          <w:rFonts w:hint="eastAsia" w:ascii="Times New Roman" w:hAnsi="Times New Roman" w:eastAsia="宋体"/>
          <w:color w:val="auto"/>
          <w:szCs w:val="21"/>
        </w:rPr>
        <w:t>普通钢筋净距不应小于1</w:t>
      </w:r>
      <w:r>
        <w:rPr>
          <w:rFonts w:ascii="Times New Roman" w:hAnsi="Times New Roman" w:eastAsia="宋体"/>
          <w:color w:val="auto"/>
          <w:szCs w:val="21"/>
        </w:rPr>
        <w:t>.5</w:t>
      </w:r>
      <w:r>
        <w:rPr>
          <w:rFonts w:hint="eastAsia" w:ascii="Times New Roman" w:hAnsi="Times New Roman" w:eastAsia="宋体"/>
          <w:color w:val="auto"/>
          <w:szCs w:val="21"/>
        </w:rPr>
        <w:t>倍钢筋公称直径，不应小于1</w:t>
      </w:r>
      <w:r>
        <w:rPr>
          <w:rFonts w:ascii="Times New Roman" w:hAnsi="Times New Roman" w:eastAsia="宋体"/>
          <w:color w:val="auto"/>
          <w:szCs w:val="21"/>
        </w:rPr>
        <w:t>.5</w:t>
      </w:r>
      <w:r>
        <w:rPr>
          <w:rFonts w:hint="eastAsia" w:ascii="Times New Roman" w:hAnsi="Times New Roman" w:eastAsia="宋体"/>
          <w:color w:val="auto"/>
          <w:szCs w:val="21"/>
        </w:rPr>
        <w:t>倍钢纤维长度，且不应小于2</w:t>
      </w:r>
      <w:r>
        <w:rPr>
          <w:rFonts w:ascii="Times New Roman" w:hAnsi="Times New Roman" w:eastAsia="宋体"/>
          <w:color w:val="auto"/>
          <w:szCs w:val="21"/>
        </w:rPr>
        <w:t>0</w:t>
      </w:r>
      <w:r>
        <w:rPr>
          <w:rFonts w:hint="eastAsia" w:ascii="Times New Roman" w:hAnsi="Times New Roman" w:eastAsia="宋体"/>
          <w:color w:val="auto"/>
          <w:szCs w:val="21"/>
        </w:rPr>
        <w:t>mm。</w:t>
      </w:r>
    </w:p>
    <w:p w14:paraId="10FE4FE0">
      <w:pPr>
        <w:numPr>
          <w:ilvl w:val="2"/>
          <w:numId w:val="0"/>
        </w:numPr>
        <w:spacing w:line="360" w:lineRule="auto"/>
        <w:outlineLvl w:val="2"/>
        <w:rPr>
          <w:rFonts w:ascii="Times New Roman" w:hAnsi="Times New Roman" w:eastAsia="宋体"/>
          <w:color w:val="auto"/>
          <w:szCs w:val="21"/>
        </w:rPr>
      </w:pPr>
      <w:r>
        <w:rPr>
          <w:rFonts w:ascii="Times New Roman" w:hAnsi="Times New Roman" w:eastAsia="宋体"/>
          <w:b/>
          <w:color w:val="auto"/>
          <w:szCs w:val="21"/>
        </w:rPr>
        <w:t>8</w:t>
      </w:r>
      <w:r>
        <w:rPr>
          <w:rFonts w:hint="eastAsia" w:ascii="Times New Roman" w:hAnsi="Times New Roman" w:eastAsia="宋体"/>
          <w:b/>
          <w:color w:val="auto"/>
          <w:szCs w:val="21"/>
        </w:rPr>
        <w:t xml:space="preserve">.2.3  </w:t>
      </w:r>
      <w:r>
        <w:rPr>
          <w:rFonts w:hint="eastAsia" w:ascii="Times New Roman" w:hAnsi="Times New Roman" w:eastAsia="宋体"/>
          <w:color w:val="auto"/>
          <w:szCs w:val="21"/>
        </w:rPr>
        <w:t>箍筋采用H</w:t>
      </w:r>
      <w:r>
        <w:rPr>
          <w:rFonts w:ascii="Times New Roman" w:hAnsi="Times New Roman" w:eastAsia="宋体"/>
          <w:color w:val="auto"/>
          <w:szCs w:val="21"/>
        </w:rPr>
        <w:t>PB300</w:t>
      </w:r>
      <w:r>
        <w:rPr>
          <w:rFonts w:hint="eastAsia" w:ascii="Times New Roman" w:hAnsi="Times New Roman" w:eastAsia="宋体"/>
          <w:color w:val="auto"/>
          <w:szCs w:val="21"/>
        </w:rPr>
        <w:t>钢筋时弯曲直径不应小于箍筋直径的2.5倍，采用HRB400钢筋时弯曲直径不应小于箍筋直径的5倍，并应符合下列规定：</w:t>
      </w:r>
    </w:p>
    <w:p w14:paraId="074AFB73">
      <w:pPr>
        <w:spacing w:line="360" w:lineRule="auto"/>
        <w:ind w:firstLine="422" w:firstLineChars="200"/>
        <w:rPr>
          <w:rFonts w:ascii="Times New Roman" w:hAnsi="Times New Roman" w:eastAsia="宋体"/>
          <w:color w:val="auto"/>
          <w:szCs w:val="21"/>
        </w:rPr>
      </w:pPr>
      <w:r>
        <w:rPr>
          <w:rFonts w:hint="eastAsia" w:ascii="Times New Roman" w:hAnsi="Times New Roman" w:eastAsia="宋体"/>
          <w:b/>
          <w:color w:val="auto"/>
          <w:szCs w:val="21"/>
        </w:rPr>
        <w:t>1</w:t>
      </w:r>
      <w:r>
        <w:rPr>
          <w:rFonts w:ascii="Times New Roman" w:hAnsi="Times New Roman" w:eastAsia="宋体"/>
          <w:color w:val="auto"/>
          <w:szCs w:val="21"/>
        </w:rPr>
        <w:t xml:space="preserve"> </w:t>
      </w:r>
      <w:r>
        <w:rPr>
          <w:rFonts w:hint="eastAsia" w:ascii="Times New Roman" w:hAnsi="Times New Roman" w:eastAsia="宋体"/>
          <w:color w:val="auto"/>
          <w:szCs w:val="21"/>
        </w:rPr>
        <w:t>当钢筋混凝土倒“T”/“π”形梁的腹板厚度大于1</w:t>
      </w:r>
      <w:r>
        <w:rPr>
          <w:rFonts w:ascii="Times New Roman" w:hAnsi="Times New Roman" w:eastAsia="宋体"/>
          <w:color w:val="auto"/>
          <w:szCs w:val="21"/>
        </w:rPr>
        <w:t>0</w:t>
      </w:r>
      <w:r>
        <w:rPr>
          <w:rFonts w:hint="eastAsia" w:ascii="Times New Roman" w:hAnsi="Times New Roman" w:eastAsia="宋体"/>
          <w:color w:val="auto"/>
          <w:szCs w:val="21"/>
        </w:rPr>
        <w:t>cm时，箍筋形状宜采用封闭式矩形，箍筋末端应做成弯钩，弯曲角度可取1</w:t>
      </w:r>
      <w:r>
        <w:rPr>
          <w:rFonts w:ascii="Times New Roman" w:hAnsi="Times New Roman" w:eastAsia="宋体"/>
          <w:color w:val="auto"/>
          <w:szCs w:val="21"/>
        </w:rPr>
        <w:t>35</w:t>
      </w:r>
      <w:r>
        <w:rPr>
          <w:rFonts w:hint="eastAsia" w:ascii="Times New Roman" w:hAnsi="Times New Roman" w:eastAsia="宋体"/>
          <w:color w:val="auto"/>
          <w:szCs w:val="21"/>
        </w:rPr>
        <w:t>°。弯钩的弯曲直径应大于被箍的受力主钢筋的直径，弯钩平直段不应小于箍筋直径的4倍。</w:t>
      </w:r>
    </w:p>
    <w:p w14:paraId="629D31A8">
      <w:pPr>
        <w:spacing w:line="360" w:lineRule="auto"/>
        <w:ind w:firstLine="422" w:firstLineChars="200"/>
        <w:rPr>
          <w:rFonts w:ascii="Times New Roman" w:hAnsi="Times New Roman" w:eastAsia="宋体"/>
          <w:color w:val="auto"/>
          <w:szCs w:val="21"/>
        </w:rPr>
      </w:pPr>
      <w:r>
        <w:rPr>
          <w:rFonts w:ascii="Times New Roman" w:hAnsi="Times New Roman" w:eastAsia="宋体"/>
          <w:b/>
          <w:color w:val="auto"/>
          <w:szCs w:val="21"/>
        </w:rPr>
        <w:t>2</w:t>
      </w:r>
      <w:r>
        <w:rPr>
          <w:rFonts w:ascii="Times New Roman" w:hAnsi="Times New Roman" w:eastAsia="宋体"/>
          <w:color w:val="auto"/>
          <w:szCs w:val="21"/>
        </w:rPr>
        <w:t xml:space="preserve"> </w:t>
      </w:r>
      <w:r>
        <w:rPr>
          <w:rFonts w:hint="eastAsia" w:ascii="Times New Roman" w:hAnsi="Times New Roman" w:eastAsia="宋体"/>
          <w:color w:val="auto"/>
          <w:szCs w:val="21"/>
        </w:rPr>
        <w:t>当钢筋混凝土倒“T”/“π”形梁的腹板厚度小于或等于1</w:t>
      </w:r>
      <w:r>
        <w:rPr>
          <w:rFonts w:ascii="Times New Roman" w:hAnsi="Times New Roman" w:eastAsia="宋体"/>
          <w:color w:val="auto"/>
          <w:szCs w:val="21"/>
        </w:rPr>
        <w:t>0</w:t>
      </w:r>
      <w:r>
        <w:rPr>
          <w:rFonts w:hint="eastAsia" w:ascii="Times New Roman" w:hAnsi="Times New Roman" w:eastAsia="宋体"/>
          <w:color w:val="auto"/>
          <w:szCs w:val="21"/>
        </w:rPr>
        <w:t>cm时，箍筋形状宜采用门式并交错布置，并在箍筋与上下纵向钢筋相交处做成弯折，弯曲角度应取9</w:t>
      </w:r>
      <w:r>
        <w:rPr>
          <w:rFonts w:ascii="Times New Roman" w:hAnsi="Times New Roman" w:eastAsia="宋体"/>
          <w:color w:val="auto"/>
          <w:szCs w:val="21"/>
        </w:rPr>
        <w:t>0</w:t>
      </w:r>
      <w:r>
        <w:rPr>
          <w:rFonts w:hint="eastAsia" w:ascii="Times New Roman" w:hAnsi="Times New Roman" w:eastAsia="宋体"/>
          <w:color w:val="auto"/>
          <w:szCs w:val="21"/>
        </w:rPr>
        <w:t>°。弯折的弯曲直径应大于被箍的受拉主筋，上下弯折后的平直段不应小于箍筋直径的</w:t>
      </w:r>
      <w:r>
        <w:rPr>
          <w:rFonts w:ascii="Times New Roman" w:hAnsi="Times New Roman" w:eastAsia="宋体"/>
          <w:color w:val="auto"/>
          <w:szCs w:val="21"/>
        </w:rPr>
        <w:t>8</w:t>
      </w:r>
      <w:r>
        <w:rPr>
          <w:rFonts w:hint="eastAsia" w:ascii="Times New Roman" w:hAnsi="Times New Roman" w:eastAsia="宋体"/>
          <w:color w:val="auto"/>
          <w:szCs w:val="21"/>
        </w:rPr>
        <w:t>倍。</w:t>
      </w:r>
    </w:p>
    <w:p w14:paraId="4386F3CA">
      <w:pPr>
        <w:numPr>
          <w:ilvl w:val="2"/>
          <w:numId w:val="0"/>
        </w:numPr>
        <w:spacing w:line="360" w:lineRule="auto"/>
        <w:outlineLvl w:val="2"/>
        <w:rPr>
          <w:rFonts w:ascii="Times New Roman" w:hAnsi="Times New Roman" w:eastAsia="宋体"/>
          <w:color w:val="auto"/>
          <w:szCs w:val="21"/>
        </w:rPr>
      </w:pPr>
      <w:r>
        <w:rPr>
          <w:rFonts w:ascii="Times New Roman" w:hAnsi="Times New Roman" w:eastAsia="宋体"/>
          <w:b/>
          <w:color w:val="auto"/>
          <w:szCs w:val="21"/>
        </w:rPr>
        <w:t>8</w:t>
      </w:r>
      <w:r>
        <w:rPr>
          <w:rFonts w:hint="eastAsia" w:ascii="Times New Roman" w:hAnsi="Times New Roman" w:eastAsia="宋体"/>
          <w:b/>
          <w:color w:val="auto"/>
          <w:szCs w:val="21"/>
        </w:rPr>
        <w:t xml:space="preserve">.2.4  </w:t>
      </w:r>
      <w:r>
        <w:rPr>
          <w:rFonts w:hint="eastAsia" w:ascii="Times New Roman" w:hAnsi="Times New Roman" w:eastAsia="宋体"/>
          <w:color w:val="auto"/>
          <w:szCs w:val="21"/>
        </w:rPr>
        <w:t>当超高性能混凝土抗拉性能符合本规程表4</w:t>
      </w:r>
      <w:r>
        <w:rPr>
          <w:rFonts w:ascii="Times New Roman" w:hAnsi="Times New Roman" w:eastAsia="宋体"/>
          <w:color w:val="auto"/>
          <w:szCs w:val="21"/>
        </w:rPr>
        <w:t>.1.4</w:t>
      </w:r>
      <w:r>
        <w:rPr>
          <w:rFonts w:hint="eastAsia" w:ascii="Times New Roman" w:hAnsi="Times New Roman" w:eastAsia="宋体"/>
          <w:color w:val="auto"/>
          <w:szCs w:val="21"/>
        </w:rPr>
        <w:t>的应变硬化型的规定和裂缝宽度验算满足本规程规定时，对钢筋超高性能混凝土受弯构件中纵向受力钢筋的最小配筋率可不作要求。</w:t>
      </w:r>
    </w:p>
    <w:p w14:paraId="2B436C98">
      <w:pPr>
        <w:numPr>
          <w:ilvl w:val="2"/>
          <w:numId w:val="0"/>
        </w:numPr>
        <w:spacing w:line="360" w:lineRule="auto"/>
        <w:outlineLvl w:val="2"/>
        <w:rPr>
          <w:rFonts w:ascii="Times New Roman" w:hAnsi="Times New Roman" w:eastAsia="宋体"/>
          <w:color w:val="auto"/>
          <w:szCs w:val="21"/>
        </w:rPr>
      </w:pPr>
      <w:r>
        <w:rPr>
          <w:rFonts w:ascii="Times New Roman" w:hAnsi="Times New Roman" w:eastAsia="宋体"/>
          <w:b/>
          <w:color w:val="auto"/>
          <w:szCs w:val="21"/>
        </w:rPr>
        <w:t>8</w:t>
      </w:r>
      <w:r>
        <w:rPr>
          <w:rFonts w:hint="eastAsia" w:ascii="Times New Roman" w:hAnsi="Times New Roman" w:eastAsia="宋体"/>
          <w:b/>
          <w:color w:val="auto"/>
          <w:szCs w:val="21"/>
        </w:rPr>
        <w:t xml:space="preserve">.2.5  </w:t>
      </w:r>
      <w:r>
        <w:rPr>
          <w:rFonts w:hint="eastAsia" w:ascii="Times New Roman" w:hAnsi="Times New Roman" w:eastAsia="宋体"/>
          <w:color w:val="auto"/>
          <w:szCs w:val="21"/>
        </w:rPr>
        <w:t>当超高性能混凝土抗拉性能符合本规程表4</w:t>
      </w:r>
      <w:r>
        <w:rPr>
          <w:rFonts w:ascii="Times New Roman" w:hAnsi="Times New Roman" w:eastAsia="宋体"/>
          <w:color w:val="auto"/>
          <w:szCs w:val="21"/>
        </w:rPr>
        <w:t>.1.4</w:t>
      </w:r>
      <w:r>
        <w:rPr>
          <w:rFonts w:hint="eastAsia" w:ascii="Times New Roman" w:hAnsi="Times New Roman" w:eastAsia="宋体"/>
          <w:color w:val="auto"/>
          <w:szCs w:val="21"/>
        </w:rPr>
        <w:t>的应变硬化型的规定、抗剪承载力和抗裂验算满足本规程规定时，对钢筋超高性能混凝土受弯构件中箍筋的最小配箍率可不作要求。</w:t>
      </w:r>
    </w:p>
    <w:p w14:paraId="54A9BF63">
      <w:pPr>
        <w:numPr>
          <w:ilvl w:val="2"/>
          <w:numId w:val="0"/>
        </w:numPr>
        <w:spacing w:line="360" w:lineRule="auto"/>
        <w:outlineLvl w:val="2"/>
        <w:rPr>
          <w:rFonts w:ascii="Times New Roman" w:hAnsi="Times New Roman" w:eastAsia="宋体" w:cs="Times New Roman"/>
          <w:color w:val="auto"/>
          <w:szCs w:val="21"/>
        </w:rPr>
      </w:pPr>
      <w:r>
        <w:rPr>
          <w:rFonts w:ascii="Times New Roman" w:hAnsi="Times New Roman" w:eastAsia="宋体" w:cs="Times New Roman"/>
          <w:b/>
          <w:color w:val="auto"/>
          <w:szCs w:val="21"/>
        </w:rPr>
        <w:t>8.2.</w:t>
      </w:r>
      <w:r>
        <w:rPr>
          <w:rFonts w:hint="eastAsia" w:ascii="Times New Roman" w:hAnsi="Times New Roman" w:eastAsia="宋体" w:cs="Times New Roman"/>
          <w:b/>
          <w:color w:val="auto"/>
          <w:szCs w:val="21"/>
        </w:rPr>
        <w:t>6</w:t>
      </w:r>
      <w:r>
        <w:rPr>
          <w:rFonts w:ascii="Times New Roman" w:hAnsi="Times New Roman" w:eastAsia="宋体" w:cs="Times New Roman"/>
          <w:b/>
          <w:color w:val="auto"/>
          <w:szCs w:val="21"/>
        </w:rPr>
        <w:t xml:space="preserve"> </w:t>
      </w:r>
      <w:r>
        <w:rPr>
          <w:rFonts w:ascii="Times New Roman" w:hAnsi="Times New Roman" w:eastAsia="宋体" w:cs="Times New Roman"/>
          <w:color w:val="auto"/>
          <w:szCs w:val="21"/>
        </w:rPr>
        <w:t>超高性能混凝土倒</w:t>
      </w:r>
      <w:r>
        <w:rPr>
          <w:rFonts w:hint="eastAsia" w:ascii="Times New Roman" w:hAnsi="Times New Roman" w:eastAsia="宋体"/>
          <w:color w:val="auto"/>
          <w:szCs w:val="21"/>
        </w:rPr>
        <w:t>“T”/“π”</w:t>
      </w:r>
      <w:r>
        <w:rPr>
          <w:rFonts w:ascii="Times New Roman" w:hAnsi="Times New Roman" w:eastAsia="宋体" w:cs="Times New Roman"/>
          <w:color w:val="auto"/>
          <w:szCs w:val="21"/>
        </w:rPr>
        <w:t>形梁底板应设置界面抗剪钢筋。界面抗剪钢筋布置应符合本规程第8.3节规定，且间距不宜大于500mm，并呈梅花</w:t>
      </w:r>
      <w:r>
        <w:rPr>
          <w:rFonts w:hint="eastAsia" w:ascii="Times New Roman" w:hAnsi="Times New Roman" w:eastAsia="宋体" w:cs="Times New Roman"/>
          <w:color w:val="auto"/>
          <w:szCs w:val="21"/>
          <w:lang w:eastAsia="zh-CN"/>
        </w:rPr>
        <w:t>形</w:t>
      </w:r>
      <w:r>
        <w:rPr>
          <w:rFonts w:ascii="Times New Roman" w:hAnsi="Times New Roman" w:eastAsia="宋体" w:cs="Times New Roman"/>
          <w:color w:val="auto"/>
          <w:szCs w:val="21"/>
        </w:rPr>
        <w:t>布置。</w:t>
      </w:r>
    </w:p>
    <w:p w14:paraId="0F200D56">
      <w:pPr>
        <w:numPr>
          <w:ilvl w:val="2"/>
          <w:numId w:val="0"/>
        </w:numPr>
        <w:spacing w:line="360" w:lineRule="auto"/>
        <w:outlineLvl w:val="2"/>
        <w:rPr>
          <w:rFonts w:hint="eastAsia"/>
          <w:color w:val="auto"/>
        </w:rPr>
      </w:pPr>
      <w:r>
        <w:rPr>
          <w:rFonts w:ascii="Times New Roman" w:hAnsi="Times New Roman" w:eastAsia="宋体" w:cs="Times New Roman"/>
          <w:b/>
          <w:color w:val="auto"/>
          <w:szCs w:val="21"/>
        </w:rPr>
        <w:t>8.2.</w:t>
      </w:r>
      <w:r>
        <w:rPr>
          <w:rFonts w:hint="eastAsia" w:ascii="Times New Roman" w:hAnsi="Times New Roman" w:eastAsia="宋体" w:cs="Times New Roman"/>
          <w:b/>
          <w:color w:val="auto"/>
          <w:szCs w:val="21"/>
        </w:rPr>
        <w:t>7</w:t>
      </w:r>
      <w:r>
        <w:rPr>
          <w:rFonts w:ascii="Times New Roman" w:hAnsi="Times New Roman" w:eastAsia="宋体" w:cs="Times New Roman"/>
          <w:b/>
          <w:color w:val="auto"/>
          <w:szCs w:val="21"/>
        </w:rPr>
        <w:t xml:space="preserve">  </w:t>
      </w:r>
      <w:r>
        <w:rPr>
          <w:rFonts w:ascii="Times New Roman" w:hAnsi="Times New Roman" w:eastAsia="宋体" w:cs="Times New Roman"/>
          <w:color w:val="auto"/>
          <w:szCs w:val="21"/>
        </w:rPr>
        <w:t>超高性能混凝土倒</w:t>
      </w:r>
      <w:r>
        <w:rPr>
          <w:rFonts w:hint="eastAsia" w:ascii="Times New Roman" w:hAnsi="Times New Roman" w:eastAsia="宋体"/>
          <w:color w:val="auto"/>
          <w:szCs w:val="21"/>
        </w:rPr>
        <w:t>“T”/“π”</w:t>
      </w:r>
      <w:r>
        <w:rPr>
          <w:rFonts w:ascii="Times New Roman" w:hAnsi="Times New Roman" w:eastAsia="宋体" w:cs="Times New Roman"/>
          <w:color w:val="auto"/>
          <w:szCs w:val="21"/>
        </w:rPr>
        <w:t>形梁的外表面除与普通混凝土接触部分外，宜采用表面涂层进行处理，且应符合现行《混凝土桥梁结构表面涂层防腐技术条件》JT/T 695的规定。</w:t>
      </w:r>
    </w:p>
    <w:p w14:paraId="5BAC63F2">
      <w:pPr>
        <w:pStyle w:val="2"/>
        <w:spacing w:before="312" w:after="312"/>
        <w:rPr>
          <w:rFonts w:ascii="Times New Roman" w:hAnsi="Times New Roman"/>
          <w:color w:val="auto"/>
        </w:rPr>
      </w:pPr>
      <w:bookmarkStart w:id="107" w:name="_Toc8106"/>
      <w:bookmarkStart w:id="108" w:name="_Toc32043"/>
      <w:bookmarkStart w:id="109" w:name="_Toc7198"/>
      <w:r>
        <w:rPr>
          <w:rFonts w:ascii="Times New Roman" w:hAnsi="Times New Roman"/>
          <w:color w:val="auto"/>
        </w:rPr>
        <w:t xml:space="preserve">9  </w:t>
      </w:r>
      <w:r>
        <w:rPr>
          <w:rFonts w:hint="eastAsia" w:ascii="Times New Roman" w:hAnsi="Times New Roman"/>
          <w:color w:val="auto"/>
        </w:rPr>
        <w:t>施工</w:t>
      </w:r>
      <w:bookmarkEnd w:id="107"/>
      <w:bookmarkEnd w:id="108"/>
      <w:bookmarkEnd w:id="109"/>
    </w:p>
    <w:p w14:paraId="7F833498">
      <w:pPr>
        <w:pStyle w:val="3"/>
        <w:rPr>
          <w:color w:val="auto"/>
        </w:rPr>
      </w:pPr>
      <w:bookmarkStart w:id="110" w:name="_Toc23730"/>
      <w:bookmarkStart w:id="111" w:name="_Toc21689"/>
      <w:bookmarkStart w:id="112" w:name="_Toc27801"/>
      <w:r>
        <w:rPr>
          <w:color w:val="auto"/>
        </w:rPr>
        <w:t>9</w:t>
      </w:r>
      <w:r>
        <w:rPr>
          <w:rFonts w:hint="eastAsia"/>
          <w:color w:val="auto"/>
        </w:rPr>
        <w:t xml:space="preserve">.1 </w:t>
      </w:r>
      <w:r>
        <w:rPr>
          <w:color w:val="auto"/>
        </w:rPr>
        <w:t xml:space="preserve"> </w:t>
      </w:r>
      <w:r>
        <w:rPr>
          <w:rFonts w:hint="eastAsia"/>
          <w:color w:val="auto"/>
        </w:rPr>
        <w:t>一般规定</w:t>
      </w:r>
      <w:bookmarkEnd w:id="110"/>
      <w:bookmarkEnd w:id="111"/>
      <w:bookmarkEnd w:id="112"/>
    </w:p>
    <w:p w14:paraId="6785AAD2">
      <w:pPr>
        <w:pStyle w:val="326"/>
        <w:rPr>
          <w:color w:val="auto"/>
        </w:rPr>
      </w:pPr>
      <w:bookmarkStart w:id="113" w:name="_Hlk142320153"/>
      <w:r>
        <w:rPr>
          <w:b/>
          <w:bCs/>
          <w:color w:val="auto"/>
        </w:rPr>
        <w:t xml:space="preserve">9.1.1  </w:t>
      </w:r>
      <w:bookmarkEnd w:id="113"/>
      <w:r>
        <w:rPr>
          <w:rFonts w:hint="eastAsia"/>
          <w:color w:val="auto"/>
        </w:rPr>
        <w:t>超高性能混凝土</w:t>
      </w:r>
      <w:r>
        <w:rPr>
          <w:color w:val="auto"/>
        </w:rPr>
        <w:t>-普通混凝土组合式盖板结构的施工应选择具有相关工程经验的专业施工单</w:t>
      </w:r>
      <w:r>
        <w:rPr>
          <w:rFonts w:hint="eastAsia"/>
          <w:color w:val="auto"/>
        </w:rPr>
        <w:t>位完成。</w:t>
      </w:r>
    </w:p>
    <w:p w14:paraId="0DF72105">
      <w:pPr>
        <w:pStyle w:val="326"/>
        <w:rPr>
          <w:color w:val="auto"/>
        </w:rPr>
      </w:pPr>
      <w:r>
        <w:rPr>
          <w:b/>
          <w:bCs/>
          <w:color w:val="auto"/>
        </w:rPr>
        <w:t>9.1.2</w:t>
      </w:r>
      <w:r>
        <w:rPr>
          <w:color w:val="auto"/>
        </w:rPr>
        <w:t xml:space="preserve">  </w:t>
      </w:r>
      <w:r>
        <w:rPr>
          <w:rFonts w:hint="eastAsia"/>
          <w:color w:val="auto"/>
        </w:rPr>
        <w:t>施工前，应根据</w:t>
      </w:r>
      <w:bookmarkStart w:id="114" w:name="_Hlk142410665"/>
      <w:r>
        <w:rPr>
          <w:rFonts w:hint="eastAsia"/>
          <w:color w:val="auto"/>
        </w:rPr>
        <w:t>倒</w:t>
      </w:r>
      <w:r>
        <w:rPr>
          <w:rFonts w:hint="eastAsia"/>
          <w:color w:val="auto"/>
          <w:szCs w:val="21"/>
        </w:rPr>
        <w:t>“T”</w:t>
      </w:r>
      <w:r>
        <w:rPr>
          <w:rFonts w:hint="eastAsia"/>
          <w:color w:val="auto"/>
        </w:rPr>
        <w:t>型/</w:t>
      </w:r>
      <w:r>
        <w:rPr>
          <w:color w:val="auto"/>
        </w:rPr>
        <w:t>“</w:t>
      </w:r>
      <w:r>
        <w:rPr>
          <w:rFonts w:hint="eastAsia"/>
          <w:color w:val="auto"/>
        </w:rPr>
        <w:t>π</w:t>
      </w:r>
      <w:r>
        <w:rPr>
          <w:color w:val="auto"/>
        </w:rPr>
        <w:t>”</w:t>
      </w:r>
      <w:r>
        <w:rPr>
          <w:rFonts w:hint="eastAsia"/>
          <w:color w:val="auto"/>
        </w:rPr>
        <w:t>型</w:t>
      </w:r>
      <w:bookmarkStart w:id="115" w:name="_Hlk142150991"/>
      <w:r>
        <w:rPr>
          <w:rFonts w:hint="eastAsia"/>
          <w:color w:val="auto"/>
        </w:rPr>
        <w:t>超高性能混凝土板</w:t>
      </w:r>
      <w:bookmarkEnd w:id="115"/>
      <w:r>
        <w:rPr>
          <w:rFonts w:hint="eastAsia"/>
          <w:color w:val="auto"/>
        </w:rPr>
        <w:t>的结构特点、受力特性</w:t>
      </w:r>
      <w:bookmarkEnd w:id="114"/>
      <w:r>
        <w:rPr>
          <w:rFonts w:hint="eastAsia"/>
          <w:color w:val="auto"/>
        </w:rPr>
        <w:t>、环境条件等制订合理的预制施工程序和工艺方案。</w:t>
      </w:r>
    </w:p>
    <w:p w14:paraId="5CBA716A">
      <w:pPr>
        <w:pStyle w:val="326"/>
        <w:rPr>
          <w:color w:val="auto"/>
        </w:rPr>
      </w:pPr>
      <w:r>
        <w:rPr>
          <w:b/>
          <w:bCs/>
          <w:color w:val="auto"/>
        </w:rPr>
        <w:t>9.1.3</w:t>
      </w:r>
      <w:r>
        <w:rPr>
          <w:color w:val="auto"/>
        </w:rPr>
        <w:t xml:space="preserve">  </w:t>
      </w:r>
      <w:r>
        <w:rPr>
          <w:rFonts w:hint="eastAsia"/>
          <w:color w:val="auto"/>
        </w:rPr>
        <w:t>超高性能混凝土板预制场地的布置应便于构件的浇筑、移动、堆放、养护及转场，场地应硬化平整，设有超高性能混凝土拌制及高温蒸汽养护系统。</w:t>
      </w:r>
    </w:p>
    <w:p w14:paraId="779DDCFA">
      <w:pPr>
        <w:pStyle w:val="326"/>
        <w:rPr>
          <w:color w:val="auto"/>
        </w:rPr>
      </w:pPr>
      <w:r>
        <w:rPr>
          <w:b/>
          <w:bCs/>
          <w:color w:val="auto"/>
        </w:rPr>
        <w:t xml:space="preserve">9.1.4 </w:t>
      </w:r>
      <w:r>
        <w:rPr>
          <w:color w:val="auto"/>
        </w:rPr>
        <w:t xml:space="preserve"> </w:t>
      </w:r>
      <w:r>
        <w:rPr>
          <w:rFonts w:hint="eastAsia"/>
          <w:color w:val="auto"/>
        </w:rPr>
        <w:t>超高性能混凝土板的模板设计宜兼顾超高性能混凝土浇筑、振捣、蒸汽养护及外观质量等工艺要求。</w:t>
      </w:r>
    </w:p>
    <w:p w14:paraId="7E334B1E">
      <w:pPr>
        <w:pStyle w:val="326"/>
        <w:rPr>
          <w:color w:val="auto"/>
        </w:rPr>
      </w:pPr>
      <w:r>
        <w:rPr>
          <w:b/>
          <w:bCs/>
          <w:color w:val="auto"/>
        </w:rPr>
        <w:t>9.1.5</w:t>
      </w:r>
      <w:r>
        <w:rPr>
          <w:color w:val="auto"/>
        </w:rPr>
        <w:t xml:space="preserve">  </w:t>
      </w:r>
      <w:r>
        <w:rPr>
          <w:rFonts w:hint="eastAsia"/>
          <w:color w:val="auto"/>
        </w:rPr>
        <w:t>在超高性能混凝土拌合物的运输及浇筑过程中，严禁往拌合物中加水。</w:t>
      </w:r>
    </w:p>
    <w:p w14:paraId="10D5B81C">
      <w:pPr>
        <w:pStyle w:val="326"/>
        <w:rPr>
          <w:color w:val="auto"/>
        </w:rPr>
      </w:pPr>
      <w:r>
        <w:rPr>
          <w:b/>
          <w:bCs/>
          <w:color w:val="auto"/>
        </w:rPr>
        <w:t>9.1.6</w:t>
      </w:r>
      <w:r>
        <w:rPr>
          <w:color w:val="auto"/>
        </w:rPr>
        <w:t xml:space="preserve">  </w:t>
      </w:r>
      <w:r>
        <w:rPr>
          <w:rFonts w:hint="eastAsia"/>
          <w:color w:val="auto"/>
        </w:rPr>
        <w:t>浇筑倒</w:t>
      </w:r>
      <w:r>
        <w:rPr>
          <w:rFonts w:hint="eastAsia"/>
          <w:color w:val="auto"/>
          <w:szCs w:val="21"/>
        </w:rPr>
        <w:t>“T”</w:t>
      </w:r>
      <w:r>
        <w:rPr>
          <w:color w:val="auto"/>
        </w:rPr>
        <w:t>型/“π”型</w:t>
      </w:r>
      <w:bookmarkStart w:id="116" w:name="_Hlk142410816"/>
      <w:r>
        <w:rPr>
          <w:color w:val="auto"/>
        </w:rPr>
        <w:t>超高性能混凝土板</w:t>
      </w:r>
      <w:bookmarkEnd w:id="116"/>
      <w:r>
        <w:rPr>
          <w:rFonts w:hint="eastAsia"/>
          <w:color w:val="auto"/>
        </w:rPr>
        <w:t>时，宜底板与腹板一次性连续浇筑完成，不宜设置施工缝。</w:t>
      </w:r>
    </w:p>
    <w:p w14:paraId="7204C789">
      <w:pPr>
        <w:pStyle w:val="326"/>
        <w:rPr>
          <w:color w:val="auto"/>
        </w:rPr>
      </w:pPr>
      <w:r>
        <w:rPr>
          <w:b/>
          <w:bCs/>
          <w:color w:val="auto"/>
        </w:rPr>
        <w:t>9.1.7</w:t>
      </w:r>
      <w:r>
        <w:rPr>
          <w:color w:val="auto"/>
        </w:rPr>
        <w:t xml:space="preserve">  </w:t>
      </w:r>
      <w:r>
        <w:rPr>
          <w:rFonts w:hint="eastAsia"/>
          <w:color w:val="auto"/>
        </w:rPr>
        <w:t>本规程未明确规定的施工要求应符合国家标准《活性粉末混凝土》（</w:t>
      </w:r>
      <w:r>
        <w:rPr>
          <w:color w:val="auto"/>
        </w:rPr>
        <w:t>GB/T 31387）</w:t>
      </w:r>
      <w:r>
        <w:rPr>
          <w:rFonts w:hint="eastAsia"/>
          <w:color w:val="auto"/>
        </w:rPr>
        <w:t>、</w:t>
      </w:r>
      <w:bookmarkStart w:id="117" w:name="_Hlk143683735"/>
      <w:r>
        <w:rPr>
          <w:rFonts w:hint="eastAsia"/>
          <w:color w:val="auto"/>
        </w:rPr>
        <w:t>现行行业标准《公路桥涵施工技术规范》</w:t>
      </w:r>
      <w:r>
        <w:rPr>
          <w:color w:val="auto"/>
        </w:rPr>
        <w:t>JTG/T 3650</w:t>
      </w:r>
      <w:bookmarkEnd w:id="117"/>
      <w:r>
        <w:rPr>
          <w:rFonts w:hint="eastAsia"/>
          <w:color w:val="auto"/>
        </w:rPr>
        <w:t>及《超高性能混凝土梁式桥技术规程》</w:t>
      </w:r>
      <w:r>
        <w:rPr>
          <w:color w:val="auto"/>
        </w:rPr>
        <w:t>T/CCES 27-2021</w:t>
      </w:r>
      <w:r>
        <w:rPr>
          <w:rFonts w:hint="eastAsia"/>
          <w:color w:val="auto"/>
        </w:rPr>
        <w:t>的相关规定。</w:t>
      </w:r>
    </w:p>
    <w:p w14:paraId="3C67C9E8">
      <w:pPr>
        <w:pStyle w:val="3"/>
        <w:rPr>
          <w:color w:val="auto"/>
        </w:rPr>
      </w:pPr>
      <w:bookmarkStart w:id="118" w:name="_Toc24782"/>
      <w:bookmarkStart w:id="119" w:name="_Toc19183"/>
      <w:bookmarkStart w:id="120" w:name="_Toc21555"/>
      <w:r>
        <w:rPr>
          <w:color w:val="auto"/>
        </w:rPr>
        <w:t>9</w:t>
      </w:r>
      <w:r>
        <w:rPr>
          <w:rFonts w:hint="eastAsia"/>
          <w:color w:val="auto"/>
        </w:rPr>
        <w:t xml:space="preserve">.2 </w:t>
      </w:r>
      <w:r>
        <w:rPr>
          <w:color w:val="auto"/>
        </w:rPr>
        <w:t xml:space="preserve"> </w:t>
      </w:r>
      <w:r>
        <w:rPr>
          <w:rFonts w:hint="eastAsia"/>
          <w:color w:val="auto"/>
        </w:rPr>
        <w:t>钢筋施工</w:t>
      </w:r>
      <w:bookmarkEnd w:id="118"/>
      <w:bookmarkEnd w:id="119"/>
      <w:bookmarkEnd w:id="120"/>
    </w:p>
    <w:p w14:paraId="74B99BED">
      <w:pPr>
        <w:pStyle w:val="326"/>
        <w:rPr>
          <w:color w:val="auto"/>
        </w:rPr>
      </w:pPr>
      <w:r>
        <w:rPr>
          <w:b/>
          <w:bCs/>
          <w:color w:val="auto"/>
        </w:rPr>
        <w:t xml:space="preserve">9.2.1  </w:t>
      </w:r>
      <w:r>
        <w:rPr>
          <w:rFonts w:hint="eastAsia"/>
          <w:color w:val="auto"/>
        </w:rPr>
        <w:t>钢筋施工除应符合现行行业标准《公路桥涵施工技术规范》</w:t>
      </w:r>
      <w:r>
        <w:rPr>
          <w:color w:val="auto"/>
        </w:rPr>
        <w:t>JTG/T 3650</w:t>
      </w:r>
      <w:r>
        <w:rPr>
          <w:rFonts w:hint="eastAsia"/>
          <w:color w:val="auto"/>
        </w:rPr>
        <w:t>的相关规定之外，尚应符合下列规定：</w:t>
      </w:r>
    </w:p>
    <w:p w14:paraId="0F9FBA5A">
      <w:pPr>
        <w:pStyle w:val="326"/>
        <w:ind w:firstLine="420" w:firstLineChars="200"/>
        <w:rPr>
          <w:color w:val="auto"/>
        </w:rPr>
      </w:pPr>
      <w:r>
        <w:rPr>
          <w:color w:val="auto"/>
        </w:rPr>
        <w:t xml:space="preserve">1 </w:t>
      </w:r>
      <w:r>
        <w:rPr>
          <w:rFonts w:hint="eastAsia"/>
          <w:color w:val="auto"/>
        </w:rPr>
        <w:t>超高性能混凝土板底板受力纵筋宜采用通长布置。</w:t>
      </w:r>
    </w:p>
    <w:p w14:paraId="7DBCCDDB">
      <w:pPr>
        <w:pStyle w:val="326"/>
        <w:ind w:firstLine="420" w:firstLineChars="200"/>
        <w:rPr>
          <w:color w:val="auto"/>
        </w:rPr>
      </w:pPr>
      <w:r>
        <w:rPr>
          <w:color w:val="auto"/>
        </w:rPr>
        <w:t xml:space="preserve">2 </w:t>
      </w:r>
      <w:r>
        <w:rPr>
          <w:rFonts w:hint="eastAsia"/>
          <w:color w:val="auto"/>
        </w:rPr>
        <w:t>钢筋与模板之间应设置垫块，垫块宜采用与主体结构同等级超高性能混凝土制作垫块。</w:t>
      </w:r>
    </w:p>
    <w:p w14:paraId="4F324F7B">
      <w:pPr>
        <w:pStyle w:val="3"/>
        <w:rPr>
          <w:color w:val="auto"/>
        </w:rPr>
      </w:pPr>
      <w:bookmarkStart w:id="121" w:name="_Toc8408"/>
      <w:bookmarkStart w:id="122" w:name="_Toc21425"/>
      <w:bookmarkStart w:id="123" w:name="_Toc4825"/>
      <w:r>
        <w:rPr>
          <w:color w:val="auto"/>
        </w:rPr>
        <w:t xml:space="preserve">9.3  </w:t>
      </w:r>
      <w:r>
        <w:rPr>
          <w:rFonts w:hint="eastAsia"/>
          <w:color w:val="auto"/>
        </w:rPr>
        <w:t>模板</w:t>
      </w:r>
      <w:bookmarkEnd w:id="121"/>
      <w:bookmarkEnd w:id="122"/>
      <w:bookmarkEnd w:id="123"/>
    </w:p>
    <w:p w14:paraId="58200483">
      <w:pPr>
        <w:pStyle w:val="326"/>
        <w:rPr>
          <w:color w:val="auto"/>
        </w:rPr>
      </w:pPr>
      <w:r>
        <w:rPr>
          <w:b/>
          <w:bCs/>
          <w:color w:val="auto"/>
        </w:rPr>
        <w:t xml:space="preserve">9.3.1 </w:t>
      </w:r>
      <w:r>
        <w:rPr>
          <w:color w:val="auto"/>
        </w:rPr>
        <w:t xml:space="preserve"> </w:t>
      </w:r>
      <w:r>
        <w:rPr>
          <w:rFonts w:hint="eastAsia"/>
          <w:color w:val="auto"/>
        </w:rPr>
        <w:t>模板的设计除应符合现行行业标准《公路桥涵施工技术规范》</w:t>
      </w:r>
      <w:r>
        <w:rPr>
          <w:color w:val="auto"/>
        </w:rPr>
        <w:t xml:space="preserve">JTG/T 3650 </w:t>
      </w:r>
      <w:bookmarkStart w:id="124" w:name="_Hlk142324950"/>
      <w:r>
        <w:rPr>
          <w:rFonts w:hint="eastAsia"/>
          <w:color w:val="auto"/>
        </w:rPr>
        <w:t>的相关规定之外，尚应符合下列规定：</w:t>
      </w:r>
      <w:bookmarkEnd w:id="124"/>
    </w:p>
    <w:p w14:paraId="5F5A05D5">
      <w:pPr>
        <w:pStyle w:val="326"/>
        <w:ind w:firstLine="420" w:firstLineChars="200"/>
        <w:rPr>
          <w:color w:val="auto"/>
        </w:rPr>
      </w:pPr>
      <w:r>
        <w:rPr>
          <w:color w:val="auto"/>
        </w:rPr>
        <w:t xml:space="preserve">1 </w:t>
      </w:r>
      <w:r>
        <w:rPr>
          <w:rFonts w:hint="eastAsia"/>
          <w:color w:val="auto"/>
        </w:rPr>
        <w:t>超高性能混凝土板模板宜采用钢模，应保证足够的强度、刚度和密封性。</w:t>
      </w:r>
    </w:p>
    <w:p w14:paraId="1B9E99F8">
      <w:pPr>
        <w:pStyle w:val="326"/>
        <w:ind w:firstLine="420" w:firstLineChars="200"/>
        <w:rPr>
          <w:color w:val="auto"/>
        </w:rPr>
      </w:pPr>
      <w:r>
        <w:rPr>
          <w:color w:val="auto"/>
        </w:rPr>
        <w:t xml:space="preserve">2 </w:t>
      </w:r>
      <w:r>
        <w:rPr>
          <w:rFonts w:hint="eastAsia"/>
          <w:color w:val="auto"/>
        </w:rPr>
        <w:t>模板应能适应构件的高温蒸汽养护，对于钢模板表面尚应进行防腐防锈处理。</w:t>
      </w:r>
    </w:p>
    <w:p w14:paraId="2E856D8D">
      <w:pPr>
        <w:pStyle w:val="326"/>
        <w:ind w:firstLine="420" w:firstLineChars="200"/>
        <w:rPr>
          <w:color w:val="auto"/>
        </w:rPr>
      </w:pPr>
      <w:r>
        <w:rPr>
          <w:color w:val="auto"/>
        </w:rPr>
        <w:t xml:space="preserve">3 </w:t>
      </w:r>
      <w:r>
        <w:rPr>
          <w:rFonts w:hint="eastAsia"/>
          <w:color w:val="auto"/>
        </w:rPr>
        <w:t>新浇筑超高性能混凝土对</w:t>
      </w:r>
      <w:bookmarkStart w:id="125" w:name="_Hlk142409341"/>
      <w:r>
        <w:rPr>
          <w:rFonts w:hint="eastAsia"/>
          <w:color w:val="auto"/>
        </w:rPr>
        <w:t>模板的最大侧压力</w:t>
      </w:r>
      <w:bookmarkEnd w:id="125"/>
      <w:r>
        <w:rPr>
          <w:rFonts w:hint="eastAsia"/>
          <w:color w:val="auto"/>
        </w:rPr>
        <w:t>应按下式计算：</w:t>
      </w:r>
    </w:p>
    <w:p w14:paraId="4FC88560">
      <w:pPr>
        <w:pStyle w:val="326"/>
        <w:jc w:val="right"/>
        <w:rPr>
          <w:color w:val="auto"/>
        </w:rPr>
      </w:pPr>
      <m:oMath>
        <m:r>
          <m:rPr/>
          <w:rPr>
            <w:rFonts w:ascii="Cambria Math" w:hAnsi="Cambria Math"/>
            <w:color w:val="auto"/>
          </w:rPr>
          <m:t>F=</m:t>
        </m:r>
        <m:sSub>
          <w:bookmarkStart w:id="126" w:name="_Hlk142149635"/>
          <m:sSubPr>
            <m:ctrlPr>
              <w:rPr>
                <w:rFonts w:ascii="Cambria Math" w:hAnsi="Cambria Math"/>
                <w:i/>
                <w:color w:val="auto"/>
              </w:rPr>
            </m:ctrlPr>
          </m:sSubPr>
          <m:e>
            <m:r>
              <m:rPr/>
              <w:rPr>
                <w:rFonts w:ascii="Cambria Math" w:hAnsi="Cambria Math"/>
                <w:color w:val="auto"/>
              </w:rPr>
              <m:t>γ</m:t>
            </m:r>
            <m:ctrlPr>
              <w:rPr>
                <w:rFonts w:ascii="Cambria Math" w:hAnsi="Cambria Math"/>
                <w:i/>
                <w:color w:val="auto"/>
              </w:rPr>
            </m:ctrlPr>
          </m:e>
          <m:sub>
            <m:r>
              <m:rPr/>
              <w:rPr>
                <w:rFonts w:ascii="Cambria Math" w:hAnsi="Cambria Math"/>
                <w:color w:val="auto"/>
              </w:rPr>
              <m:t>c</m:t>
            </m:r>
            <w:bookmarkEnd w:id="126"/>
            <m:ctrlPr>
              <w:rPr>
                <w:rFonts w:ascii="Cambria Math" w:hAnsi="Cambria Math"/>
                <w:i/>
                <w:color w:val="auto"/>
              </w:rPr>
            </m:ctrlPr>
          </m:sub>
        </m:sSub>
        <m:r>
          <m:rPr/>
          <w:rPr>
            <w:rFonts w:ascii="Cambria Math" w:hAnsi="Cambria Math"/>
            <w:color w:val="auto"/>
          </w:rPr>
          <m:t>H</m:t>
        </m:r>
      </m:oMath>
      <w:r>
        <w:rPr>
          <w:color w:val="auto"/>
        </w:rPr>
        <w:t xml:space="preserve">                               (10.3.1)</w:t>
      </w:r>
    </w:p>
    <w:p w14:paraId="5AB194D5">
      <w:pPr>
        <w:pStyle w:val="326"/>
        <w:rPr>
          <w:color w:val="auto"/>
        </w:rPr>
      </w:pPr>
      <w:r>
        <w:rPr>
          <w:rFonts w:hint="eastAsia"/>
          <w:color w:val="auto"/>
        </w:rPr>
        <w:t>式中：</w:t>
      </w:r>
      <w:r>
        <w:rPr>
          <w:color w:val="auto"/>
        </w:rPr>
        <w:t xml:space="preserve"> </w:t>
      </w:r>
      <w:r>
        <w:rPr>
          <w:i/>
          <w:iCs/>
          <w:color w:val="auto"/>
        </w:rPr>
        <w:t>F</w:t>
      </w:r>
      <w:bookmarkStart w:id="127" w:name="_Hlk142149705"/>
      <w:r>
        <w:rPr>
          <w:rFonts w:hint="eastAsia"/>
          <w:color w:val="auto"/>
        </w:rPr>
        <w:t>—</w:t>
      </w:r>
      <w:bookmarkEnd w:id="127"/>
      <w:r>
        <w:rPr>
          <w:rFonts w:hint="eastAsia"/>
          <w:color w:val="auto"/>
        </w:rPr>
        <w:t>新浇筑超高性能混凝土对模板的最大侧压力（</w:t>
      </w:r>
      <w:r>
        <w:rPr>
          <w:color w:val="auto"/>
        </w:rPr>
        <w:t>N/mm</w:t>
      </w:r>
      <w:r>
        <w:rPr>
          <w:color w:val="auto"/>
          <w:vertAlign w:val="superscript"/>
        </w:rPr>
        <w:t>2</w:t>
      </w:r>
      <w:r>
        <w:rPr>
          <w:rFonts w:hint="eastAsia"/>
          <w:color w:val="auto"/>
        </w:rPr>
        <w:t>）；</w:t>
      </w:r>
    </w:p>
    <w:p w14:paraId="69A78ADD">
      <w:pPr>
        <w:pStyle w:val="326"/>
        <w:ind w:firstLine="735" w:firstLineChars="350"/>
        <w:rPr>
          <w:color w:val="auto"/>
        </w:rPr>
      </w:pPr>
      <m:oMath>
        <m:sSub>
          <m:sSubPr>
            <m:ctrlPr>
              <w:rPr>
                <w:rFonts w:ascii="Cambria Math" w:hAnsi="Cambria Math"/>
                <w:i/>
                <w:color w:val="auto"/>
              </w:rPr>
            </m:ctrlPr>
          </m:sSubPr>
          <m:e>
            <m:r>
              <m:rPr/>
              <w:rPr>
                <w:rFonts w:ascii="Cambria Math" w:hAnsi="Cambria Math"/>
                <w:color w:val="auto"/>
              </w:rPr>
              <m:t>γ</m:t>
            </m:r>
            <m:ctrlPr>
              <w:rPr>
                <w:rFonts w:ascii="Cambria Math" w:hAnsi="Cambria Math"/>
                <w:i/>
                <w:color w:val="auto"/>
              </w:rPr>
            </m:ctrlPr>
          </m:e>
          <m:sub>
            <m:r>
              <m:rPr/>
              <w:rPr>
                <w:rFonts w:ascii="Cambria Math" w:hAnsi="Cambria Math"/>
                <w:color w:val="auto"/>
              </w:rPr>
              <m:t>c</m:t>
            </m:r>
            <m:ctrlPr>
              <w:rPr>
                <w:rFonts w:ascii="Cambria Math" w:hAnsi="Cambria Math"/>
                <w:i/>
                <w:color w:val="auto"/>
              </w:rPr>
            </m:ctrlPr>
          </m:sub>
        </m:sSub>
      </m:oMath>
      <w:r>
        <w:rPr>
          <w:rFonts w:hint="eastAsia"/>
          <w:color w:val="auto"/>
        </w:rPr>
        <w:t>—超高性能混凝土的重力密度（</w:t>
      </w:r>
      <w:r>
        <w:rPr>
          <w:color w:val="auto"/>
        </w:rPr>
        <w:t>N/mm</w:t>
      </w:r>
      <w:r>
        <w:rPr>
          <w:color w:val="auto"/>
          <w:vertAlign w:val="superscript"/>
        </w:rPr>
        <w:t>3</w:t>
      </w:r>
      <w:r>
        <w:rPr>
          <w:rFonts w:hint="eastAsia"/>
          <w:color w:val="auto"/>
        </w:rPr>
        <w:t>）；</w:t>
      </w:r>
    </w:p>
    <w:p w14:paraId="5B87382B">
      <w:pPr>
        <w:pStyle w:val="326"/>
        <w:ind w:firstLine="735" w:firstLineChars="350"/>
        <w:rPr>
          <w:color w:val="auto"/>
        </w:rPr>
      </w:pPr>
      <w:r>
        <w:rPr>
          <w:i/>
          <w:iCs/>
          <w:color w:val="auto"/>
        </w:rPr>
        <w:t>H</w:t>
      </w:r>
      <w:r>
        <w:rPr>
          <w:rFonts w:hint="eastAsia"/>
          <w:color w:val="auto"/>
        </w:rPr>
        <w:t>—超高性能混凝土侧压力计算位置处至新浇超高性能混凝土顶面的总高度（</w:t>
      </w:r>
      <w:r>
        <w:rPr>
          <w:color w:val="auto"/>
        </w:rPr>
        <w:t>mm</w:t>
      </w:r>
      <w:r>
        <w:rPr>
          <w:rFonts w:hint="eastAsia"/>
          <w:color w:val="auto"/>
        </w:rPr>
        <w:t>）。</w:t>
      </w:r>
    </w:p>
    <w:p w14:paraId="6D82BB6F">
      <w:pPr>
        <w:pStyle w:val="326"/>
        <w:rPr>
          <w:color w:val="auto"/>
        </w:rPr>
      </w:pPr>
      <w:r>
        <w:rPr>
          <w:b/>
          <w:bCs/>
          <w:color w:val="auto"/>
        </w:rPr>
        <w:t>9.3.2</w:t>
      </w:r>
      <w:r>
        <w:rPr>
          <w:color w:val="auto"/>
        </w:rPr>
        <w:t xml:space="preserve">  </w:t>
      </w:r>
      <w:r>
        <w:rPr>
          <w:rFonts w:hint="eastAsia"/>
          <w:color w:val="auto"/>
        </w:rPr>
        <w:t>模板的制作、安装除应符合现行行业标准《公路桥涵施工技术规范》</w:t>
      </w:r>
      <w:r>
        <w:rPr>
          <w:color w:val="auto"/>
        </w:rPr>
        <w:t xml:space="preserve">JTG/T 3650 </w:t>
      </w:r>
      <w:r>
        <w:rPr>
          <w:rFonts w:hint="eastAsia"/>
          <w:color w:val="auto"/>
        </w:rPr>
        <w:t>的相关规定之外，尚应符合下列规定：</w:t>
      </w:r>
    </w:p>
    <w:p w14:paraId="4B5D8E28">
      <w:pPr>
        <w:pStyle w:val="326"/>
        <w:ind w:firstLine="420" w:firstLineChars="200"/>
        <w:rPr>
          <w:color w:val="auto"/>
        </w:rPr>
      </w:pPr>
      <w:r>
        <w:rPr>
          <w:color w:val="auto"/>
        </w:rPr>
        <w:t xml:space="preserve">1 </w:t>
      </w:r>
      <w:r>
        <w:rPr>
          <w:rFonts w:hint="eastAsia"/>
          <w:color w:val="auto"/>
        </w:rPr>
        <w:t>钢模板安装应连接牢固、局部缝隙可喷涂发泡胶，确保密封严密，无漏浆、无错台。</w:t>
      </w:r>
    </w:p>
    <w:p w14:paraId="5F235FAF">
      <w:pPr>
        <w:pStyle w:val="326"/>
        <w:ind w:firstLine="420" w:firstLineChars="200"/>
        <w:rPr>
          <w:color w:val="auto"/>
        </w:rPr>
      </w:pPr>
      <w:r>
        <w:rPr>
          <w:color w:val="auto"/>
        </w:rPr>
        <w:t xml:space="preserve">2 </w:t>
      </w:r>
      <w:r>
        <w:rPr>
          <w:rFonts w:hint="eastAsia"/>
          <w:color w:val="auto"/>
        </w:rPr>
        <w:t>应根据</w:t>
      </w:r>
      <w:r>
        <w:rPr>
          <w:color w:val="auto"/>
        </w:rPr>
        <w:t>9.3.1</w:t>
      </w:r>
      <w:r>
        <w:rPr>
          <w:rFonts w:hint="eastAsia"/>
          <w:color w:val="auto"/>
        </w:rPr>
        <w:t>条的模板最大侧压力计算结果，采取可靠限位措施防止超高性能混凝土底板上表面钢模板的上浮、偏位以及腹板侧模的局部鼓起。</w:t>
      </w:r>
    </w:p>
    <w:p w14:paraId="6B1A9D87">
      <w:pPr>
        <w:pStyle w:val="326"/>
        <w:ind w:firstLine="420" w:firstLineChars="200"/>
        <w:rPr>
          <w:color w:val="auto"/>
        </w:rPr>
      </w:pPr>
      <w:r>
        <w:rPr>
          <w:color w:val="auto"/>
        </w:rPr>
        <w:t xml:space="preserve">3 </w:t>
      </w:r>
      <w:r>
        <w:rPr>
          <w:rFonts w:hint="eastAsia"/>
          <w:color w:val="auto"/>
        </w:rPr>
        <w:t>钢模板与超高性能混凝土的接触面应清理干净并应涂刷脱模剂，脱模剂不得污染超高性能混凝土表面。</w:t>
      </w:r>
    </w:p>
    <w:p w14:paraId="771A45E4">
      <w:pPr>
        <w:pStyle w:val="326"/>
        <w:ind w:firstLine="420" w:firstLineChars="200"/>
        <w:rPr>
          <w:color w:val="auto"/>
        </w:rPr>
      </w:pPr>
      <w:r>
        <w:rPr>
          <w:color w:val="auto"/>
        </w:rPr>
        <w:t xml:space="preserve">4 </w:t>
      </w:r>
      <w:r>
        <w:rPr>
          <w:rFonts w:hint="eastAsia"/>
          <w:color w:val="auto"/>
        </w:rPr>
        <w:t>模板安装质量应满足</w:t>
      </w:r>
      <w:bookmarkStart w:id="128" w:name="_Hlk143701696"/>
      <w:r>
        <w:rPr>
          <w:rFonts w:hint="eastAsia"/>
          <w:color w:val="auto"/>
        </w:rPr>
        <w:t>表</w:t>
      </w:r>
      <w:r>
        <w:rPr>
          <w:color w:val="auto"/>
        </w:rPr>
        <w:t xml:space="preserve">9.3.2 </w:t>
      </w:r>
      <w:r>
        <w:rPr>
          <w:rFonts w:hint="eastAsia"/>
          <w:color w:val="auto"/>
        </w:rPr>
        <w:t>的规定</w:t>
      </w:r>
      <w:bookmarkEnd w:id="128"/>
      <w:r>
        <w:rPr>
          <w:rFonts w:hint="eastAsia"/>
          <w:color w:val="auto"/>
        </w:rPr>
        <w:t>。</w:t>
      </w:r>
    </w:p>
    <w:p w14:paraId="45F833CA">
      <w:pPr>
        <w:jc w:val="center"/>
        <w:rPr>
          <w:rFonts w:ascii="Times New Roman" w:hAnsi="Times New Roman" w:eastAsia="黑体" w:cs="Times New Roman"/>
          <w:color w:val="auto"/>
          <w:sz w:val="18"/>
          <w:szCs w:val="20"/>
        </w:rPr>
      </w:pPr>
      <w:r>
        <w:rPr>
          <w:rFonts w:ascii="Times New Roman" w:hAnsi="Times New Roman" w:eastAsia="黑体" w:cs="Times New Roman"/>
          <w:color w:val="auto"/>
          <w:sz w:val="18"/>
          <w:szCs w:val="20"/>
        </w:rPr>
        <w:t>表9.3.2 模板安装质量标准</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701"/>
        <w:gridCol w:w="2126"/>
        <w:gridCol w:w="3765"/>
      </w:tblGrid>
      <w:tr w14:paraId="30618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5DE79EE1">
            <w:pPr>
              <w:pStyle w:val="326"/>
              <w:jc w:val="center"/>
              <w:rPr>
                <w:color w:val="auto"/>
                <w:sz w:val="18"/>
                <w:szCs w:val="18"/>
              </w:rPr>
            </w:pPr>
            <w:r>
              <w:rPr>
                <w:color w:val="auto"/>
                <w:sz w:val="18"/>
                <w:szCs w:val="18"/>
              </w:rPr>
              <w:t>项次</w:t>
            </w:r>
          </w:p>
        </w:tc>
        <w:tc>
          <w:tcPr>
            <w:tcW w:w="1701" w:type="dxa"/>
            <w:vAlign w:val="center"/>
          </w:tcPr>
          <w:p w14:paraId="19C6F70E">
            <w:pPr>
              <w:pStyle w:val="326"/>
              <w:jc w:val="center"/>
              <w:rPr>
                <w:color w:val="auto"/>
                <w:sz w:val="18"/>
                <w:szCs w:val="18"/>
              </w:rPr>
            </w:pPr>
            <w:r>
              <w:rPr>
                <w:color w:val="auto"/>
                <w:sz w:val="18"/>
                <w:szCs w:val="18"/>
              </w:rPr>
              <w:t>项目</w:t>
            </w:r>
          </w:p>
        </w:tc>
        <w:tc>
          <w:tcPr>
            <w:tcW w:w="2126" w:type="dxa"/>
            <w:vAlign w:val="center"/>
          </w:tcPr>
          <w:p w14:paraId="01009B59">
            <w:pPr>
              <w:pStyle w:val="326"/>
              <w:jc w:val="center"/>
              <w:rPr>
                <w:color w:val="auto"/>
                <w:sz w:val="18"/>
                <w:szCs w:val="18"/>
              </w:rPr>
            </w:pPr>
            <w:r>
              <w:rPr>
                <w:color w:val="auto"/>
                <w:sz w:val="18"/>
                <w:szCs w:val="18"/>
              </w:rPr>
              <w:t>允许偏差（mm）</w:t>
            </w:r>
          </w:p>
        </w:tc>
        <w:tc>
          <w:tcPr>
            <w:tcW w:w="3765" w:type="dxa"/>
            <w:vAlign w:val="center"/>
          </w:tcPr>
          <w:p w14:paraId="0F544ED8">
            <w:pPr>
              <w:pStyle w:val="326"/>
              <w:jc w:val="center"/>
              <w:rPr>
                <w:color w:val="auto"/>
                <w:sz w:val="18"/>
                <w:szCs w:val="18"/>
              </w:rPr>
            </w:pPr>
            <w:r>
              <w:rPr>
                <w:color w:val="auto"/>
                <w:sz w:val="18"/>
                <w:szCs w:val="18"/>
              </w:rPr>
              <w:t>检查方法和频率</w:t>
            </w:r>
          </w:p>
        </w:tc>
      </w:tr>
      <w:tr w14:paraId="526A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277B2272">
            <w:pPr>
              <w:pStyle w:val="326"/>
              <w:jc w:val="center"/>
              <w:rPr>
                <w:color w:val="auto"/>
                <w:sz w:val="18"/>
                <w:szCs w:val="18"/>
              </w:rPr>
            </w:pPr>
            <w:r>
              <w:rPr>
                <w:color w:val="auto"/>
                <w:sz w:val="18"/>
                <w:szCs w:val="18"/>
              </w:rPr>
              <w:t>1</w:t>
            </w:r>
          </w:p>
        </w:tc>
        <w:tc>
          <w:tcPr>
            <w:tcW w:w="1701" w:type="dxa"/>
            <w:vAlign w:val="center"/>
          </w:tcPr>
          <w:p w14:paraId="39E540D3">
            <w:pPr>
              <w:pStyle w:val="326"/>
              <w:jc w:val="center"/>
              <w:rPr>
                <w:color w:val="auto"/>
                <w:sz w:val="18"/>
                <w:szCs w:val="18"/>
              </w:rPr>
            </w:pPr>
            <w:r>
              <w:rPr>
                <w:color w:val="auto"/>
                <w:sz w:val="18"/>
                <w:szCs w:val="18"/>
              </w:rPr>
              <w:t>模板高程</w:t>
            </w:r>
          </w:p>
        </w:tc>
        <w:tc>
          <w:tcPr>
            <w:tcW w:w="2126" w:type="dxa"/>
            <w:vAlign w:val="center"/>
          </w:tcPr>
          <w:p w14:paraId="2AF4B2D6">
            <w:pPr>
              <w:pStyle w:val="326"/>
              <w:jc w:val="center"/>
              <w:rPr>
                <w:color w:val="auto"/>
                <w:sz w:val="18"/>
                <w:szCs w:val="18"/>
              </w:rPr>
            </w:pPr>
            <w:r>
              <w:rPr>
                <w:color w:val="auto"/>
                <w:sz w:val="18"/>
                <w:szCs w:val="18"/>
              </w:rPr>
              <w:t>±10</w:t>
            </w:r>
          </w:p>
        </w:tc>
        <w:tc>
          <w:tcPr>
            <w:tcW w:w="3765" w:type="dxa"/>
            <w:vAlign w:val="center"/>
          </w:tcPr>
          <w:p w14:paraId="087D852D">
            <w:pPr>
              <w:pStyle w:val="326"/>
              <w:jc w:val="center"/>
              <w:rPr>
                <w:color w:val="auto"/>
                <w:sz w:val="18"/>
                <w:szCs w:val="18"/>
              </w:rPr>
            </w:pPr>
            <w:r>
              <w:rPr>
                <w:color w:val="auto"/>
                <w:sz w:val="18"/>
                <w:szCs w:val="18"/>
              </w:rPr>
              <w:t>水准仪：每个构件测 1 处</w:t>
            </w:r>
          </w:p>
        </w:tc>
      </w:tr>
      <w:tr w14:paraId="31485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4CC69CE">
            <w:pPr>
              <w:pStyle w:val="326"/>
              <w:jc w:val="center"/>
              <w:rPr>
                <w:color w:val="auto"/>
                <w:sz w:val="18"/>
                <w:szCs w:val="18"/>
              </w:rPr>
            </w:pPr>
            <w:r>
              <w:rPr>
                <w:color w:val="auto"/>
                <w:sz w:val="18"/>
                <w:szCs w:val="18"/>
              </w:rPr>
              <w:t>2</w:t>
            </w:r>
          </w:p>
        </w:tc>
        <w:tc>
          <w:tcPr>
            <w:tcW w:w="1701" w:type="dxa"/>
            <w:vAlign w:val="center"/>
          </w:tcPr>
          <w:p w14:paraId="1103F31C">
            <w:pPr>
              <w:pStyle w:val="326"/>
              <w:jc w:val="center"/>
              <w:rPr>
                <w:color w:val="auto"/>
                <w:sz w:val="18"/>
                <w:szCs w:val="18"/>
              </w:rPr>
            </w:pPr>
            <w:r>
              <w:rPr>
                <w:color w:val="auto"/>
                <w:sz w:val="18"/>
                <w:szCs w:val="18"/>
              </w:rPr>
              <w:t>模板尺寸</w:t>
            </w:r>
          </w:p>
        </w:tc>
        <w:tc>
          <w:tcPr>
            <w:tcW w:w="2126" w:type="dxa"/>
            <w:vAlign w:val="center"/>
          </w:tcPr>
          <w:p w14:paraId="5F922288">
            <w:pPr>
              <w:pStyle w:val="326"/>
              <w:jc w:val="center"/>
              <w:rPr>
                <w:color w:val="auto"/>
                <w:sz w:val="18"/>
                <w:szCs w:val="18"/>
              </w:rPr>
            </w:pPr>
            <w:r>
              <w:rPr>
                <w:color w:val="auto"/>
                <w:sz w:val="18"/>
                <w:szCs w:val="18"/>
              </w:rPr>
              <w:t>+5，-0</w:t>
            </w:r>
          </w:p>
        </w:tc>
        <w:tc>
          <w:tcPr>
            <w:tcW w:w="3765" w:type="dxa"/>
            <w:vAlign w:val="center"/>
          </w:tcPr>
          <w:p w14:paraId="04439F71">
            <w:pPr>
              <w:pStyle w:val="326"/>
              <w:jc w:val="center"/>
              <w:rPr>
                <w:color w:val="auto"/>
                <w:sz w:val="18"/>
                <w:szCs w:val="18"/>
              </w:rPr>
            </w:pPr>
            <w:r>
              <w:rPr>
                <w:color w:val="auto"/>
                <w:sz w:val="18"/>
                <w:szCs w:val="18"/>
              </w:rPr>
              <w:t>尺量：每个构件长、宽、高各测 1 点</w:t>
            </w:r>
          </w:p>
        </w:tc>
      </w:tr>
      <w:tr w14:paraId="2073C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3E7D7F78">
            <w:pPr>
              <w:pStyle w:val="326"/>
              <w:jc w:val="center"/>
              <w:rPr>
                <w:color w:val="auto"/>
                <w:sz w:val="18"/>
                <w:szCs w:val="18"/>
              </w:rPr>
            </w:pPr>
            <w:r>
              <w:rPr>
                <w:color w:val="auto"/>
                <w:sz w:val="18"/>
                <w:szCs w:val="18"/>
              </w:rPr>
              <w:t>3</w:t>
            </w:r>
          </w:p>
        </w:tc>
        <w:tc>
          <w:tcPr>
            <w:tcW w:w="1701" w:type="dxa"/>
            <w:vAlign w:val="center"/>
          </w:tcPr>
          <w:p w14:paraId="6F8FF967">
            <w:pPr>
              <w:pStyle w:val="326"/>
              <w:jc w:val="center"/>
              <w:rPr>
                <w:color w:val="auto"/>
                <w:sz w:val="18"/>
                <w:szCs w:val="18"/>
              </w:rPr>
            </w:pPr>
            <w:r>
              <w:rPr>
                <w:color w:val="auto"/>
                <w:sz w:val="18"/>
                <w:szCs w:val="18"/>
              </w:rPr>
              <w:t>轴线偏位</w:t>
            </w:r>
          </w:p>
        </w:tc>
        <w:tc>
          <w:tcPr>
            <w:tcW w:w="2126" w:type="dxa"/>
            <w:vAlign w:val="center"/>
          </w:tcPr>
          <w:p w14:paraId="015FEA52">
            <w:pPr>
              <w:pStyle w:val="326"/>
              <w:jc w:val="center"/>
              <w:rPr>
                <w:color w:val="auto"/>
                <w:sz w:val="18"/>
                <w:szCs w:val="18"/>
              </w:rPr>
            </w:pPr>
            <w:r>
              <w:rPr>
                <w:color w:val="auto"/>
                <w:sz w:val="18"/>
                <w:szCs w:val="18"/>
              </w:rPr>
              <w:t>10</w:t>
            </w:r>
          </w:p>
        </w:tc>
        <w:tc>
          <w:tcPr>
            <w:tcW w:w="3765" w:type="dxa"/>
            <w:vAlign w:val="center"/>
          </w:tcPr>
          <w:p w14:paraId="57ACEFAE">
            <w:pPr>
              <w:pStyle w:val="326"/>
              <w:jc w:val="center"/>
              <w:rPr>
                <w:color w:val="auto"/>
                <w:sz w:val="18"/>
                <w:szCs w:val="18"/>
              </w:rPr>
            </w:pPr>
            <w:r>
              <w:rPr>
                <w:color w:val="auto"/>
                <w:sz w:val="18"/>
                <w:szCs w:val="18"/>
              </w:rPr>
              <w:t>经纬仪：每个构件纵、横向各测1点</w:t>
            </w:r>
          </w:p>
        </w:tc>
      </w:tr>
      <w:tr w14:paraId="0EB7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13A42F79">
            <w:pPr>
              <w:pStyle w:val="326"/>
              <w:jc w:val="center"/>
              <w:rPr>
                <w:color w:val="auto"/>
                <w:sz w:val="18"/>
                <w:szCs w:val="18"/>
              </w:rPr>
            </w:pPr>
            <w:r>
              <w:rPr>
                <w:color w:val="auto"/>
                <w:sz w:val="18"/>
                <w:szCs w:val="18"/>
              </w:rPr>
              <w:t>4</w:t>
            </w:r>
          </w:p>
        </w:tc>
        <w:tc>
          <w:tcPr>
            <w:tcW w:w="1701" w:type="dxa"/>
            <w:vAlign w:val="center"/>
          </w:tcPr>
          <w:p w14:paraId="1CBDF9F8">
            <w:pPr>
              <w:pStyle w:val="326"/>
              <w:jc w:val="center"/>
              <w:rPr>
                <w:color w:val="auto"/>
                <w:sz w:val="18"/>
                <w:szCs w:val="18"/>
              </w:rPr>
            </w:pPr>
            <w:r>
              <w:rPr>
                <w:color w:val="auto"/>
                <w:sz w:val="18"/>
                <w:szCs w:val="18"/>
              </w:rPr>
              <w:t>支承面高程</w:t>
            </w:r>
          </w:p>
        </w:tc>
        <w:tc>
          <w:tcPr>
            <w:tcW w:w="2126" w:type="dxa"/>
            <w:vAlign w:val="center"/>
          </w:tcPr>
          <w:p w14:paraId="3F2B5DBC">
            <w:pPr>
              <w:pStyle w:val="326"/>
              <w:jc w:val="center"/>
              <w:rPr>
                <w:color w:val="auto"/>
                <w:sz w:val="18"/>
                <w:szCs w:val="18"/>
              </w:rPr>
            </w:pPr>
            <w:r>
              <w:rPr>
                <w:color w:val="auto"/>
                <w:sz w:val="18"/>
                <w:szCs w:val="18"/>
              </w:rPr>
              <w:t xml:space="preserve">+2，-5 </w:t>
            </w:r>
          </w:p>
        </w:tc>
        <w:tc>
          <w:tcPr>
            <w:tcW w:w="3765" w:type="dxa"/>
            <w:vAlign w:val="center"/>
          </w:tcPr>
          <w:p w14:paraId="7DB7C970">
            <w:pPr>
              <w:pStyle w:val="326"/>
              <w:jc w:val="center"/>
              <w:rPr>
                <w:color w:val="auto"/>
                <w:sz w:val="18"/>
                <w:szCs w:val="18"/>
              </w:rPr>
            </w:pPr>
            <w:r>
              <w:rPr>
                <w:color w:val="auto"/>
                <w:sz w:val="18"/>
                <w:szCs w:val="18"/>
              </w:rPr>
              <w:t>水准仪：每个支承面测1 点</w:t>
            </w:r>
          </w:p>
        </w:tc>
      </w:tr>
      <w:tr w14:paraId="4F5A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3C4896D0">
            <w:pPr>
              <w:pStyle w:val="326"/>
              <w:jc w:val="center"/>
              <w:rPr>
                <w:color w:val="auto"/>
                <w:sz w:val="18"/>
                <w:szCs w:val="18"/>
              </w:rPr>
            </w:pPr>
            <w:r>
              <w:rPr>
                <w:color w:val="auto"/>
                <w:sz w:val="18"/>
                <w:szCs w:val="18"/>
              </w:rPr>
              <w:t>5</w:t>
            </w:r>
          </w:p>
        </w:tc>
        <w:tc>
          <w:tcPr>
            <w:tcW w:w="1701" w:type="dxa"/>
            <w:vAlign w:val="center"/>
          </w:tcPr>
          <w:p w14:paraId="47CE8F9D">
            <w:pPr>
              <w:pStyle w:val="326"/>
              <w:jc w:val="center"/>
              <w:rPr>
                <w:color w:val="auto"/>
                <w:sz w:val="18"/>
                <w:szCs w:val="18"/>
              </w:rPr>
            </w:pPr>
            <w:r>
              <w:rPr>
                <w:color w:val="auto"/>
                <w:sz w:val="18"/>
                <w:szCs w:val="18"/>
              </w:rPr>
              <w:t>表面平整度</w:t>
            </w:r>
          </w:p>
        </w:tc>
        <w:tc>
          <w:tcPr>
            <w:tcW w:w="2126" w:type="dxa"/>
            <w:vAlign w:val="center"/>
          </w:tcPr>
          <w:p w14:paraId="5A686302">
            <w:pPr>
              <w:pStyle w:val="326"/>
              <w:jc w:val="center"/>
              <w:rPr>
                <w:color w:val="auto"/>
                <w:sz w:val="18"/>
                <w:szCs w:val="18"/>
              </w:rPr>
            </w:pPr>
            <w:r>
              <w:rPr>
                <w:color w:val="auto"/>
                <w:sz w:val="18"/>
                <w:szCs w:val="18"/>
              </w:rPr>
              <w:t>3</w:t>
            </w:r>
          </w:p>
        </w:tc>
        <w:tc>
          <w:tcPr>
            <w:tcW w:w="3765" w:type="dxa"/>
            <w:vAlign w:val="center"/>
          </w:tcPr>
          <w:p w14:paraId="71AB2FEC">
            <w:pPr>
              <w:pStyle w:val="326"/>
              <w:spacing w:line="240" w:lineRule="auto"/>
              <w:jc w:val="center"/>
              <w:rPr>
                <w:color w:val="auto"/>
                <w:sz w:val="18"/>
                <w:szCs w:val="18"/>
              </w:rPr>
            </w:pPr>
            <w:r>
              <w:rPr>
                <w:color w:val="auto"/>
                <w:sz w:val="18"/>
                <w:szCs w:val="18"/>
              </w:rPr>
              <w:t>2m 直尺：沿梁长方形每侧面每10m 梁长测1 处×2 尺</w:t>
            </w:r>
          </w:p>
        </w:tc>
      </w:tr>
      <w:tr w14:paraId="0760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57952802">
            <w:pPr>
              <w:pStyle w:val="326"/>
              <w:jc w:val="center"/>
              <w:rPr>
                <w:color w:val="auto"/>
                <w:sz w:val="18"/>
                <w:szCs w:val="18"/>
              </w:rPr>
            </w:pPr>
            <w:r>
              <w:rPr>
                <w:color w:val="auto"/>
                <w:sz w:val="18"/>
                <w:szCs w:val="18"/>
              </w:rPr>
              <w:t>6</w:t>
            </w:r>
          </w:p>
        </w:tc>
        <w:tc>
          <w:tcPr>
            <w:tcW w:w="1701" w:type="dxa"/>
            <w:vAlign w:val="center"/>
          </w:tcPr>
          <w:p w14:paraId="102CB8FC">
            <w:pPr>
              <w:pStyle w:val="326"/>
              <w:jc w:val="center"/>
              <w:rPr>
                <w:color w:val="auto"/>
                <w:sz w:val="18"/>
                <w:szCs w:val="18"/>
              </w:rPr>
            </w:pPr>
            <w:r>
              <w:rPr>
                <w:color w:val="auto"/>
                <w:sz w:val="18"/>
                <w:szCs w:val="18"/>
              </w:rPr>
              <w:t>侧向弯曲</w:t>
            </w:r>
          </w:p>
        </w:tc>
        <w:tc>
          <w:tcPr>
            <w:tcW w:w="2126" w:type="dxa"/>
            <w:vAlign w:val="center"/>
          </w:tcPr>
          <w:p w14:paraId="1EC15060">
            <w:pPr>
              <w:pStyle w:val="326"/>
              <w:jc w:val="center"/>
              <w:rPr>
                <w:color w:val="auto"/>
                <w:sz w:val="18"/>
                <w:szCs w:val="18"/>
              </w:rPr>
            </w:pPr>
            <w:r>
              <w:rPr>
                <w:color w:val="auto"/>
                <w:sz w:val="18"/>
                <w:szCs w:val="18"/>
              </w:rPr>
              <w:t>L/1500</w:t>
            </w:r>
          </w:p>
        </w:tc>
        <w:tc>
          <w:tcPr>
            <w:tcW w:w="3765" w:type="dxa"/>
            <w:vAlign w:val="center"/>
          </w:tcPr>
          <w:p w14:paraId="79352885">
            <w:pPr>
              <w:pStyle w:val="326"/>
              <w:jc w:val="center"/>
              <w:rPr>
                <w:color w:val="auto"/>
                <w:sz w:val="18"/>
                <w:szCs w:val="18"/>
              </w:rPr>
            </w:pPr>
            <w:r>
              <w:rPr>
                <w:color w:val="auto"/>
                <w:sz w:val="18"/>
                <w:szCs w:val="18"/>
              </w:rPr>
              <w:t>沿侧模全长拉线，用钢尺量</w:t>
            </w:r>
          </w:p>
        </w:tc>
      </w:tr>
      <w:tr w14:paraId="0DE5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8296" w:type="dxa"/>
            <w:gridSpan w:val="4"/>
          </w:tcPr>
          <w:p w14:paraId="1B001A72">
            <w:pPr>
              <w:pStyle w:val="326"/>
              <w:spacing w:line="240" w:lineRule="auto"/>
              <w:rPr>
                <w:color w:val="auto"/>
                <w:sz w:val="18"/>
                <w:szCs w:val="18"/>
              </w:rPr>
            </w:pPr>
            <w:r>
              <w:rPr>
                <w:color w:val="auto"/>
                <w:sz w:val="18"/>
                <w:szCs w:val="18"/>
              </w:rPr>
              <w:t>注：1. L 为计算长度（mm）。</w:t>
            </w:r>
          </w:p>
          <w:p w14:paraId="6E03411B">
            <w:pPr>
              <w:pStyle w:val="326"/>
              <w:spacing w:line="240" w:lineRule="auto"/>
              <w:ind w:firstLine="360" w:firstLineChars="200"/>
              <w:rPr>
                <w:color w:val="auto"/>
              </w:rPr>
            </w:pPr>
            <w:r>
              <w:rPr>
                <w:color w:val="auto"/>
                <w:sz w:val="18"/>
                <w:szCs w:val="18"/>
              </w:rPr>
              <w:t>2. 支承面高程系指模板底模上表面支撑混凝土面的高程。</w:t>
            </w:r>
          </w:p>
        </w:tc>
      </w:tr>
    </w:tbl>
    <w:p w14:paraId="3DC872E4">
      <w:pPr>
        <w:pStyle w:val="326"/>
        <w:rPr>
          <w:color w:val="auto"/>
        </w:rPr>
      </w:pPr>
      <w:r>
        <w:rPr>
          <w:b/>
          <w:bCs/>
          <w:color w:val="auto"/>
        </w:rPr>
        <w:t xml:space="preserve">9.3.3 </w:t>
      </w:r>
      <w:r>
        <w:rPr>
          <w:color w:val="auto"/>
        </w:rPr>
        <w:t xml:space="preserve"> </w:t>
      </w:r>
      <w:r>
        <w:rPr>
          <w:rFonts w:hint="eastAsia"/>
          <w:color w:val="auto"/>
        </w:rPr>
        <w:t>模板拆除除应符合现行行业标准《公路桥涵施工技术规范》</w:t>
      </w:r>
      <w:r>
        <w:rPr>
          <w:color w:val="auto"/>
        </w:rPr>
        <w:t xml:space="preserve">JTG/T 3650 </w:t>
      </w:r>
      <w:r>
        <w:rPr>
          <w:rFonts w:hint="eastAsia"/>
          <w:color w:val="auto"/>
        </w:rPr>
        <w:t>的相关规定之外，尚应符合下列规定：</w:t>
      </w:r>
    </w:p>
    <w:p w14:paraId="4DEC62C1">
      <w:pPr>
        <w:pStyle w:val="326"/>
        <w:ind w:firstLine="420" w:firstLineChars="200"/>
        <w:rPr>
          <w:color w:val="auto"/>
        </w:rPr>
      </w:pPr>
      <w:r>
        <w:rPr>
          <w:color w:val="auto"/>
        </w:rPr>
        <w:t xml:space="preserve">1 </w:t>
      </w:r>
      <w:r>
        <w:rPr>
          <w:rFonts w:hint="eastAsia"/>
          <w:color w:val="auto"/>
        </w:rPr>
        <w:t>模板的拆除期限和拆除顺序等应严格按施工图设计要求进行，设计未要求时，应在同条件养护</w:t>
      </w:r>
      <w:bookmarkStart w:id="129" w:name="_Hlk143680733"/>
      <w:r>
        <w:rPr>
          <w:rFonts w:hint="eastAsia"/>
          <w:color w:val="auto"/>
        </w:rPr>
        <w:t>超高性能混凝土试件抗压强度达到</w:t>
      </w:r>
      <w:r>
        <w:rPr>
          <w:color w:val="auto"/>
        </w:rPr>
        <w:t xml:space="preserve">40MPa </w:t>
      </w:r>
      <w:r>
        <w:rPr>
          <w:rFonts w:hint="eastAsia"/>
          <w:color w:val="auto"/>
        </w:rPr>
        <w:t>及以上</w:t>
      </w:r>
      <w:bookmarkEnd w:id="129"/>
      <w:r>
        <w:rPr>
          <w:rFonts w:hint="eastAsia"/>
          <w:color w:val="auto"/>
        </w:rPr>
        <w:t>方可拆除。</w:t>
      </w:r>
    </w:p>
    <w:p w14:paraId="00955C5C">
      <w:pPr>
        <w:pStyle w:val="326"/>
        <w:ind w:firstLine="420" w:firstLineChars="200"/>
        <w:rPr>
          <w:color w:val="auto"/>
        </w:rPr>
      </w:pPr>
      <w:r>
        <w:rPr>
          <w:rFonts w:hint="eastAsia"/>
          <w:color w:val="auto"/>
        </w:rPr>
        <w:t>2</w:t>
      </w:r>
      <w:r>
        <w:rPr>
          <w:color w:val="auto"/>
        </w:rPr>
        <w:t xml:space="preserve"> </w:t>
      </w:r>
      <w:r>
        <w:rPr>
          <w:rFonts w:hint="eastAsia"/>
          <w:color w:val="auto"/>
        </w:rPr>
        <w:t>拆模时，构件表面温度与环境温度的温度差不应大于</w:t>
      </w:r>
      <w:r>
        <w:rPr>
          <w:color w:val="auto"/>
        </w:rPr>
        <w:t>15</w:t>
      </w:r>
      <w:r>
        <w:rPr>
          <w:rFonts w:hint="eastAsia"/>
          <w:color w:val="auto"/>
        </w:rPr>
        <w:t>℃。</w:t>
      </w:r>
    </w:p>
    <w:p w14:paraId="7D04EB84">
      <w:pPr>
        <w:pStyle w:val="3"/>
        <w:rPr>
          <w:color w:val="auto"/>
        </w:rPr>
      </w:pPr>
      <w:bookmarkStart w:id="130" w:name="_Toc19255"/>
      <w:bookmarkStart w:id="131" w:name="_Toc10223"/>
      <w:bookmarkStart w:id="132" w:name="_Toc5275"/>
      <w:r>
        <w:rPr>
          <w:color w:val="auto"/>
        </w:rPr>
        <w:t xml:space="preserve">9.4  </w:t>
      </w:r>
      <w:r>
        <w:rPr>
          <w:rFonts w:hint="eastAsia"/>
          <w:color w:val="auto"/>
        </w:rPr>
        <w:t>超高性能混凝土拌合和预制</w:t>
      </w:r>
      <w:bookmarkEnd w:id="130"/>
      <w:bookmarkEnd w:id="131"/>
      <w:bookmarkEnd w:id="132"/>
    </w:p>
    <w:p w14:paraId="40CC2CB4">
      <w:pPr>
        <w:spacing w:line="360" w:lineRule="auto"/>
        <w:outlineLvl w:val="2"/>
        <w:rPr>
          <w:rFonts w:ascii="Times New Roman" w:hAnsi="Times New Roman" w:eastAsia="宋体" w:cs="Times New Roman"/>
          <w:color w:val="auto"/>
          <w:szCs w:val="21"/>
        </w:rPr>
      </w:pPr>
      <w:bookmarkStart w:id="133" w:name="_Hlk142323826"/>
      <w:r>
        <w:rPr>
          <w:rFonts w:ascii="Times New Roman" w:hAnsi="Times New Roman" w:eastAsia="宋体" w:cs="Times New Roman"/>
          <w:b/>
          <w:bCs/>
          <w:color w:val="auto"/>
          <w:szCs w:val="21"/>
        </w:rPr>
        <w:t>9.4.1</w:t>
      </w:r>
      <w:r>
        <w:rPr>
          <w:rFonts w:ascii="Times New Roman" w:hAnsi="Times New Roman" w:eastAsia="宋体" w:cs="Times New Roman"/>
          <w:color w:val="auto"/>
          <w:szCs w:val="21"/>
        </w:rPr>
        <w:t xml:space="preserve">  </w:t>
      </w:r>
      <w:bookmarkEnd w:id="133"/>
      <w:r>
        <w:rPr>
          <w:rFonts w:hint="eastAsia" w:ascii="Times New Roman" w:hAnsi="Times New Roman" w:eastAsia="宋体" w:cs="Times New Roman"/>
          <w:color w:val="auto"/>
          <w:szCs w:val="21"/>
        </w:rPr>
        <w:t>超高性能混凝土的原材料要求、储存、计量、搅拌、浇筑和养护施工应符合本节规定。</w:t>
      </w:r>
    </w:p>
    <w:p w14:paraId="73DBBD3E">
      <w:pPr>
        <w:spacing w:line="360" w:lineRule="auto"/>
        <w:outlineLvl w:val="2"/>
        <w:rPr>
          <w:rFonts w:ascii="Times New Roman" w:hAnsi="Times New Roman" w:eastAsia="宋体" w:cs="Times New Roman"/>
          <w:color w:val="auto"/>
          <w:szCs w:val="21"/>
        </w:rPr>
      </w:pPr>
      <w:bookmarkStart w:id="134" w:name="_Hlk142323844"/>
      <w:r>
        <w:rPr>
          <w:rFonts w:ascii="Times New Roman" w:hAnsi="Times New Roman" w:eastAsia="宋体" w:cs="Times New Roman"/>
          <w:b/>
          <w:bCs/>
          <w:color w:val="auto"/>
          <w:szCs w:val="21"/>
        </w:rPr>
        <w:t>9.4.2</w:t>
      </w:r>
      <w:r>
        <w:rPr>
          <w:rFonts w:ascii="Times New Roman" w:hAnsi="Times New Roman" w:eastAsia="宋体" w:cs="Times New Roman"/>
          <w:color w:val="auto"/>
          <w:szCs w:val="21"/>
        </w:rPr>
        <w:t xml:space="preserve">  </w:t>
      </w:r>
      <w:bookmarkEnd w:id="134"/>
      <w:bookmarkStart w:id="135" w:name="_Hlk142326171"/>
      <w:r>
        <w:rPr>
          <w:rFonts w:hint="eastAsia" w:ascii="Times New Roman" w:hAnsi="Times New Roman" w:eastAsia="宋体" w:cs="Times New Roman"/>
          <w:color w:val="auto"/>
          <w:szCs w:val="21"/>
        </w:rPr>
        <w:t>超高性能混凝土</w:t>
      </w:r>
      <w:bookmarkEnd w:id="135"/>
      <w:r>
        <w:rPr>
          <w:rFonts w:ascii="Times New Roman" w:hAnsi="Times New Roman" w:eastAsia="宋体" w:cs="Times New Roman"/>
          <w:color w:val="auto"/>
          <w:szCs w:val="21"/>
        </w:rPr>
        <w:t>所使用的各种原材料，</w:t>
      </w:r>
      <w:r>
        <w:rPr>
          <w:rFonts w:hint="eastAsia" w:ascii="Times New Roman" w:hAnsi="Times New Roman" w:eastAsia="宋体" w:cs="Times New Roman"/>
          <w:color w:val="auto"/>
          <w:szCs w:val="21"/>
        </w:rPr>
        <w:t>除</w:t>
      </w:r>
      <w:r>
        <w:rPr>
          <w:rFonts w:ascii="Times New Roman" w:hAnsi="Times New Roman" w:eastAsia="宋体" w:cs="Times New Roman"/>
          <w:color w:val="auto"/>
          <w:szCs w:val="21"/>
        </w:rPr>
        <w:t>符合《活性粉末混凝土》（GB/T 31387）</w:t>
      </w:r>
      <w:r>
        <w:rPr>
          <w:rFonts w:hint="eastAsia" w:ascii="Times New Roman" w:hAnsi="Times New Roman" w:eastAsia="宋体" w:cs="Times New Roman"/>
          <w:color w:val="auto"/>
          <w:szCs w:val="21"/>
          <w:lang w:eastAsia="zh-CN"/>
        </w:rPr>
        <w:t>的</w:t>
      </w:r>
      <w:r>
        <w:rPr>
          <w:rFonts w:hint="eastAsia" w:ascii="Times New Roman" w:hAnsi="Times New Roman" w:eastAsia="宋体" w:cs="Times New Roman"/>
          <w:color w:val="auto"/>
          <w:szCs w:val="21"/>
        </w:rPr>
        <w:t>相关规定之外，尚应符合下列规定：</w:t>
      </w:r>
    </w:p>
    <w:p w14:paraId="4FF7FB25">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1</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水泥宜选用强度等级为5</w:t>
      </w:r>
      <w:r>
        <w:rPr>
          <w:rFonts w:ascii="Times New Roman" w:hAnsi="Times New Roman" w:eastAsia="宋体" w:cs="Times New Roman"/>
          <w:color w:val="auto"/>
          <w:szCs w:val="21"/>
        </w:rPr>
        <w:t>2.5</w:t>
      </w:r>
      <w:r>
        <w:rPr>
          <w:rFonts w:hint="eastAsia" w:ascii="Times New Roman" w:hAnsi="Times New Roman" w:eastAsia="宋体" w:cs="Times New Roman"/>
          <w:color w:val="auto"/>
          <w:szCs w:val="21"/>
        </w:rPr>
        <w:t>级的硅酸盐水泥或普通硅酸盐水泥。</w:t>
      </w:r>
    </w:p>
    <w:p w14:paraId="776A8B96">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2</w:t>
      </w:r>
      <w:r>
        <w:rPr>
          <w:rFonts w:ascii="Times New Roman" w:hAnsi="Times New Roman" w:eastAsia="宋体" w:cs="Times New Roman"/>
          <w:b/>
          <w:color w:val="auto"/>
          <w:szCs w:val="21"/>
        </w:rPr>
        <w:t xml:space="preserve"> </w:t>
      </w:r>
      <w:r>
        <w:rPr>
          <w:rFonts w:hint="eastAsia" w:ascii="Times New Roman" w:hAnsi="Times New Roman" w:eastAsia="宋体" w:cs="Times New Roman"/>
          <w:color w:val="auto"/>
          <w:szCs w:val="21"/>
        </w:rPr>
        <w:t>细骨料宜采用石英砂，也可采用广西本土生产的机制砂，应通过试验确定机制砂超高性能混凝土配合比，确保性能达到本标准要求和设计要求。</w:t>
      </w:r>
    </w:p>
    <w:p w14:paraId="4D79EED4">
      <w:pPr>
        <w:spacing w:line="360" w:lineRule="auto"/>
        <w:ind w:firstLine="42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3</w:t>
      </w:r>
      <w:r>
        <w:rPr>
          <w:rFonts w:ascii="Times New Roman" w:hAnsi="Times New Roman" w:eastAsia="宋体" w:cs="Times New Roman"/>
          <w:bCs/>
          <w:color w:val="auto"/>
          <w:szCs w:val="21"/>
        </w:rPr>
        <w:t xml:space="preserve"> </w:t>
      </w:r>
      <w:r>
        <w:rPr>
          <w:rFonts w:hint="eastAsia" w:ascii="Times New Roman" w:hAnsi="Times New Roman" w:eastAsia="宋体" w:cs="Times New Roman"/>
          <w:bCs/>
          <w:color w:val="auto"/>
          <w:szCs w:val="21"/>
        </w:rPr>
        <w:t>钢纤维宜采用长直型或端钩型高强度微细钢纤维，钢纤维体积率宜大于2%。</w:t>
      </w:r>
    </w:p>
    <w:p w14:paraId="59CC263D">
      <w:pPr>
        <w:spacing w:line="360" w:lineRule="auto"/>
        <w:outlineLvl w:val="2"/>
        <w:rPr>
          <w:rFonts w:ascii="Times New Roman" w:hAnsi="Times New Roman" w:eastAsia="宋体" w:cs="Times New Roman"/>
          <w:color w:val="auto"/>
          <w:szCs w:val="21"/>
        </w:rPr>
      </w:pPr>
      <w:r>
        <w:rPr>
          <w:rFonts w:ascii="Times New Roman" w:hAnsi="Times New Roman" w:eastAsia="宋体" w:cs="Times New Roman"/>
          <w:b/>
          <w:bCs/>
          <w:color w:val="auto"/>
          <w:szCs w:val="21"/>
        </w:rPr>
        <w:t>9.4.3</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超高性能混凝土供应方式可分为干混料供应和原材料供应两大方式，由供需双方协商确定，优先选用干混料供应方式，</w:t>
      </w:r>
      <w:r>
        <w:rPr>
          <w:rFonts w:hint="eastAsia" w:ascii="Times New Roman" w:hAnsi="Times New Roman" w:eastAsia="宋体" w:cs="Times New Roman"/>
          <w:color w:val="auto"/>
          <w:szCs w:val="21"/>
          <w:lang w:eastAsia="zh-CN"/>
        </w:rPr>
        <w:t>两种</w:t>
      </w:r>
      <w:r>
        <w:rPr>
          <w:rFonts w:hint="eastAsia" w:ascii="Times New Roman" w:hAnsi="Times New Roman" w:eastAsia="宋体" w:cs="Times New Roman"/>
          <w:color w:val="auto"/>
          <w:szCs w:val="21"/>
        </w:rPr>
        <w:t>供应方式、计量及生产应符合</w:t>
      </w:r>
      <w:bookmarkStart w:id="136" w:name="_Hlk143637993"/>
      <w:r>
        <w:rPr>
          <w:rFonts w:hint="eastAsia" w:ascii="Times New Roman" w:hAnsi="Times New Roman" w:eastAsia="宋体" w:cs="Times New Roman"/>
          <w:color w:val="auto"/>
          <w:szCs w:val="21"/>
        </w:rPr>
        <w:t>现行国家标准《活性粉末混凝土》</w:t>
      </w:r>
      <w:r>
        <w:rPr>
          <w:rFonts w:ascii="Times New Roman" w:hAnsi="Times New Roman" w:eastAsia="宋体" w:cs="Times New Roman"/>
          <w:color w:val="auto"/>
          <w:szCs w:val="21"/>
        </w:rPr>
        <w:t>GB/T 31387</w:t>
      </w:r>
      <w:r>
        <w:rPr>
          <w:rFonts w:hint="eastAsia" w:ascii="Times New Roman" w:hAnsi="Times New Roman" w:eastAsia="宋体" w:cs="Times New Roman"/>
          <w:color w:val="auto"/>
          <w:szCs w:val="21"/>
        </w:rPr>
        <w:t>及《超高性能混凝土梁式桥技术规程》</w:t>
      </w:r>
      <w:r>
        <w:rPr>
          <w:rFonts w:ascii="Times New Roman" w:hAnsi="Times New Roman" w:eastAsia="宋体" w:cs="Times New Roman"/>
          <w:color w:val="auto"/>
          <w:szCs w:val="21"/>
        </w:rPr>
        <w:t>T/CCES 27-2021的相关规定</w:t>
      </w:r>
      <w:r>
        <w:rPr>
          <w:rFonts w:hint="eastAsia" w:ascii="Times New Roman" w:hAnsi="Times New Roman" w:eastAsia="宋体" w:cs="Times New Roman"/>
          <w:color w:val="auto"/>
          <w:szCs w:val="21"/>
        </w:rPr>
        <w:t>。</w:t>
      </w:r>
      <w:bookmarkEnd w:id="136"/>
    </w:p>
    <w:p w14:paraId="07E3C93B">
      <w:pPr>
        <w:spacing w:line="360" w:lineRule="auto"/>
        <w:outlineLvl w:val="2"/>
        <w:rPr>
          <w:rFonts w:ascii="Times New Roman" w:hAnsi="Times New Roman" w:eastAsia="宋体" w:cs="Times New Roman"/>
          <w:color w:val="auto"/>
          <w:szCs w:val="21"/>
        </w:rPr>
      </w:pPr>
      <w:r>
        <w:rPr>
          <w:rFonts w:ascii="Times New Roman" w:hAnsi="Times New Roman" w:eastAsia="宋体" w:cs="Times New Roman"/>
          <w:b/>
          <w:bCs/>
          <w:color w:val="auto"/>
          <w:szCs w:val="21"/>
        </w:rPr>
        <w:t>9.4.</w:t>
      </w:r>
      <w:r>
        <w:rPr>
          <w:rFonts w:hint="eastAsia" w:ascii="Times New Roman" w:hAnsi="Times New Roman" w:eastAsia="宋体" w:cs="Times New Roman"/>
          <w:b/>
          <w:bCs/>
          <w:color w:val="auto"/>
          <w:szCs w:val="21"/>
        </w:rPr>
        <w:t>4</w:t>
      </w:r>
      <w:r>
        <w:rPr>
          <w:rFonts w:ascii="Times New Roman" w:hAnsi="Times New Roman" w:eastAsia="宋体" w:cs="Times New Roman"/>
          <w:b/>
          <w:bCs/>
          <w:color w:val="auto"/>
          <w:szCs w:val="21"/>
        </w:rPr>
        <w:t xml:space="preserve">  </w:t>
      </w:r>
      <w:r>
        <w:rPr>
          <w:rFonts w:hint="eastAsia" w:ascii="Times New Roman" w:hAnsi="Times New Roman" w:eastAsia="宋体" w:cs="Times New Roman"/>
          <w:color w:val="auto"/>
          <w:szCs w:val="21"/>
        </w:rPr>
        <w:t>超高性能混凝土搅拌完毕后，应检测超高性能混凝土的坍落扩展度，取样地点、频次及试验要求应符合《公路桥涵施工技术规范》（JTG/T</w:t>
      </w:r>
      <w:r>
        <w:rPr>
          <w:rFonts w:ascii="Times New Roman" w:hAnsi="Times New Roman" w:eastAsia="宋体" w:cs="Times New Roman"/>
          <w:color w:val="auto"/>
          <w:szCs w:val="21"/>
        </w:rPr>
        <w:t xml:space="preserve"> 3650</w:t>
      </w:r>
      <w:r>
        <w:rPr>
          <w:rFonts w:hint="eastAsia" w:ascii="Times New Roman" w:hAnsi="Times New Roman" w:eastAsia="宋体" w:cs="Times New Roman"/>
          <w:color w:val="auto"/>
          <w:szCs w:val="21"/>
        </w:rPr>
        <w:t>）与《普通混凝土拌合物性能试验标准》（GB/T</w:t>
      </w:r>
      <w:r>
        <w:rPr>
          <w:rFonts w:ascii="Times New Roman" w:hAnsi="Times New Roman" w:eastAsia="宋体" w:cs="Times New Roman"/>
          <w:color w:val="auto"/>
          <w:szCs w:val="21"/>
        </w:rPr>
        <w:t xml:space="preserve"> 50080</w:t>
      </w:r>
      <w:r>
        <w:rPr>
          <w:rFonts w:hint="eastAsia" w:ascii="Times New Roman" w:hAnsi="Times New Roman" w:eastAsia="宋体" w:cs="Times New Roman"/>
          <w:color w:val="auto"/>
          <w:szCs w:val="21"/>
        </w:rPr>
        <w:t>）的规定。</w:t>
      </w:r>
    </w:p>
    <w:p w14:paraId="48AB9275">
      <w:pPr>
        <w:spacing w:line="360" w:lineRule="auto"/>
        <w:outlineLvl w:val="2"/>
        <w:rPr>
          <w:rFonts w:ascii="Times New Roman" w:hAnsi="Times New Roman" w:eastAsia="宋体" w:cs="Times New Roman"/>
          <w:color w:val="auto"/>
          <w:szCs w:val="21"/>
        </w:rPr>
      </w:pPr>
      <w:r>
        <w:rPr>
          <w:rFonts w:ascii="Times New Roman" w:hAnsi="Times New Roman" w:eastAsia="宋体" w:cs="Times New Roman"/>
          <w:b/>
          <w:bCs/>
          <w:color w:val="auto"/>
          <w:szCs w:val="21"/>
        </w:rPr>
        <w:t>9.</w:t>
      </w:r>
      <w:r>
        <w:rPr>
          <w:rFonts w:hint="eastAsia" w:ascii="Times New Roman" w:hAnsi="Times New Roman" w:eastAsia="宋体" w:cs="Times New Roman"/>
          <w:b/>
          <w:bCs/>
          <w:color w:val="auto"/>
          <w:szCs w:val="21"/>
        </w:rPr>
        <w:t>4</w:t>
      </w:r>
      <w:r>
        <w:rPr>
          <w:rFonts w:ascii="Times New Roman" w:hAnsi="Times New Roman" w:eastAsia="宋体" w:cs="Times New Roman"/>
          <w:b/>
          <w:bCs/>
          <w:color w:val="auto"/>
          <w:szCs w:val="21"/>
        </w:rPr>
        <w:t>.</w:t>
      </w:r>
      <w:r>
        <w:rPr>
          <w:rFonts w:hint="eastAsia" w:ascii="Times New Roman" w:hAnsi="Times New Roman" w:eastAsia="宋体" w:cs="Times New Roman"/>
          <w:b/>
          <w:bCs/>
          <w:color w:val="auto"/>
          <w:szCs w:val="21"/>
        </w:rPr>
        <w:t>5</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超高性能混凝土运输宜采用搅拌运输车；若采用吊斗或其他方式运输，应保证超高性能混凝土的连续浇筑。采用混凝土搅拌车运输时，应符合现行国家标准《活性粉末混凝土》</w:t>
      </w:r>
      <w:r>
        <w:rPr>
          <w:rFonts w:ascii="Times New Roman" w:hAnsi="Times New Roman" w:eastAsia="宋体" w:cs="Times New Roman"/>
          <w:color w:val="auto"/>
          <w:szCs w:val="21"/>
        </w:rPr>
        <w:t>GB/T 31387及《超高性能混凝土梁式桥技术规程》T/CCES 27-2021的相关规定。</w:t>
      </w:r>
    </w:p>
    <w:p w14:paraId="791E6AEB">
      <w:pPr>
        <w:spacing w:line="360" w:lineRule="auto"/>
        <w:outlineLvl w:val="2"/>
        <w:rPr>
          <w:rFonts w:ascii="Times New Roman" w:hAnsi="Times New Roman" w:eastAsia="宋体" w:cs="Times New Roman"/>
          <w:color w:val="auto"/>
          <w:szCs w:val="21"/>
        </w:rPr>
      </w:pPr>
      <w:r>
        <w:rPr>
          <w:rFonts w:ascii="Times New Roman" w:hAnsi="Times New Roman" w:eastAsia="宋体" w:cs="Times New Roman"/>
          <w:b/>
          <w:bCs/>
          <w:color w:val="auto"/>
          <w:szCs w:val="21"/>
        </w:rPr>
        <w:t>9.</w:t>
      </w:r>
      <w:r>
        <w:rPr>
          <w:rFonts w:hint="eastAsia" w:ascii="Times New Roman" w:hAnsi="Times New Roman" w:eastAsia="宋体" w:cs="Times New Roman"/>
          <w:b/>
          <w:bCs/>
          <w:color w:val="auto"/>
          <w:szCs w:val="21"/>
        </w:rPr>
        <w:t>4</w:t>
      </w:r>
      <w:r>
        <w:rPr>
          <w:rFonts w:ascii="Times New Roman" w:hAnsi="Times New Roman" w:eastAsia="宋体" w:cs="Times New Roman"/>
          <w:b/>
          <w:bCs/>
          <w:color w:val="auto"/>
          <w:szCs w:val="21"/>
        </w:rPr>
        <w:t>.</w:t>
      </w:r>
      <w:r>
        <w:rPr>
          <w:rFonts w:hint="eastAsia" w:ascii="Times New Roman" w:hAnsi="Times New Roman" w:eastAsia="宋体" w:cs="Times New Roman"/>
          <w:b/>
          <w:bCs/>
          <w:color w:val="auto"/>
          <w:szCs w:val="21"/>
        </w:rPr>
        <w:t>6</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超高性能混凝土拌合物浇筑应符合现行国家标准《活性粉末混凝土》</w:t>
      </w:r>
      <w:r>
        <w:rPr>
          <w:rFonts w:ascii="Times New Roman" w:hAnsi="Times New Roman" w:eastAsia="宋体" w:cs="Times New Roman"/>
          <w:color w:val="auto"/>
          <w:szCs w:val="21"/>
        </w:rPr>
        <w:t>GB/T 31387及《超高性能混凝土梁式桥技术规程》T/CCES 27-2021的相关规定</w:t>
      </w:r>
      <w:r>
        <w:rPr>
          <w:rFonts w:hint="eastAsia" w:ascii="Times New Roman" w:hAnsi="Times New Roman" w:eastAsia="宋体" w:cs="Times New Roman"/>
          <w:color w:val="auto"/>
          <w:szCs w:val="21"/>
        </w:rPr>
        <w:t>。</w:t>
      </w:r>
    </w:p>
    <w:p w14:paraId="1EF8A01A">
      <w:pPr>
        <w:spacing w:line="360" w:lineRule="auto"/>
        <w:outlineLvl w:val="2"/>
        <w:rPr>
          <w:rFonts w:ascii="Times New Roman" w:hAnsi="Times New Roman" w:eastAsia="宋体" w:cs="Times New Roman"/>
          <w:color w:val="auto"/>
          <w:szCs w:val="21"/>
        </w:rPr>
      </w:pPr>
      <w:r>
        <w:rPr>
          <w:rFonts w:ascii="Times New Roman" w:hAnsi="Times New Roman" w:eastAsia="宋体" w:cs="Times New Roman"/>
          <w:b/>
          <w:bCs/>
          <w:color w:val="auto"/>
          <w:szCs w:val="21"/>
        </w:rPr>
        <w:t>9.</w:t>
      </w:r>
      <w:r>
        <w:rPr>
          <w:rFonts w:hint="eastAsia" w:ascii="Times New Roman" w:hAnsi="Times New Roman" w:eastAsia="宋体" w:cs="Times New Roman"/>
          <w:b/>
          <w:bCs/>
          <w:color w:val="auto"/>
          <w:szCs w:val="21"/>
        </w:rPr>
        <w:t>4</w:t>
      </w:r>
      <w:r>
        <w:rPr>
          <w:rFonts w:ascii="Times New Roman" w:hAnsi="Times New Roman" w:eastAsia="宋体" w:cs="Times New Roman"/>
          <w:b/>
          <w:bCs/>
          <w:color w:val="auto"/>
          <w:szCs w:val="21"/>
        </w:rPr>
        <w:t>.</w:t>
      </w:r>
      <w:r>
        <w:rPr>
          <w:rFonts w:hint="eastAsia" w:ascii="Times New Roman" w:hAnsi="Times New Roman" w:eastAsia="宋体" w:cs="Times New Roman"/>
          <w:b/>
          <w:bCs/>
          <w:color w:val="auto"/>
          <w:szCs w:val="21"/>
        </w:rPr>
        <w:t>7</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超高性能混凝土浇筑完成后，应及时进行保湿养护，保湿养护应符合现行国家标准《活性粉末混凝土》</w:t>
      </w:r>
      <w:r>
        <w:rPr>
          <w:rFonts w:ascii="Times New Roman" w:hAnsi="Times New Roman" w:eastAsia="宋体" w:cs="Times New Roman"/>
          <w:color w:val="auto"/>
          <w:szCs w:val="21"/>
        </w:rPr>
        <w:t>GB/T 31387及《超高性能混凝土梁式桥技术规程》T/CCES 27-2021的相关规定</w:t>
      </w:r>
      <w:r>
        <w:rPr>
          <w:rFonts w:hint="eastAsia" w:ascii="Times New Roman" w:hAnsi="Times New Roman" w:eastAsia="宋体" w:cs="Times New Roman"/>
          <w:color w:val="auto"/>
          <w:szCs w:val="21"/>
        </w:rPr>
        <w:t>，并应符合下列规定：</w:t>
      </w:r>
    </w:p>
    <w:p w14:paraId="4322BA1F">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1</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养护过程中不宜扰动超高性能混凝土板。</w:t>
      </w:r>
    </w:p>
    <w:p w14:paraId="264B0557">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2</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保湿养护结束后且超高性能混凝土试件抗压强度达到</w:t>
      </w:r>
      <w:r>
        <w:rPr>
          <w:rFonts w:ascii="Times New Roman" w:hAnsi="Times New Roman" w:eastAsia="宋体" w:cs="Times New Roman"/>
          <w:color w:val="auto"/>
          <w:szCs w:val="21"/>
        </w:rPr>
        <w:t>40MPa及以上</w:t>
      </w:r>
      <w:r>
        <w:rPr>
          <w:rFonts w:hint="eastAsia" w:ascii="Times New Roman" w:hAnsi="Times New Roman" w:eastAsia="宋体" w:cs="Times New Roman"/>
          <w:color w:val="auto"/>
          <w:szCs w:val="21"/>
        </w:rPr>
        <w:t>时方可拆模。</w:t>
      </w:r>
    </w:p>
    <w:p w14:paraId="2718986C">
      <w:pPr>
        <w:spacing w:line="360" w:lineRule="auto"/>
        <w:outlineLvl w:val="2"/>
        <w:rPr>
          <w:rFonts w:ascii="Times New Roman" w:hAnsi="Times New Roman" w:eastAsia="宋体" w:cs="Times New Roman"/>
          <w:color w:val="auto"/>
          <w:szCs w:val="21"/>
        </w:rPr>
      </w:pPr>
      <w:r>
        <w:rPr>
          <w:rFonts w:ascii="Times New Roman" w:hAnsi="Times New Roman" w:eastAsia="宋体" w:cs="Times New Roman"/>
          <w:b/>
          <w:bCs/>
          <w:color w:val="auto"/>
          <w:szCs w:val="21"/>
        </w:rPr>
        <w:t>9.</w:t>
      </w:r>
      <w:r>
        <w:rPr>
          <w:rFonts w:hint="eastAsia" w:ascii="Times New Roman" w:hAnsi="Times New Roman" w:eastAsia="宋体" w:cs="Times New Roman"/>
          <w:b/>
          <w:bCs/>
          <w:color w:val="auto"/>
          <w:szCs w:val="21"/>
        </w:rPr>
        <w:t>4</w:t>
      </w:r>
      <w:r>
        <w:rPr>
          <w:rFonts w:ascii="Times New Roman" w:hAnsi="Times New Roman" w:eastAsia="宋体" w:cs="Times New Roman"/>
          <w:b/>
          <w:bCs/>
          <w:color w:val="auto"/>
          <w:szCs w:val="21"/>
        </w:rPr>
        <w:t>.</w:t>
      </w:r>
      <w:r>
        <w:rPr>
          <w:rFonts w:hint="eastAsia" w:ascii="Times New Roman" w:hAnsi="Times New Roman" w:eastAsia="宋体" w:cs="Times New Roman"/>
          <w:b/>
          <w:bCs/>
          <w:color w:val="auto"/>
          <w:szCs w:val="21"/>
        </w:rPr>
        <w:t>8</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超高性能混凝土板拆模后应及时进行高温蒸汽养护，高温蒸汽养护应符合现行国家标准《活性粉末混凝土》</w:t>
      </w:r>
      <w:r>
        <w:rPr>
          <w:rFonts w:ascii="Times New Roman" w:hAnsi="Times New Roman" w:eastAsia="宋体" w:cs="Times New Roman"/>
          <w:color w:val="auto"/>
          <w:szCs w:val="21"/>
        </w:rPr>
        <w:t>GB/T 31387及《超高性能混凝土梁式桥技术规程》T/CCES 27-2021的相关规定</w:t>
      </w:r>
      <w:r>
        <w:rPr>
          <w:rFonts w:hint="eastAsia" w:ascii="Times New Roman" w:hAnsi="Times New Roman" w:eastAsia="宋体" w:cs="Times New Roman"/>
          <w:color w:val="auto"/>
          <w:szCs w:val="21"/>
        </w:rPr>
        <w:t>。</w:t>
      </w:r>
    </w:p>
    <w:p w14:paraId="759C3B73">
      <w:pPr>
        <w:spacing w:line="360" w:lineRule="auto"/>
        <w:outlineLvl w:val="2"/>
        <w:rPr>
          <w:rFonts w:ascii="Times New Roman" w:hAnsi="Times New Roman" w:eastAsia="宋体" w:cs="Times New Roman"/>
          <w:color w:val="auto"/>
          <w:szCs w:val="21"/>
        </w:rPr>
      </w:pPr>
      <w:r>
        <w:rPr>
          <w:rFonts w:ascii="Times New Roman" w:hAnsi="Times New Roman" w:eastAsia="宋体" w:cs="Times New Roman"/>
          <w:b/>
          <w:bCs/>
          <w:color w:val="auto"/>
          <w:szCs w:val="21"/>
        </w:rPr>
        <w:t>9.</w:t>
      </w:r>
      <w:r>
        <w:rPr>
          <w:rFonts w:hint="eastAsia" w:ascii="Times New Roman" w:hAnsi="Times New Roman" w:eastAsia="宋体" w:cs="Times New Roman"/>
          <w:b/>
          <w:bCs/>
          <w:color w:val="auto"/>
          <w:szCs w:val="21"/>
        </w:rPr>
        <w:t>4</w:t>
      </w:r>
      <w:r>
        <w:rPr>
          <w:rFonts w:ascii="Times New Roman" w:hAnsi="Times New Roman" w:eastAsia="宋体" w:cs="Times New Roman"/>
          <w:b/>
          <w:bCs/>
          <w:color w:val="auto"/>
          <w:szCs w:val="21"/>
        </w:rPr>
        <w:t>.</w:t>
      </w:r>
      <w:r>
        <w:rPr>
          <w:rFonts w:hint="eastAsia" w:ascii="Times New Roman" w:hAnsi="Times New Roman" w:eastAsia="宋体" w:cs="Times New Roman"/>
          <w:b/>
          <w:bCs/>
          <w:color w:val="auto"/>
          <w:szCs w:val="21"/>
        </w:rPr>
        <w:t>9</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超高性能混凝土板等的预制质量应符合表</w:t>
      </w:r>
      <w:r>
        <w:rPr>
          <w:rFonts w:ascii="Times New Roman" w:hAnsi="Times New Roman" w:eastAsia="宋体" w:cs="Times New Roman"/>
          <w:color w:val="auto"/>
          <w:szCs w:val="21"/>
        </w:rPr>
        <w:t>9.</w:t>
      </w:r>
      <w:r>
        <w:rPr>
          <w:rFonts w:hint="eastAsia" w:ascii="Times New Roman" w:hAnsi="Times New Roman" w:eastAsia="宋体" w:cs="Times New Roman"/>
          <w:color w:val="auto"/>
          <w:szCs w:val="21"/>
        </w:rPr>
        <w:t>4</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9</w:t>
      </w:r>
      <w:r>
        <w:rPr>
          <w:rFonts w:ascii="Times New Roman" w:hAnsi="Times New Roman" w:eastAsia="宋体" w:cs="Times New Roman"/>
          <w:color w:val="auto"/>
          <w:szCs w:val="21"/>
        </w:rPr>
        <w:t>的规定。</w:t>
      </w:r>
    </w:p>
    <w:p w14:paraId="05A1B147">
      <w:pPr>
        <w:jc w:val="center"/>
        <w:rPr>
          <w:rFonts w:ascii="Times New Roman" w:hAnsi="Times New Roman" w:eastAsia="黑体" w:cs="Times New Roman"/>
          <w:color w:val="auto"/>
          <w:sz w:val="18"/>
          <w:szCs w:val="20"/>
        </w:rPr>
      </w:pPr>
      <w:bookmarkStart w:id="137" w:name="_Hlk143688742"/>
      <w:r>
        <w:rPr>
          <w:rFonts w:ascii="Times New Roman" w:hAnsi="Times New Roman" w:eastAsia="黑体" w:cs="Times New Roman"/>
          <w:color w:val="auto"/>
          <w:sz w:val="18"/>
          <w:szCs w:val="20"/>
        </w:rPr>
        <w:t>表9.</w:t>
      </w:r>
      <w:r>
        <w:rPr>
          <w:rFonts w:hint="eastAsia" w:ascii="Times New Roman" w:hAnsi="Times New Roman" w:eastAsia="黑体" w:cs="Times New Roman"/>
          <w:color w:val="auto"/>
          <w:sz w:val="18"/>
          <w:szCs w:val="20"/>
        </w:rPr>
        <w:t>4</w:t>
      </w:r>
      <w:r>
        <w:rPr>
          <w:rFonts w:ascii="Times New Roman" w:hAnsi="Times New Roman" w:eastAsia="黑体" w:cs="Times New Roman"/>
          <w:color w:val="auto"/>
          <w:sz w:val="18"/>
          <w:szCs w:val="20"/>
        </w:rPr>
        <w:t>.</w:t>
      </w:r>
      <w:r>
        <w:rPr>
          <w:rFonts w:hint="eastAsia" w:ascii="Times New Roman" w:hAnsi="Times New Roman" w:eastAsia="黑体" w:cs="Times New Roman"/>
          <w:color w:val="auto"/>
          <w:sz w:val="18"/>
          <w:szCs w:val="20"/>
        </w:rPr>
        <w:t>9</w:t>
      </w:r>
      <w:r>
        <w:rPr>
          <w:rFonts w:ascii="Times New Roman" w:hAnsi="Times New Roman" w:eastAsia="黑体" w:cs="Times New Roman"/>
          <w:color w:val="auto"/>
          <w:sz w:val="18"/>
          <w:szCs w:val="20"/>
        </w:rPr>
        <w:t xml:space="preserve"> 装配式超高性能混凝土板的预制质量标准</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134"/>
        <w:gridCol w:w="1843"/>
        <w:gridCol w:w="1984"/>
        <w:gridCol w:w="2631"/>
      </w:tblGrid>
      <w:tr w14:paraId="0760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271AA612">
            <w:pPr>
              <w:pStyle w:val="326"/>
              <w:jc w:val="center"/>
              <w:rPr>
                <w:color w:val="auto"/>
                <w:sz w:val="18"/>
                <w:szCs w:val="18"/>
              </w:rPr>
            </w:pPr>
            <w:r>
              <w:rPr>
                <w:color w:val="auto"/>
                <w:sz w:val="18"/>
                <w:szCs w:val="18"/>
              </w:rPr>
              <w:t>项次</w:t>
            </w:r>
          </w:p>
        </w:tc>
        <w:tc>
          <w:tcPr>
            <w:tcW w:w="2977" w:type="dxa"/>
            <w:gridSpan w:val="2"/>
            <w:vAlign w:val="center"/>
          </w:tcPr>
          <w:p w14:paraId="4461B9A2">
            <w:pPr>
              <w:pStyle w:val="326"/>
              <w:jc w:val="center"/>
              <w:rPr>
                <w:color w:val="auto"/>
                <w:sz w:val="18"/>
                <w:szCs w:val="18"/>
              </w:rPr>
            </w:pPr>
            <w:r>
              <w:rPr>
                <w:color w:val="auto"/>
                <w:sz w:val="18"/>
                <w:szCs w:val="18"/>
              </w:rPr>
              <w:t>项目</w:t>
            </w:r>
          </w:p>
        </w:tc>
        <w:tc>
          <w:tcPr>
            <w:tcW w:w="1984" w:type="dxa"/>
            <w:vAlign w:val="center"/>
          </w:tcPr>
          <w:p w14:paraId="741B656C">
            <w:pPr>
              <w:pStyle w:val="326"/>
              <w:jc w:val="center"/>
              <w:rPr>
                <w:color w:val="auto"/>
                <w:sz w:val="18"/>
                <w:szCs w:val="18"/>
              </w:rPr>
            </w:pPr>
            <w:r>
              <w:rPr>
                <w:color w:val="auto"/>
                <w:sz w:val="18"/>
                <w:szCs w:val="18"/>
              </w:rPr>
              <w:t>规定值或允许偏差</w:t>
            </w:r>
          </w:p>
        </w:tc>
        <w:tc>
          <w:tcPr>
            <w:tcW w:w="2631" w:type="dxa"/>
          </w:tcPr>
          <w:p w14:paraId="5A0EDDD0">
            <w:pPr>
              <w:pStyle w:val="326"/>
              <w:jc w:val="center"/>
              <w:rPr>
                <w:color w:val="auto"/>
                <w:sz w:val="18"/>
                <w:szCs w:val="18"/>
              </w:rPr>
            </w:pPr>
            <w:r>
              <w:rPr>
                <w:color w:val="auto"/>
                <w:sz w:val="18"/>
                <w:szCs w:val="18"/>
              </w:rPr>
              <w:t>检查方法和频率</w:t>
            </w:r>
          </w:p>
        </w:tc>
      </w:tr>
      <w:tr w14:paraId="13FB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704" w:type="dxa"/>
            <w:vAlign w:val="center"/>
          </w:tcPr>
          <w:p w14:paraId="1724FAA4">
            <w:pPr>
              <w:pStyle w:val="326"/>
              <w:jc w:val="center"/>
              <w:rPr>
                <w:color w:val="auto"/>
                <w:sz w:val="18"/>
                <w:szCs w:val="18"/>
              </w:rPr>
            </w:pPr>
            <w:r>
              <w:rPr>
                <w:color w:val="auto"/>
                <w:sz w:val="18"/>
                <w:szCs w:val="18"/>
              </w:rPr>
              <w:t>1</w:t>
            </w:r>
          </w:p>
        </w:tc>
        <w:tc>
          <w:tcPr>
            <w:tcW w:w="2977" w:type="dxa"/>
            <w:gridSpan w:val="2"/>
            <w:vAlign w:val="center"/>
          </w:tcPr>
          <w:p w14:paraId="00B026B2">
            <w:pPr>
              <w:pStyle w:val="326"/>
              <w:jc w:val="center"/>
              <w:rPr>
                <w:color w:val="auto"/>
                <w:sz w:val="18"/>
                <w:szCs w:val="18"/>
              </w:rPr>
            </w:pPr>
            <w:r>
              <w:rPr>
                <w:color w:val="auto"/>
                <w:sz w:val="18"/>
                <w:szCs w:val="18"/>
              </w:rPr>
              <w:t>超高性能混凝土强度（MPa）</w:t>
            </w:r>
          </w:p>
        </w:tc>
        <w:tc>
          <w:tcPr>
            <w:tcW w:w="1984" w:type="dxa"/>
            <w:vAlign w:val="center"/>
          </w:tcPr>
          <w:p w14:paraId="00C9283A">
            <w:pPr>
              <w:pStyle w:val="326"/>
              <w:jc w:val="center"/>
              <w:rPr>
                <w:color w:val="auto"/>
                <w:sz w:val="18"/>
                <w:szCs w:val="18"/>
              </w:rPr>
            </w:pPr>
            <w:r>
              <w:rPr>
                <w:color w:val="auto"/>
                <w:sz w:val="18"/>
                <w:szCs w:val="18"/>
              </w:rPr>
              <w:t>在合格标准内</w:t>
            </w:r>
          </w:p>
        </w:tc>
        <w:tc>
          <w:tcPr>
            <w:tcW w:w="2631" w:type="dxa"/>
            <w:vMerge w:val="restart"/>
            <w:tcMar>
              <w:left w:w="28" w:type="dxa"/>
              <w:right w:w="28" w:type="dxa"/>
            </w:tcMar>
            <w:vAlign w:val="center"/>
          </w:tcPr>
          <w:p w14:paraId="4018D6F8">
            <w:pPr>
              <w:pStyle w:val="326"/>
              <w:spacing w:line="276" w:lineRule="auto"/>
              <w:jc w:val="center"/>
              <w:rPr>
                <w:color w:val="auto"/>
                <w:sz w:val="18"/>
                <w:szCs w:val="18"/>
              </w:rPr>
            </w:pPr>
            <w:r>
              <w:rPr>
                <w:color w:val="auto"/>
                <w:sz w:val="18"/>
                <w:szCs w:val="18"/>
              </w:rPr>
              <w:t>符合《超高性能混凝土梁式桥技术规程》T/CCES 27-2021附录D的相关规定</w:t>
            </w:r>
          </w:p>
        </w:tc>
      </w:tr>
      <w:tr w14:paraId="2596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Align w:val="center"/>
          </w:tcPr>
          <w:p w14:paraId="3AFFA778">
            <w:pPr>
              <w:pStyle w:val="326"/>
              <w:jc w:val="center"/>
              <w:rPr>
                <w:color w:val="auto"/>
                <w:sz w:val="18"/>
                <w:szCs w:val="18"/>
              </w:rPr>
            </w:pPr>
            <w:r>
              <w:rPr>
                <w:color w:val="auto"/>
                <w:sz w:val="18"/>
                <w:szCs w:val="18"/>
              </w:rPr>
              <w:t>2</w:t>
            </w:r>
          </w:p>
        </w:tc>
        <w:tc>
          <w:tcPr>
            <w:tcW w:w="2977" w:type="dxa"/>
            <w:gridSpan w:val="2"/>
            <w:vAlign w:val="center"/>
          </w:tcPr>
          <w:p w14:paraId="7CC875CA">
            <w:pPr>
              <w:pStyle w:val="326"/>
              <w:spacing w:line="276" w:lineRule="auto"/>
              <w:jc w:val="center"/>
              <w:rPr>
                <w:color w:val="auto"/>
                <w:sz w:val="18"/>
                <w:szCs w:val="18"/>
              </w:rPr>
            </w:pPr>
            <w:r>
              <w:rPr>
                <w:color w:val="auto"/>
                <w:sz w:val="18"/>
                <w:szCs w:val="18"/>
              </w:rPr>
              <w:t>超高性能混凝土抗折强度（MPa）</w:t>
            </w:r>
          </w:p>
        </w:tc>
        <w:tc>
          <w:tcPr>
            <w:tcW w:w="1984" w:type="dxa"/>
            <w:vAlign w:val="center"/>
          </w:tcPr>
          <w:p w14:paraId="315BC65D">
            <w:pPr>
              <w:pStyle w:val="326"/>
              <w:jc w:val="center"/>
              <w:rPr>
                <w:color w:val="auto"/>
                <w:sz w:val="18"/>
                <w:szCs w:val="18"/>
              </w:rPr>
            </w:pPr>
            <w:r>
              <w:rPr>
                <w:color w:val="auto"/>
                <w:sz w:val="18"/>
                <w:szCs w:val="18"/>
              </w:rPr>
              <w:t>在合格标准内</w:t>
            </w:r>
          </w:p>
        </w:tc>
        <w:tc>
          <w:tcPr>
            <w:tcW w:w="2631" w:type="dxa"/>
            <w:vMerge w:val="continue"/>
            <w:vAlign w:val="center"/>
          </w:tcPr>
          <w:p w14:paraId="28D59A8E">
            <w:pPr>
              <w:pStyle w:val="326"/>
              <w:jc w:val="center"/>
              <w:rPr>
                <w:color w:val="auto"/>
                <w:sz w:val="18"/>
                <w:szCs w:val="18"/>
              </w:rPr>
            </w:pPr>
          </w:p>
        </w:tc>
      </w:tr>
      <w:tr w14:paraId="2893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2BDA5BEC">
            <w:pPr>
              <w:pStyle w:val="326"/>
              <w:jc w:val="center"/>
              <w:rPr>
                <w:color w:val="auto"/>
                <w:sz w:val="18"/>
                <w:szCs w:val="18"/>
              </w:rPr>
            </w:pPr>
            <w:r>
              <w:rPr>
                <w:color w:val="auto"/>
                <w:sz w:val="18"/>
                <w:szCs w:val="18"/>
              </w:rPr>
              <w:t>3</w:t>
            </w:r>
          </w:p>
        </w:tc>
        <w:tc>
          <w:tcPr>
            <w:tcW w:w="2977" w:type="dxa"/>
            <w:gridSpan w:val="2"/>
            <w:vAlign w:val="center"/>
          </w:tcPr>
          <w:p w14:paraId="7305430D">
            <w:pPr>
              <w:pStyle w:val="326"/>
              <w:jc w:val="center"/>
              <w:rPr>
                <w:color w:val="auto"/>
                <w:sz w:val="18"/>
                <w:szCs w:val="18"/>
              </w:rPr>
            </w:pPr>
            <w:r>
              <w:rPr>
                <w:color w:val="auto"/>
                <w:sz w:val="18"/>
                <w:szCs w:val="18"/>
              </w:rPr>
              <w:t>板的长度（mm）</w:t>
            </w:r>
          </w:p>
        </w:tc>
        <w:tc>
          <w:tcPr>
            <w:tcW w:w="1984" w:type="dxa"/>
            <w:vAlign w:val="center"/>
          </w:tcPr>
          <w:p w14:paraId="2BEA2D27">
            <w:pPr>
              <w:pStyle w:val="326"/>
              <w:jc w:val="center"/>
              <w:rPr>
                <w:color w:val="auto"/>
                <w:sz w:val="18"/>
                <w:szCs w:val="18"/>
              </w:rPr>
            </w:pPr>
            <w:r>
              <w:rPr>
                <w:color w:val="auto"/>
                <w:sz w:val="18"/>
                <w:szCs w:val="18"/>
              </w:rPr>
              <w:t>+5，-10</w:t>
            </w:r>
          </w:p>
        </w:tc>
        <w:tc>
          <w:tcPr>
            <w:tcW w:w="2631" w:type="dxa"/>
            <w:tcMar>
              <w:left w:w="28" w:type="dxa"/>
              <w:right w:w="28" w:type="dxa"/>
            </w:tcMar>
            <w:vAlign w:val="center"/>
          </w:tcPr>
          <w:p w14:paraId="51D30C81">
            <w:pPr>
              <w:pStyle w:val="326"/>
              <w:spacing w:line="276" w:lineRule="auto"/>
              <w:jc w:val="center"/>
              <w:rPr>
                <w:color w:val="auto"/>
                <w:sz w:val="18"/>
                <w:szCs w:val="18"/>
              </w:rPr>
            </w:pPr>
            <w:r>
              <w:rPr>
                <w:color w:val="auto"/>
                <w:sz w:val="18"/>
                <w:szCs w:val="18"/>
              </w:rPr>
              <w:t>尺量：每梁底面中线、底面两侧</w:t>
            </w:r>
          </w:p>
        </w:tc>
      </w:tr>
      <w:tr w14:paraId="60E4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vAlign w:val="center"/>
          </w:tcPr>
          <w:p w14:paraId="41A6F142">
            <w:pPr>
              <w:pStyle w:val="326"/>
              <w:jc w:val="center"/>
              <w:rPr>
                <w:color w:val="auto"/>
                <w:sz w:val="18"/>
                <w:szCs w:val="18"/>
              </w:rPr>
            </w:pPr>
            <w:r>
              <w:rPr>
                <w:color w:val="auto"/>
                <w:sz w:val="18"/>
                <w:szCs w:val="18"/>
              </w:rPr>
              <w:t>4</w:t>
            </w:r>
          </w:p>
        </w:tc>
        <w:tc>
          <w:tcPr>
            <w:tcW w:w="1134" w:type="dxa"/>
            <w:vMerge w:val="restart"/>
            <w:vAlign w:val="center"/>
          </w:tcPr>
          <w:p w14:paraId="3C8246B2">
            <w:pPr>
              <w:pStyle w:val="326"/>
              <w:jc w:val="center"/>
              <w:rPr>
                <w:color w:val="auto"/>
                <w:sz w:val="18"/>
                <w:szCs w:val="18"/>
              </w:rPr>
            </w:pPr>
            <w:r>
              <w:rPr>
                <w:color w:val="auto"/>
                <w:sz w:val="18"/>
                <w:szCs w:val="18"/>
              </w:rPr>
              <w:t>断面尺寸（mm）</w:t>
            </w:r>
          </w:p>
        </w:tc>
        <w:tc>
          <w:tcPr>
            <w:tcW w:w="1843" w:type="dxa"/>
            <w:vAlign w:val="center"/>
          </w:tcPr>
          <w:p w14:paraId="6CDEECB5">
            <w:pPr>
              <w:pStyle w:val="326"/>
              <w:jc w:val="center"/>
              <w:rPr>
                <w:color w:val="auto"/>
                <w:sz w:val="18"/>
                <w:szCs w:val="18"/>
              </w:rPr>
            </w:pPr>
            <w:r>
              <w:rPr>
                <w:color w:val="auto"/>
                <w:sz w:val="18"/>
                <w:szCs w:val="18"/>
              </w:rPr>
              <w:t>底板宽度</w:t>
            </w:r>
          </w:p>
        </w:tc>
        <w:tc>
          <w:tcPr>
            <w:tcW w:w="1984" w:type="dxa"/>
            <w:vAlign w:val="center"/>
          </w:tcPr>
          <w:p w14:paraId="3F2BD7FC">
            <w:pPr>
              <w:pStyle w:val="326"/>
              <w:jc w:val="center"/>
              <w:rPr>
                <w:color w:val="auto"/>
                <w:sz w:val="18"/>
                <w:szCs w:val="18"/>
              </w:rPr>
            </w:pPr>
            <w:r>
              <w:rPr>
                <w:color w:val="auto"/>
                <w:sz w:val="18"/>
                <w:szCs w:val="18"/>
              </w:rPr>
              <w:t>±10</w:t>
            </w:r>
          </w:p>
        </w:tc>
        <w:tc>
          <w:tcPr>
            <w:tcW w:w="2631" w:type="dxa"/>
            <w:vMerge w:val="restart"/>
            <w:tcMar>
              <w:left w:w="28" w:type="dxa"/>
              <w:right w:w="28" w:type="dxa"/>
            </w:tcMar>
            <w:vAlign w:val="center"/>
          </w:tcPr>
          <w:p w14:paraId="1009BEAF">
            <w:pPr>
              <w:pStyle w:val="326"/>
              <w:spacing w:line="276" w:lineRule="auto"/>
              <w:jc w:val="center"/>
              <w:rPr>
                <w:color w:val="auto"/>
                <w:sz w:val="18"/>
                <w:szCs w:val="18"/>
              </w:rPr>
            </w:pPr>
            <w:r>
              <w:rPr>
                <w:color w:val="auto"/>
                <w:sz w:val="18"/>
                <w:szCs w:val="18"/>
              </w:rPr>
              <w:t>尺量：每板测 2 个断面</w:t>
            </w:r>
          </w:p>
        </w:tc>
      </w:tr>
      <w:tr w14:paraId="468E0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4A8F286B">
            <w:pPr>
              <w:pStyle w:val="326"/>
              <w:jc w:val="center"/>
              <w:rPr>
                <w:color w:val="auto"/>
                <w:sz w:val="18"/>
                <w:szCs w:val="18"/>
              </w:rPr>
            </w:pPr>
          </w:p>
        </w:tc>
        <w:tc>
          <w:tcPr>
            <w:tcW w:w="1134" w:type="dxa"/>
            <w:vMerge w:val="continue"/>
            <w:vAlign w:val="center"/>
          </w:tcPr>
          <w:p w14:paraId="710E7E90">
            <w:pPr>
              <w:pStyle w:val="326"/>
              <w:jc w:val="center"/>
              <w:rPr>
                <w:color w:val="auto"/>
                <w:sz w:val="18"/>
                <w:szCs w:val="18"/>
              </w:rPr>
            </w:pPr>
          </w:p>
        </w:tc>
        <w:tc>
          <w:tcPr>
            <w:tcW w:w="1843" w:type="dxa"/>
            <w:vAlign w:val="center"/>
          </w:tcPr>
          <w:p w14:paraId="541A5784">
            <w:pPr>
              <w:pStyle w:val="326"/>
              <w:jc w:val="center"/>
              <w:rPr>
                <w:color w:val="auto"/>
                <w:sz w:val="18"/>
                <w:szCs w:val="18"/>
              </w:rPr>
            </w:pPr>
            <w:r>
              <w:rPr>
                <w:rFonts w:hint="eastAsia"/>
                <w:color w:val="auto"/>
                <w:sz w:val="18"/>
                <w:szCs w:val="18"/>
              </w:rPr>
              <w:t>板的高度</w:t>
            </w:r>
          </w:p>
        </w:tc>
        <w:tc>
          <w:tcPr>
            <w:tcW w:w="1984" w:type="dxa"/>
            <w:vAlign w:val="center"/>
          </w:tcPr>
          <w:p w14:paraId="119C50E0">
            <w:pPr>
              <w:pStyle w:val="326"/>
              <w:jc w:val="center"/>
              <w:rPr>
                <w:color w:val="auto"/>
                <w:sz w:val="18"/>
                <w:szCs w:val="18"/>
              </w:rPr>
            </w:pPr>
            <w:r>
              <w:rPr>
                <w:rFonts w:hint="eastAsia"/>
                <w:color w:val="auto"/>
                <w:sz w:val="18"/>
                <w:szCs w:val="18"/>
              </w:rPr>
              <w:t>±</w:t>
            </w:r>
            <w:r>
              <w:rPr>
                <w:color w:val="auto"/>
                <w:sz w:val="18"/>
                <w:szCs w:val="18"/>
              </w:rPr>
              <w:t>5</w:t>
            </w:r>
          </w:p>
        </w:tc>
        <w:tc>
          <w:tcPr>
            <w:tcW w:w="2631" w:type="dxa"/>
            <w:vMerge w:val="continue"/>
          </w:tcPr>
          <w:p w14:paraId="34D766C2">
            <w:pPr>
              <w:pStyle w:val="326"/>
              <w:jc w:val="center"/>
              <w:rPr>
                <w:color w:val="auto"/>
              </w:rPr>
            </w:pPr>
          </w:p>
        </w:tc>
      </w:tr>
      <w:tr w14:paraId="0D6B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50EDF9E8">
            <w:pPr>
              <w:pStyle w:val="326"/>
              <w:jc w:val="center"/>
              <w:rPr>
                <w:color w:val="auto"/>
                <w:sz w:val="18"/>
                <w:szCs w:val="18"/>
              </w:rPr>
            </w:pPr>
          </w:p>
        </w:tc>
        <w:tc>
          <w:tcPr>
            <w:tcW w:w="1134" w:type="dxa"/>
            <w:vMerge w:val="continue"/>
            <w:vAlign w:val="center"/>
          </w:tcPr>
          <w:p w14:paraId="54991451">
            <w:pPr>
              <w:pStyle w:val="326"/>
              <w:jc w:val="center"/>
              <w:rPr>
                <w:color w:val="auto"/>
                <w:sz w:val="18"/>
                <w:szCs w:val="18"/>
              </w:rPr>
            </w:pPr>
          </w:p>
        </w:tc>
        <w:tc>
          <w:tcPr>
            <w:tcW w:w="1843" w:type="dxa"/>
            <w:vAlign w:val="center"/>
          </w:tcPr>
          <w:p w14:paraId="0FAD5BDE">
            <w:pPr>
              <w:pStyle w:val="326"/>
              <w:jc w:val="center"/>
              <w:rPr>
                <w:color w:val="auto"/>
                <w:sz w:val="18"/>
                <w:szCs w:val="18"/>
              </w:rPr>
            </w:pPr>
            <w:r>
              <w:rPr>
                <w:rFonts w:hint="eastAsia"/>
                <w:color w:val="auto"/>
                <w:sz w:val="18"/>
                <w:szCs w:val="18"/>
              </w:rPr>
              <w:t>底板、腹板厚度</w:t>
            </w:r>
          </w:p>
        </w:tc>
        <w:tc>
          <w:tcPr>
            <w:tcW w:w="1984" w:type="dxa"/>
            <w:vAlign w:val="center"/>
          </w:tcPr>
          <w:p w14:paraId="08AA1178">
            <w:pPr>
              <w:pStyle w:val="326"/>
              <w:jc w:val="center"/>
              <w:rPr>
                <w:color w:val="auto"/>
                <w:sz w:val="18"/>
                <w:szCs w:val="18"/>
              </w:rPr>
            </w:pPr>
            <w:r>
              <w:rPr>
                <w:color w:val="auto"/>
                <w:sz w:val="18"/>
                <w:szCs w:val="18"/>
              </w:rPr>
              <w:t>+3</w:t>
            </w:r>
            <w:r>
              <w:rPr>
                <w:rFonts w:hint="eastAsia"/>
                <w:color w:val="auto"/>
                <w:sz w:val="18"/>
                <w:szCs w:val="18"/>
              </w:rPr>
              <w:t>，</w:t>
            </w:r>
            <w:r>
              <w:rPr>
                <w:color w:val="auto"/>
                <w:sz w:val="18"/>
                <w:szCs w:val="18"/>
              </w:rPr>
              <w:t>0</w:t>
            </w:r>
          </w:p>
        </w:tc>
        <w:tc>
          <w:tcPr>
            <w:tcW w:w="2631" w:type="dxa"/>
            <w:vMerge w:val="continue"/>
          </w:tcPr>
          <w:p w14:paraId="7F6CD672">
            <w:pPr>
              <w:pStyle w:val="326"/>
              <w:jc w:val="center"/>
              <w:rPr>
                <w:color w:val="auto"/>
              </w:rPr>
            </w:pPr>
          </w:p>
        </w:tc>
      </w:tr>
      <w:bookmarkEnd w:id="137"/>
    </w:tbl>
    <w:p w14:paraId="7D939B47">
      <w:pPr>
        <w:pStyle w:val="326"/>
        <w:jc w:val="center"/>
        <w:rPr>
          <w:color w:val="auto"/>
        </w:rPr>
      </w:pPr>
    </w:p>
    <w:p w14:paraId="22B8F89E">
      <w:pPr>
        <w:pStyle w:val="3"/>
        <w:rPr>
          <w:color w:val="auto"/>
        </w:rPr>
      </w:pPr>
      <w:bookmarkStart w:id="138" w:name="_Toc30725"/>
      <w:bookmarkStart w:id="139" w:name="_Toc8420"/>
      <w:bookmarkStart w:id="140" w:name="_Toc3754"/>
      <w:r>
        <w:rPr>
          <w:color w:val="auto"/>
        </w:rPr>
        <w:t>9.</w:t>
      </w:r>
      <w:r>
        <w:rPr>
          <w:rFonts w:hint="eastAsia"/>
          <w:color w:val="auto"/>
        </w:rPr>
        <w:t>5</w:t>
      </w:r>
      <w:r>
        <w:rPr>
          <w:color w:val="auto"/>
        </w:rPr>
        <w:t xml:space="preserve"> </w:t>
      </w:r>
      <w:bookmarkStart w:id="141" w:name="_Hlk143683100"/>
      <w:r>
        <w:rPr>
          <w:rFonts w:hint="eastAsia"/>
          <w:color w:val="auto"/>
        </w:rPr>
        <w:t xml:space="preserve"> 超高性能混凝土板</w:t>
      </w:r>
      <w:bookmarkEnd w:id="141"/>
      <w:r>
        <w:rPr>
          <w:rFonts w:hint="eastAsia"/>
          <w:color w:val="auto"/>
        </w:rPr>
        <w:t>的</w:t>
      </w:r>
      <w:bookmarkStart w:id="142" w:name="_Hlk143683188"/>
      <w:r>
        <w:rPr>
          <w:rFonts w:hint="eastAsia"/>
          <w:color w:val="auto"/>
        </w:rPr>
        <w:t>运输与现场安装</w:t>
      </w:r>
      <w:bookmarkEnd w:id="138"/>
      <w:bookmarkEnd w:id="139"/>
      <w:bookmarkEnd w:id="140"/>
      <w:bookmarkEnd w:id="142"/>
    </w:p>
    <w:p w14:paraId="2D2688C3">
      <w:pPr>
        <w:pStyle w:val="326"/>
        <w:rPr>
          <w:color w:val="auto"/>
          <w:szCs w:val="21"/>
        </w:rPr>
      </w:pPr>
      <w:r>
        <w:rPr>
          <w:b/>
          <w:bCs/>
          <w:color w:val="auto"/>
        </w:rPr>
        <w:t>9.</w:t>
      </w:r>
      <w:r>
        <w:rPr>
          <w:rFonts w:hint="eastAsia"/>
          <w:b/>
          <w:bCs/>
          <w:color w:val="auto"/>
        </w:rPr>
        <w:t>5</w:t>
      </w:r>
      <w:r>
        <w:rPr>
          <w:b/>
          <w:bCs/>
          <w:color w:val="auto"/>
        </w:rPr>
        <w:t>.1</w:t>
      </w:r>
      <w:r>
        <w:rPr>
          <w:color w:val="auto"/>
          <w:szCs w:val="21"/>
        </w:rPr>
        <w:t xml:space="preserve">  超高性能混凝土倒“π”型/“T”型板的运输与现场安装施工应符合现行行业标准《公路桥涵施工技术规范》JTG/T 3650的相关规定。</w:t>
      </w:r>
    </w:p>
    <w:p w14:paraId="3A595FA1">
      <w:pPr>
        <w:pStyle w:val="326"/>
        <w:rPr>
          <w:color w:val="auto"/>
          <w:szCs w:val="21"/>
        </w:rPr>
      </w:pPr>
      <w:r>
        <w:rPr>
          <w:b/>
          <w:bCs/>
          <w:color w:val="auto"/>
        </w:rPr>
        <w:t>9.</w:t>
      </w:r>
      <w:r>
        <w:rPr>
          <w:rFonts w:hint="eastAsia"/>
          <w:b/>
          <w:bCs/>
          <w:color w:val="auto"/>
        </w:rPr>
        <w:t>5</w:t>
      </w:r>
      <w:r>
        <w:rPr>
          <w:b/>
          <w:bCs/>
          <w:color w:val="auto"/>
        </w:rPr>
        <w:t>.2</w:t>
      </w:r>
      <w:r>
        <w:rPr>
          <w:color w:val="auto"/>
          <w:szCs w:val="21"/>
        </w:rPr>
        <w:t xml:space="preserve">  </w:t>
      </w:r>
      <w:r>
        <w:rPr>
          <w:rFonts w:hint="eastAsia"/>
          <w:color w:val="auto"/>
          <w:szCs w:val="21"/>
        </w:rPr>
        <w:t>超高性能混凝土板的场内移运、存放施工应符合下列规定：</w:t>
      </w:r>
    </w:p>
    <w:p w14:paraId="11B68593">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b/>
          <w:color w:val="auto"/>
          <w:szCs w:val="21"/>
        </w:rPr>
        <w:t>1</w:t>
      </w:r>
      <w:r>
        <w:rPr>
          <w:rFonts w:ascii="Times New Roman" w:hAnsi="Times New Roman" w:eastAsia="宋体" w:cs="Times New Roman"/>
          <w:b/>
          <w:color w:val="auto"/>
          <w:szCs w:val="21"/>
        </w:rPr>
        <w:t xml:space="preserve"> </w:t>
      </w:r>
      <w:r>
        <w:rPr>
          <w:rFonts w:hint="eastAsia" w:ascii="Times New Roman" w:hAnsi="Times New Roman" w:eastAsia="宋体" w:cs="Times New Roman"/>
          <w:color w:val="auto"/>
          <w:szCs w:val="21"/>
        </w:rPr>
        <w:t>超高性能混凝土板移动、吊装可采用预埋吊环吊装或外侧安放扁平起重吊带的方式，吊点及扁平吊带受力需经过计算复核。</w:t>
      </w:r>
    </w:p>
    <w:p w14:paraId="222F02F7">
      <w:pPr>
        <w:spacing w:line="360" w:lineRule="auto"/>
        <w:ind w:firstLine="420"/>
        <w:rPr>
          <w:rFonts w:ascii="Times New Roman" w:hAnsi="Times New Roman" w:eastAsia="宋体" w:cs="Times New Roman"/>
          <w:color w:val="auto"/>
          <w:szCs w:val="21"/>
        </w:rPr>
      </w:pPr>
      <w:r>
        <w:rPr>
          <w:rFonts w:ascii="Times New Roman" w:hAnsi="Times New Roman" w:eastAsia="宋体" w:cs="Times New Roman"/>
          <w:b/>
          <w:color w:val="auto"/>
          <w:szCs w:val="21"/>
        </w:rPr>
        <w:t xml:space="preserve">2 </w:t>
      </w:r>
      <w:bookmarkStart w:id="143" w:name="_Hlk143691721"/>
      <w:r>
        <w:rPr>
          <w:rFonts w:hint="eastAsia" w:ascii="Times New Roman" w:hAnsi="Times New Roman" w:eastAsia="宋体" w:cs="Times New Roman"/>
          <w:color w:val="auto"/>
          <w:szCs w:val="21"/>
        </w:rPr>
        <w:t>超高性能混凝土板</w:t>
      </w:r>
      <w:bookmarkEnd w:id="143"/>
      <w:r>
        <w:rPr>
          <w:rFonts w:hint="eastAsia" w:ascii="Times New Roman" w:hAnsi="Times New Roman" w:eastAsia="宋体" w:cs="Times New Roman"/>
          <w:color w:val="auto"/>
          <w:szCs w:val="21"/>
        </w:rPr>
        <w:t>等在脱底模、移运、存放和吊装时，超高性能混凝土的强度不应低于设计规定的吊装强度；设计未规定时，</w:t>
      </w:r>
      <w:r>
        <w:rPr>
          <w:rFonts w:ascii="Times New Roman" w:hAnsi="Times New Roman" w:eastAsia="宋体" w:cs="Times New Roman"/>
          <w:color w:val="auto"/>
          <w:szCs w:val="21"/>
        </w:rPr>
        <w:t>吊装强度不宜低于80MPa。</w:t>
      </w:r>
    </w:p>
    <w:p w14:paraId="009177CE">
      <w:pPr>
        <w:spacing w:line="360" w:lineRule="auto"/>
        <w:ind w:firstLine="420"/>
        <w:rPr>
          <w:rFonts w:ascii="Times New Roman" w:hAnsi="Times New Roman" w:eastAsia="宋体" w:cs="Times New Roman"/>
          <w:color w:val="auto"/>
          <w:szCs w:val="21"/>
        </w:rPr>
      </w:pPr>
      <w:r>
        <w:rPr>
          <w:rFonts w:ascii="Times New Roman" w:hAnsi="Times New Roman" w:eastAsia="宋体" w:cs="Times New Roman"/>
          <w:b/>
          <w:bCs/>
          <w:color w:val="auto"/>
          <w:szCs w:val="21"/>
        </w:rPr>
        <w:t xml:space="preserve">3 </w:t>
      </w:r>
      <w:r>
        <w:rPr>
          <w:rFonts w:hint="eastAsia" w:ascii="Times New Roman" w:hAnsi="Times New Roman" w:eastAsia="宋体" w:cs="Times New Roman"/>
          <w:color w:val="auto"/>
          <w:szCs w:val="21"/>
        </w:rPr>
        <w:t>在起吊超高性能混凝土板的过程中，要对板的重心位置、系点位置和起吊瞬间予以注意，并时刻检查钢丝绳、吊钩、卡环、吊带</w:t>
      </w:r>
      <w:r>
        <w:rPr>
          <w:rFonts w:hint="eastAsia" w:ascii="Times New Roman" w:hAnsi="Times New Roman" w:eastAsia="宋体" w:cs="Times New Roman"/>
          <w:color w:val="auto"/>
          <w:szCs w:val="21"/>
          <w:lang w:eastAsia="zh-CN"/>
        </w:rPr>
        <w:t>及其他</w:t>
      </w:r>
      <w:r>
        <w:rPr>
          <w:rFonts w:hint="eastAsia" w:ascii="Times New Roman" w:hAnsi="Times New Roman" w:eastAsia="宋体" w:cs="Times New Roman"/>
          <w:color w:val="auto"/>
          <w:szCs w:val="21"/>
        </w:rPr>
        <w:t>吊装设备的安全使用情况。</w:t>
      </w:r>
    </w:p>
    <w:p w14:paraId="67ADC48B">
      <w:pPr>
        <w:pStyle w:val="326"/>
        <w:rPr>
          <w:color w:val="auto"/>
          <w:szCs w:val="21"/>
        </w:rPr>
      </w:pPr>
      <w:r>
        <w:rPr>
          <w:b/>
          <w:bCs/>
          <w:color w:val="auto"/>
        </w:rPr>
        <w:t>9.</w:t>
      </w:r>
      <w:r>
        <w:rPr>
          <w:rFonts w:hint="eastAsia"/>
          <w:b/>
          <w:bCs/>
          <w:color w:val="auto"/>
        </w:rPr>
        <w:t>5</w:t>
      </w:r>
      <w:r>
        <w:rPr>
          <w:b/>
          <w:bCs/>
          <w:color w:val="auto"/>
        </w:rPr>
        <w:t>.3</w:t>
      </w:r>
      <w:r>
        <w:rPr>
          <w:color w:val="auto"/>
          <w:szCs w:val="21"/>
        </w:rPr>
        <w:t xml:space="preserve">  </w:t>
      </w:r>
      <w:r>
        <w:rPr>
          <w:rFonts w:hint="eastAsia"/>
          <w:color w:val="auto"/>
          <w:szCs w:val="21"/>
        </w:rPr>
        <w:t>超高性能混凝土板的场外运输应符合下列规定：</w:t>
      </w:r>
    </w:p>
    <w:p w14:paraId="1059F6DF">
      <w:pPr>
        <w:spacing w:line="360" w:lineRule="auto"/>
        <w:ind w:firstLine="420"/>
        <w:rPr>
          <w:rFonts w:ascii="Times New Roman" w:hAnsi="Times New Roman" w:eastAsia="宋体" w:cs="Times New Roman"/>
          <w:color w:val="auto"/>
          <w:szCs w:val="21"/>
        </w:rPr>
      </w:pPr>
      <w:r>
        <w:rPr>
          <w:rFonts w:ascii="Times New Roman" w:hAnsi="Times New Roman" w:eastAsia="宋体" w:cs="Times New Roman"/>
          <w:b/>
          <w:bCs/>
          <w:color w:val="auto"/>
          <w:szCs w:val="21"/>
        </w:rPr>
        <w:t xml:space="preserve">1 </w:t>
      </w:r>
      <w:r>
        <w:rPr>
          <w:rFonts w:hint="eastAsia" w:ascii="Times New Roman" w:hAnsi="Times New Roman" w:eastAsia="宋体" w:cs="Times New Roman"/>
          <w:color w:val="auto"/>
          <w:szCs w:val="21"/>
        </w:rPr>
        <w:t>应根据预制场地理位置、结合实际运输通道条件、整板重量、尺寸等因素选择合适的出运设备。</w:t>
      </w:r>
    </w:p>
    <w:p w14:paraId="666076F1">
      <w:pPr>
        <w:spacing w:line="360" w:lineRule="auto"/>
        <w:ind w:firstLine="420"/>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2 </w:t>
      </w:r>
      <w:r>
        <w:rPr>
          <w:rFonts w:hint="eastAsia" w:ascii="Times New Roman" w:hAnsi="Times New Roman" w:eastAsia="宋体" w:cs="Times New Roman"/>
          <w:color w:val="auto"/>
          <w:szCs w:val="21"/>
        </w:rPr>
        <w:t>超高性能混凝土板</w:t>
      </w:r>
      <w:r>
        <w:rPr>
          <w:rFonts w:ascii="Times New Roman" w:hAnsi="Times New Roman" w:eastAsia="宋体" w:cs="Times New Roman"/>
          <w:color w:val="auto"/>
          <w:szCs w:val="21"/>
        </w:rPr>
        <w:t>在运输过程中，应采取保护、固定措施，支撑点的设置应避免运输设备振动对</w:t>
      </w:r>
      <w:r>
        <w:rPr>
          <w:rFonts w:hint="eastAsia" w:ascii="Times New Roman" w:hAnsi="Times New Roman" w:eastAsia="宋体" w:cs="Times New Roman"/>
          <w:color w:val="auto"/>
          <w:szCs w:val="21"/>
        </w:rPr>
        <w:t>板体造成不利影响，应根据运输线路上的最大纵横坡，设置纵横向限位装置。</w:t>
      </w:r>
    </w:p>
    <w:p w14:paraId="1DBFE2A8">
      <w:pPr>
        <w:pStyle w:val="326"/>
        <w:rPr>
          <w:color w:val="auto"/>
          <w:szCs w:val="21"/>
        </w:rPr>
      </w:pPr>
      <w:r>
        <w:rPr>
          <w:b/>
          <w:bCs/>
          <w:color w:val="auto"/>
        </w:rPr>
        <w:t>9.</w:t>
      </w:r>
      <w:r>
        <w:rPr>
          <w:rFonts w:hint="eastAsia"/>
          <w:b/>
          <w:bCs/>
          <w:color w:val="auto"/>
        </w:rPr>
        <w:t>5</w:t>
      </w:r>
      <w:r>
        <w:rPr>
          <w:b/>
          <w:bCs/>
          <w:color w:val="auto"/>
        </w:rPr>
        <w:t>.4</w:t>
      </w:r>
      <w:r>
        <w:rPr>
          <w:color w:val="auto"/>
          <w:szCs w:val="21"/>
        </w:rPr>
        <w:t xml:space="preserve">  </w:t>
      </w:r>
      <w:r>
        <w:rPr>
          <w:rFonts w:hint="eastAsia"/>
          <w:color w:val="auto"/>
          <w:szCs w:val="21"/>
        </w:rPr>
        <w:t>超高性能混凝土板的现场安装施工应符合下列规定：</w:t>
      </w:r>
    </w:p>
    <w:p w14:paraId="6566F81B">
      <w:pPr>
        <w:spacing w:line="360" w:lineRule="auto"/>
        <w:ind w:firstLine="420"/>
        <w:rPr>
          <w:rFonts w:ascii="Times New Roman" w:hAnsi="Times New Roman" w:eastAsia="宋体" w:cs="Times New Roman"/>
          <w:color w:val="auto"/>
          <w:szCs w:val="21"/>
        </w:rPr>
      </w:pPr>
      <w:r>
        <w:rPr>
          <w:rFonts w:ascii="Times New Roman" w:hAnsi="Times New Roman" w:eastAsia="宋体" w:cs="Times New Roman"/>
          <w:b/>
          <w:bCs/>
          <w:color w:val="auto"/>
          <w:szCs w:val="21"/>
        </w:rPr>
        <w:t xml:space="preserve">1 </w:t>
      </w:r>
      <w:r>
        <w:rPr>
          <w:rFonts w:hint="eastAsia" w:ascii="Times New Roman" w:hAnsi="Times New Roman" w:eastAsia="宋体" w:cs="Times New Roman"/>
          <w:color w:val="auto"/>
          <w:szCs w:val="21"/>
        </w:rPr>
        <w:t>超高性能混凝土板支承部位宜铺设油毛毡和细砂，确保接触面平整。</w:t>
      </w:r>
    </w:p>
    <w:p w14:paraId="3A49230A">
      <w:pPr>
        <w:spacing w:line="360" w:lineRule="auto"/>
        <w:ind w:firstLine="420"/>
        <w:rPr>
          <w:rFonts w:hint="eastAsia"/>
          <w:b/>
          <w:bCs/>
          <w:color w:val="auto"/>
        </w:rPr>
      </w:pPr>
      <w:r>
        <w:rPr>
          <w:rFonts w:ascii="Times New Roman" w:hAnsi="Times New Roman" w:eastAsia="宋体" w:cs="Times New Roman"/>
          <w:b/>
          <w:color w:val="auto"/>
          <w:szCs w:val="21"/>
        </w:rPr>
        <w:t>2</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超高性能混凝土板的安装质量应符合</w:t>
      </w:r>
      <w:bookmarkStart w:id="144" w:name="_Hlk143684469"/>
      <w:r>
        <w:rPr>
          <w:rFonts w:hint="eastAsia" w:ascii="Times New Roman" w:hAnsi="Times New Roman" w:eastAsia="宋体" w:cs="Times New Roman"/>
          <w:color w:val="auto"/>
          <w:szCs w:val="21"/>
        </w:rPr>
        <w:t>表</w:t>
      </w:r>
      <w:r>
        <w:rPr>
          <w:rFonts w:ascii="Times New Roman" w:hAnsi="Times New Roman" w:eastAsia="宋体" w:cs="Times New Roman"/>
          <w:color w:val="auto"/>
          <w:szCs w:val="21"/>
        </w:rPr>
        <w:t>9.</w:t>
      </w:r>
      <w:r>
        <w:rPr>
          <w:rFonts w:hint="eastAsia" w:ascii="Times New Roman" w:hAnsi="Times New Roman" w:eastAsia="宋体" w:cs="Times New Roman"/>
          <w:color w:val="auto"/>
          <w:szCs w:val="21"/>
        </w:rPr>
        <w:t>5</w:t>
      </w:r>
      <w:r>
        <w:rPr>
          <w:rFonts w:ascii="Times New Roman" w:hAnsi="Times New Roman" w:eastAsia="宋体" w:cs="Times New Roman"/>
          <w:color w:val="auto"/>
          <w:szCs w:val="21"/>
        </w:rPr>
        <w:t>.</w:t>
      </w:r>
      <w:bookmarkEnd w:id="144"/>
      <w:r>
        <w:rPr>
          <w:rFonts w:hint="eastAsia" w:ascii="Times New Roman" w:hAnsi="Times New Roman" w:eastAsia="宋体" w:cs="Times New Roman"/>
          <w:color w:val="auto"/>
          <w:szCs w:val="21"/>
        </w:rPr>
        <w:t>4的规定。</w:t>
      </w:r>
    </w:p>
    <w:p w14:paraId="22D1FA72">
      <w:pPr>
        <w:jc w:val="center"/>
        <w:rPr>
          <w:rFonts w:ascii="Times New Roman" w:hAnsi="Times New Roman" w:eastAsia="黑体" w:cs="Times New Roman"/>
          <w:color w:val="auto"/>
          <w:sz w:val="18"/>
          <w:szCs w:val="20"/>
        </w:rPr>
      </w:pPr>
      <w:r>
        <w:rPr>
          <w:rFonts w:ascii="Times New Roman" w:hAnsi="Times New Roman" w:eastAsia="黑体" w:cs="Times New Roman"/>
          <w:color w:val="auto"/>
          <w:sz w:val="18"/>
          <w:szCs w:val="20"/>
        </w:rPr>
        <w:t>表9.5.4 装配式超高性能混凝土板的现场安装质量标准</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552"/>
        <w:gridCol w:w="1984"/>
        <w:gridCol w:w="3056"/>
      </w:tblGrid>
      <w:tr w14:paraId="1201A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C81A9A6">
            <w:pPr>
              <w:pStyle w:val="326"/>
              <w:jc w:val="center"/>
              <w:rPr>
                <w:color w:val="auto"/>
                <w:sz w:val="18"/>
                <w:szCs w:val="18"/>
              </w:rPr>
            </w:pPr>
            <w:r>
              <w:rPr>
                <w:color w:val="auto"/>
                <w:sz w:val="18"/>
                <w:szCs w:val="18"/>
              </w:rPr>
              <w:t>项次</w:t>
            </w:r>
          </w:p>
        </w:tc>
        <w:tc>
          <w:tcPr>
            <w:tcW w:w="2552" w:type="dxa"/>
            <w:vAlign w:val="center"/>
          </w:tcPr>
          <w:p w14:paraId="45563506">
            <w:pPr>
              <w:pStyle w:val="326"/>
              <w:jc w:val="center"/>
              <w:rPr>
                <w:color w:val="auto"/>
                <w:sz w:val="18"/>
                <w:szCs w:val="18"/>
              </w:rPr>
            </w:pPr>
            <w:r>
              <w:rPr>
                <w:color w:val="auto"/>
                <w:sz w:val="18"/>
                <w:szCs w:val="18"/>
              </w:rPr>
              <w:t>项目</w:t>
            </w:r>
          </w:p>
        </w:tc>
        <w:tc>
          <w:tcPr>
            <w:tcW w:w="1984" w:type="dxa"/>
            <w:vAlign w:val="center"/>
          </w:tcPr>
          <w:p w14:paraId="173CFA6E">
            <w:pPr>
              <w:pStyle w:val="326"/>
              <w:jc w:val="center"/>
              <w:rPr>
                <w:color w:val="auto"/>
                <w:sz w:val="18"/>
                <w:szCs w:val="18"/>
              </w:rPr>
            </w:pPr>
            <w:r>
              <w:rPr>
                <w:color w:val="auto"/>
                <w:sz w:val="18"/>
                <w:szCs w:val="18"/>
              </w:rPr>
              <w:t>规定值或允许偏差</w:t>
            </w:r>
          </w:p>
        </w:tc>
        <w:tc>
          <w:tcPr>
            <w:tcW w:w="3056" w:type="dxa"/>
          </w:tcPr>
          <w:p w14:paraId="195FF9DF">
            <w:pPr>
              <w:pStyle w:val="326"/>
              <w:jc w:val="center"/>
              <w:rPr>
                <w:color w:val="auto"/>
                <w:sz w:val="18"/>
                <w:szCs w:val="18"/>
              </w:rPr>
            </w:pPr>
            <w:r>
              <w:rPr>
                <w:color w:val="auto"/>
                <w:sz w:val="18"/>
                <w:szCs w:val="18"/>
              </w:rPr>
              <w:t>检查方法和频率</w:t>
            </w:r>
          </w:p>
        </w:tc>
      </w:tr>
      <w:tr w14:paraId="17641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704" w:type="dxa"/>
            <w:vAlign w:val="center"/>
          </w:tcPr>
          <w:p w14:paraId="640D96DA">
            <w:pPr>
              <w:pStyle w:val="326"/>
              <w:jc w:val="center"/>
              <w:rPr>
                <w:color w:val="auto"/>
                <w:sz w:val="18"/>
                <w:szCs w:val="18"/>
              </w:rPr>
            </w:pPr>
            <w:r>
              <w:rPr>
                <w:color w:val="auto"/>
                <w:sz w:val="18"/>
                <w:szCs w:val="18"/>
              </w:rPr>
              <w:t>1</w:t>
            </w:r>
          </w:p>
        </w:tc>
        <w:tc>
          <w:tcPr>
            <w:tcW w:w="2552" w:type="dxa"/>
            <w:vAlign w:val="center"/>
          </w:tcPr>
          <w:p w14:paraId="78611E4E">
            <w:pPr>
              <w:pStyle w:val="326"/>
              <w:jc w:val="center"/>
              <w:rPr>
                <w:color w:val="auto"/>
                <w:sz w:val="18"/>
                <w:szCs w:val="18"/>
              </w:rPr>
            </w:pPr>
            <w:r>
              <w:rPr>
                <w:color w:val="auto"/>
                <w:sz w:val="18"/>
                <w:szCs w:val="18"/>
              </w:rPr>
              <w:t>支撑中心偏位（mm）</w:t>
            </w:r>
          </w:p>
        </w:tc>
        <w:tc>
          <w:tcPr>
            <w:tcW w:w="1984" w:type="dxa"/>
            <w:vAlign w:val="center"/>
          </w:tcPr>
          <w:p w14:paraId="40D492DE">
            <w:pPr>
              <w:pStyle w:val="326"/>
              <w:jc w:val="center"/>
              <w:rPr>
                <w:color w:val="auto"/>
                <w:sz w:val="18"/>
                <w:szCs w:val="18"/>
              </w:rPr>
            </w:pPr>
            <w:r>
              <w:rPr>
                <w:color w:val="auto"/>
                <w:sz w:val="18"/>
                <w:szCs w:val="18"/>
              </w:rPr>
              <w:t>≤10</w:t>
            </w:r>
          </w:p>
        </w:tc>
        <w:tc>
          <w:tcPr>
            <w:tcW w:w="3056" w:type="dxa"/>
            <w:tcMar>
              <w:left w:w="28" w:type="dxa"/>
              <w:right w:w="28" w:type="dxa"/>
            </w:tcMar>
            <w:vAlign w:val="center"/>
          </w:tcPr>
          <w:p w14:paraId="3613244B">
            <w:pPr>
              <w:pStyle w:val="326"/>
              <w:spacing w:line="276" w:lineRule="auto"/>
              <w:jc w:val="center"/>
              <w:rPr>
                <w:color w:val="auto"/>
                <w:sz w:val="18"/>
                <w:szCs w:val="18"/>
              </w:rPr>
            </w:pPr>
            <w:r>
              <w:rPr>
                <w:color w:val="auto"/>
                <w:sz w:val="18"/>
                <w:szCs w:val="18"/>
              </w:rPr>
              <w:t>尺量：每跨测 6 个支承处，不足 6个时全测</w:t>
            </w:r>
          </w:p>
        </w:tc>
      </w:tr>
      <w:tr w14:paraId="3CFE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769F7623">
            <w:pPr>
              <w:pStyle w:val="326"/>
              <w:jc w:val="center"/>
              <w:rPr>
                <w:color w:val="auto"/>
                <w:sz w:val="18"/>
                <w:szCs w:val="18"/>
              </w:rPr>
            </w:pPr>
            <w:r>
              <w:rPr>
                <w:color w:val="auto"/>
                <w:sz w:val="18"/>
                <w:szCs w:val="18"/>
              </w:rPr>
              <w:t>2</w:t>
            </w:r>
          </w:p>
        </w:tc>
        <w:tc>
          <w:tcPr>
            <w:tcW w:w="2552" w:type="dxa"/>
            <w:vAlign w:val="center"/>
          </w:tcPr>
          <w:p w14:paraId="5E8422AF">
            <w:pPr>
              <w:pStyle w:val="326"/>
              <w:spacing w:line="276" w:lineRule="auto"/>
              <w:jc w:val="center"/>
              <w:rPr>
                <w:color w:val="auto"/>
                <w:sz w:val="18"/>
                <w:szCs w:val="18"/>
              </w:rPr>
            </w:pPr>
            <w:r>
              <w:rPr>
                <w:color w:val="auto"/>
                <w:sz w:val="18"/>
                <w:szCs w:val="18"/>
              </w:rPr>
              <w:t>板的顶面高程（mm）</w:t>
            </w:r>
          </w:p>
        </w:tc>
        <w:tc>
          <w:tcPr>
            <w:tcW w:w="1984" w:type="dxa"/>
            <w:vAlign w:val="center"/>
          </w:tcPr>
          <w:p w14:paraId="0E338B17">
            <w:pPr>
              <w:pStyle w:val="326"/>
              <w:jc w:val="center"/>
              <w:rPr>
                <w:color w:val="auto"/>
                <w:sz w:val="18"/>
                <w:szCs w:val="18"/>
              </w:rPr>
            </w:pPr>
            <w:r>
              <w:rPr>
                <w:color w:val="auto"/>
                <w:sz w:val="18"/>
                <w:szCs w:val="18"/>
              </w:rPr>
              <w:t>±8</w:t>
            </w:r>
          </w:p>
        </w:tc>
        <w:tc>
          <w:tcPr>
            <w:tcW w:w="3056" w:type="dxa"/>
            <w:vAlign w:val="center"/>
          </w:tcPr>
          <w:p w14:paraId="6A6B99F7">
            <w:pPr>
              <w:pStyle w:val="326"/>
              <w:spacing w:line="276" w:lineRule="auto"/>
              <w:jc w:val="center"/>
              <w:rPr>
                <w:color w:val="auto"/>
                <w:sz w:val="18"/>
                <w:szCs w:val="18"/>
              </w:rPr>
            </w:pPr>
            <w:r>
              <w:rPr>
                <w:color w:val="auto"/>
                <w:sz w:val="18"/>
                <w:szCs w:val="18"/>
              </w:rPr>
              <w:t>水准仪：每跨测 5 处，跨中、支承处应布置测点</w:t>
            </w:r>
          </w:p>
        </w:tc>
      </w:tr>
      <w:tr w14:paraId="2E311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0B133EF8">
            <w:pPr>
              <w:pStyle w:val="326"/>
              <w:jc w:val="center"/>
              <w:rPr>
                <w:color w:val="auto"/>
                <w:sz w:val="18"/>
                <w:szCs w:val="18"/>
              </w:rPr>
            </w:pPr>
            <w:r>
              <w:rPr>
                <w:color w:val="auto"/>
                <w:sz w:val="18"/>
                <w:szCs w:val="18"/>
              </w:rPr>
              <w:t>3</w:t>
            </w:r>
          </w:p>
        </w:tc>
        <w:tc>
          <w:tcPr>
            <w:tcW w:w="2552" w:type="dxa"/>
            <w:vAlign w:val="center"/>
          </w:tcPr>
          <w:p w14:paraId="7C636E5B">
            <w:pPr>
              <w:pStyle w:val="326"/>
              <w:jc w:val="center"/>
              <w:rPr>
                <w:color w:val="auto"/>
                <w:sz w:val="18"/>
                <w:szCs w:val="18"/>
              </w:rPr>
            </w:pPr>
            <w:r>
              <w:rPr>
                <w:color w:val="auto"/>
                <w:sz w:val="18"/>
                <w:szCs w:val="18"/>
              </w:rPr>
              <w:t>相邻板顶面高差（mm）</w:t>
            </w:r>
          </w:p>
        </w:tc>
        <w:tc>
          <w:tcPr>
            <w:tcW w:w="1984" w:type="dxa"/>
            <w:vAlign w:val="center"/>
          </w:tcPr>
          <w:p w14:paraId="0D8D9717">
            <w:pPr>
              <w:pStyle w:val="326"/>
              <w:jc w:val="center"/>
              <w:rPr>
                <w:color w:val="auto"/>
                <w:sz w:val="18"/>
                <w:szCs w:val="18"/>
              </w:rPr>
            </w:pPr>
            <w:r>
              <w:rPr>
                <w:color w:val="auto"/>
                <w:sz w:val="18"/>
                <w:szCs w:val="18"/>
              </w:rPr>
              <w:t>≤8</w:t>
            </w:r>
          </w:p>
        </w:tc>
        <w:tc>
          <w:tcPr>
            <w:tcW w:w="3056" w:type="dxa"/>
            <w:tcMar>
              <w:left w:w="28" w:type="dxa"/>
              <w:right w:w="28" w:type="dxa"/>
            </w:tcMar>
            <w:vAlign w:val="center"/>
          </w:tcPr>
          <w:p w14:paraId="0BEA14EA">
            <w:pPr>
              <w:pStyle w:val="326"/>
              <w:spacing w:line="276" w:lineRule="auto"/>
              <w:jc w:val="center"/>
              <w:rPr>
                <w:color w:val="auto"/>
                <w:sz w:val="18"/>
                <w:szCs w:val="18"/>
              </w:rPr>
            </w:pPr>
            <w:r>
              <w:rPr>
                <w:color w:val="auto"/>
                <w:sz w:val="18"/>
                <w:szCs w:val="18"/>
              </w:rPr>
              <w:t>尺量：测每相邻板高差最大处</w:t>
            </w:r>
          </w:p>
        </w:tc>
      </w:tr>
      <w:tr w14:paraId="7ABC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2CCE4FD0">
            <w:pPr>
              <w:pStyle w:val="326"/>
              <w:jc w:val="center"/>
              <w:rPr>
                <w:color w:val="auto"/>
                <w:sz w:val="18"/>
                <w:szCs w:val="18"/>
              </w:rPr>
            </w:pPr>
            <w:r>
              <w:rPr>
                <w:color w:val="auto"/>
                <w:sz w:val="18"/>
                <w:szCs w:val="18"/>
              </w:rPr>
              <w:t>4</w:t>
            </w:r>
          </w:p>
        </w:tc>
        <w:tc>
          <w:tcPr>
            <w:tcW w:w="2552" w:type="dxa"/>
            <w:vAlign w:val="center"/>
          </w:tcPr>
          <w:p w14:paraId="01D89E1B">
            <w:pPr>
              <w:pStyle w:val="326"/>
              <w:jc w:val="center"/>
              <w:rPr>
                <w:color w:val="auto"/>
                <w:sz w:val="18"/>
                <w:szCs w:val="18"/>
              </w:rPr>
            </w:pPr>
            <w:r>
              <w:rPr>
                <w:color w:val="auto"/>
                <w:sz w:val="18"/>
                <w:szCs w:val="18"/>
              </w:rPr>
              <w:t>轴线偏位（mm）</w:t>
            </w:r>
          </w:p>
        </w:tc>
        <w:tc>
          <w:tcPr>
            <w:tcW w:w="1984" w:type="dxa"/>
            <w:vAlign w:val="center"/>
          </w:tcPr>
          <w:p w14:paraId="6E36267B">
            <w:pPr>
              <w:pStyle w:val="326"/>
              <w:jc w:val="center"/>
              <w:rPr>
                <w:color w:val="auto"/>
                <w:sz w:val="18"/>
                <w:szCs w:val="18"/>
              </w:rPr>
            </w:pPr>
            <w:r>
              <w:rPr>
                <w:color w:val="auto"/>
                <w:sz w:val="18"/>
                <w:szCs w:val="18"/>
              </w:rPr>
              <w:t>≤5</w:t>
            </w:r>
          </w:p>
        </w:tc>
        <w:tc>
          <w:tcPr>
            <w:tcW w:w="3056" w:type="dxa"/>
            <w:tcMar>
              <w:left w:w="28" w:type="dxa"/>
              <w:right w:w="28" w:type="dxa"/>
            </w:tcMar>
            <w:vAlign w:val="center"/>
          </w:tcPr>
          <w:p w14:paraId="2E6F3120">
            <w:pPr>
              <w:pStyle w:val="326"/>
              <w:spacing w:line="276" w:lineRule="auto"/>
              <w:jc w:val="center"/>
              <w:rPr>
                <w:color w:val="auto"/>
                <w:sz w:val="18"/>
                <w:szCs w:val="18"/>
              </w:rPr>
            </w:pPr>
            <w:r>
              <w:rPr>
                <w:color w:val="auto"/>
                <w:sz w:val="18"/>
                <w:szCs w:val="18"/>
              </w:rPr>
              <w:t>全站仪：每跨测 3 处</w:t>
            </w:r>
          </w:p>
        </w:tc>
      </w:tr>
    </w:tbl>
    <w:p w14:paraId="29C25971">
      <w:pPr>
        <w:pStyle w:val="326"/>
        <w:rPr>
          <w:b/>
          <w:bCs/>
          <w:color w:val="auto"/>
        </w:rPr>
      </w:pPr>
    </w:p>
    <w:p w14:paraId="1FEDFA87">
      <w:pPr>
        <w:pStyle w:val="3"/>
        <w:rPr>
          <w:color w:val="auto"/>
        </w:rPr>
      </w:pPr>
      <w:bookmarkStart w:id="145" w:name="_Toc27565"/>
      <w:bookmarkStart w:id="146" w:name="_Toc20809"/>
      <w:bookmarkStart w:id="147" w:name="_Toc14634"/>
      <w:r>
        <w:rPr>
          <w:color w:val="auto"/>
        </w:rPr>
        <w:t>9.</w:t>
      </w:r>
      <w:r>
        <w:rPr>
          <w:rFonts w:hint="eastAsia"/>
          <w:color w:val="auto"/>
        </w:rPr>
        <w:t>6</w:t>
      </w:r>
      <w:r>
        <w:rPr>
          <w:color w:val="auto"/>
        </w:rPr>
        <w:t xml:space="preserve"> </w:t>
      </w:r>
      <w:r>
        <w:rPr>
          <w:rFonts w:hint="eastAsia"/>
          <w:color w:val="auto"/>
        </w:rPr>
        <w:t xml:space="preserve"> 安全文明施工、环保措施</w:t>
      </w:r>
      <w:bookmarkEnd w:id="145"/>
      <w:bookmarkEnd w:id="146"/>
      <w:bookmarkEnd w:id="147"/>
    </w:p>
    <w:p w14:paraId="07B0C28C">
      <w:pPr>
        <w:pStyle w:val="326"/>
        <w:rPr>
          <w:color w:val="auto"/>
          <w:szCs w:val="21"/>
        </w:rPr>
      </w:pPr>
      <w:r>
        <w:rPr>
          <w:b/>
          <w:bCs/>
          <w:color w:val="auto"/>
        </w:rPr>
        <w:t>9.</w:t>
      </w:r>
      <w:r>
        <w:rPr>
          <w:rFonts w:hint="eastAsia"/>
          <w:b/>
          <w:bCs/>
          <w:color w:val="auto"/>
        </w:rPr>
        <w:t>6</w:t>
      </w:r>
      <w:r>
        <w:rPr>
          <w:b/>
          <w:bCs/>
          <w:color w:val="auto"/>
        </w:rPr>
        <w:t>.</w:t>
      </w:r>
      <w:r>
        <w:rPr>
          <w:rFonts w:hint="eastAsia"/>
          <w:b/>
          <w:bCs/>
          <w:color w:val="auto"/>
        </w:rPr>
        <w:t>1</w:t>
      </w:r>
      <w:r>
        <w:rPr>
          <w:color w:val="auto"/>
          <w:szCs w:val="21"/>
        </w:rPr>
        <w:t xml:space="preserve">  </w:t>
      </w:r>
      <w:r>
        <w:rPr>
          <w:rFonts w:hint="eastAsia"/>
          <w:color w:val="auto"/>
          <w:szCs w:val="21"/>
        </w:rPr>
        <w:t>超高性能混凝土板施工过程中，施工单位应</w:t>
      </w:r>
      <w:r>
        <w:rPr>
          <w:rFonts w:hint="eastAsia"/>
          <w:color w:val="auto"/>
          <w:szCs w:val="21"/>
          <w:lang w:eastAsia="zh-CN"/>
        </w:rPr>
        <w:t>做好</w:t>
      </w:r>
      <w:r>
        <w:rPr>
          <w:rFonts w:hint="eastAsia"/>
          <w:color w:val="auto"/>
          <w:szCs w:val="21"/>
        </w:rPr>
        <w:t>安全文明施工和环境保护工作。</w:t>
      </w:r>
    </w:p>
    <w:p w14:paraId="23241C80">
      <w:pPr>
        <w:pStyle w:val="326"/>
        <w:rPr>
          <w:color w:val="auto"/>
          <w:szCs w:val="21"/>
        </w:rPr>
      </w:pPr>
      <w:r>
        <w:rPr>
          <w:rFonts w:hint="eastAsia"/>
          <w:b/>
          <w:bCs/>
          <w:color w:val="auto"/>
        </w:rPr>
        <w:t>9</w:t>
      </w:r>
      <w:r>
        <w:rPr>
          <w:b/>
          <w:bCs/>
          <w:color w:val="auto"/>
        </w:rPr>
        <w:t>.</w:t>
      </w:r>
      <w:r>
        <w:rPr>
          <w:rFonts w:hint="eastAsia"/>
          <w:b/>
          <w:bCs/>
          <w:color w:val="auto"/>
        </w:rPr>
        <w:t>6</w:t>
      </w:r>
      <w:r>
        <w:rPr>
          <w:b/>
          <w:bCs/>
          <w:color w:val="auto"/>
        </w:rPr>
        <w:t>.2</w:t>
      </w:r>
      <w:r>
        <w:rPr>
          <w:rFonts w:hint="eastAsia"/>
          <w:color w:val="auto"/>
          <w:szCs w:val="21"/>
        </w:rPr>
        <w:t xml:space="preserve">  超高性能混凝土板的施工工序繁杂，浇筑、养护、运输、吊装等过程中的细节问题多，需要遵循严格流程和注意事项。施工前应对施工人员进行培训，确保他们熟悉施工方案和操作流程，并具备相应的技能和经验。</w:t>
      </w:r>
    </w:p>
    <w:p w14:paraId="3B661159">
      <w:pPr>
        <w:pStyle w:val="326"/>
        <w:rPr>
          <w:color w:val="auto"/>
          <w:szCs w:val="21"/>
        </w:rPr>
      </w:pPr>
      <w:r>
        <w:rPr>
          <w:b/>
          <w:bCs/>
          <w:color w:val="auto"/>
          <w:szCs w:val="21"/>
        </w:rPr>
        <w:t>9.</w:t>
      </w:r>
      <w:r>
        <w:rPr>
          <w:rFonts w:hint="eastAsia"/>
          <w:b/>
          <w:bCs/>
          <w:color w:val="auto"/>
          <w:szCs w:val="21"/>
        </w:rPr>
        <w:t>6</w:t>
      </w:r>
      <w:r>
        <w:rPr>
          <w:b/>
          <w:bCs/>
          <w:color w:val="auto"/>
          <w:szCs w:val="21"/>
        </w:rPr>
        <w:t>.3</w:t>
      </w:r>
      <w:r>
        <w:rPr>
          <w:rFonts w:hint="eastAsia"/>
          <w:color w:val="auto"/>
          <w:szCs w:val="21"/>
        </w:rPr>
        <w:t xml:space="preserve">  超高性能混凝土材料、构件、料具等堆放时，悬挂有名称、品种、规格等标牌，水泥和其他易扬尘细颗粒材料（硅灰、粉煤灰、矿粉、石英粉等）应密闭存放或采取覆盖等措施，聚羧酸减水剂、钢纤维等分类存放。</w:t>
      </w:r>
    </w:p>
    <w:p w14:paraId="55B45BAC">
      <w:pPr>
        <w:pStyle w:val="326"/>
        <w:rPr>
          <w:color w:val="auto"/>
          <w:szCs w:val="21"/>
        </w:rPr>
      </w:pPr>
      <w:r>
        <w:rPr>
          <w:b/>
          <w:bCs/>
          <w:color w:val="auto"/>
        </w:rPr>
        <w:t>9.</w:t>
      </w:r>
      <w:r>
        <w:rPr>
          <w:rFonts w:hint="eastAsia"/>
          <w:b/>
          <w:bCs/>
          <w:color w:val="auto"/>
        </w:rPr>
        <w:t>6</w:t>
      </w:r>
      <w:r>
        <w:rPr>
          <w:b/>
          <w:bCs/>
          <w:color w:val="auto"/>
        </w:rPr>
        <w:t>.</w:t>
      </w:r>
      <w:r>
        <w:rPr>
          <w:rFonts w:hint="eastAsia"/>
          <w:b/>
          <w:bCs/>
          <w:color w:val="auto"/>
        </w:rPr>
        <w:t>4</w:t>
      </w:r>
      <w:r>
        <w:rPr>
          <w:color w:val="auto"/>
          <w:szCs w:val="21"/>
        </w:rPr>
        <w:t xml:space="preserve">  </w:t>
      </w:r>
      <w:r>
        <w:rPr>
          <w:rFonts w:hint="eastAsia"/>
          <w:color w:val="auto"/>
          <w:szCs w:val="21"/>
        </w:rPr>
        <w:t>超高性能混凝土板浇筑过程中模板压力远大于普通混凝土工程浇筑时的压力水平，应检查模板及其支撑的稳固性，发现问题及时加固。</w:t>
      </w:r>
    </w:p>
    <w:p w14:paraId="032DB53F">
      <w:pPr>
        <w:pStyle w:val="326"/>
        <w:rPr>
          <w:color w:val="auto"/>
          <w:szCs w:val="21"/>
        </w:rPr>
      </w:pPr>
      <w:r>
        <w:rPr>
          <w:b/>
          <w:bCs/>
          <w:color w:val="auto"/>
        </w:rPr>
        <w:t>9.</w:t>
      </w:r>
      <w:r>
        <w:rPr>
          <w:rFonts w:hint="eastAsia"/>
          <w:b/>
          <w:bCs/>
          <w:color w:val="auto"/>
        </w:rPr>
        <w:t>6.5</w:t>
      </w:r>
      <w:r>
        <w:rPr>
          <w:rFonts w:hint="eastAsia"/>
          <w:color w:val="auto"/>
          <w:szCs w:val="21"/>
        </w:rPr>
        <w:t xml:space="preserve">  超高性能混凝土拌制、浇筑施工过程中产生的超高性能混凝土废料、漏浆、废弃物等应及时清理外运，防止结硬后处理困难，保证施工现场的整洁、干净、环保，并按要求对施工中造成的污染（粉尘、噪声、污水、废弃物等）进行认真处置。</w:t>
      </w:r>
    </w:p>
    <w:p w14:paraId="0B8EEA9C">
      <w:pPr>
        <w:pStyle w:val="326"/>
        <w:rPr>
          <w:color w:val="auto"/>
          <w:szCs w:val="21"/>
        </w:rPr>
      </w:pPr>
      <w:r>
        <w:rPr>
          <w:b/>
          <w:bCs/>
          <w:color w:val="auto"/>
          <w:szCs w:val="21"/>
        </w:rPr>
        <w:t>9.</w:t>
      </w:r>
      <w:r>
        <w:rPr>
          <w:rFonts w:hint="eastAsia"/>
          <w:b/>
          <w:bCs/>
          <w:color w:val="auto"/>
          <w:szCs w:val="21"/>
        </w:rPr>
        <w:t>6</w:t>
      </w:r>
      <w:r>
        <w:rPr>
          <w:b/>
          <w:bCs/>
          <w:color w:val="auto"/>
          <w:szCs w:val="21"/>
        </w:rPr>
        <w:t>.6</w:t>
      </w:r>
      <w:r>
        <w:rPr>
          <w:rFonts w:hint="eastAsia"/>
          <w:color w:val="auto"/>
          <w:szCs w:val="21"/>
        </w:rPr>
        <w:t xml:space="preserve">  超高性能混凝土板现场吊装及普通混凝土浇筑阶段，现场应设置安全警示标志牌、现场围挡，若下穿通道有通行要求，宜设置防护棚进行防护。</w:t>
      </w:r>
    </w:p>
    <w:p w14:paraId="04CB2969">
      <w:pPr>
        <w:ind w:left="210" w:leftChars="100"/>
        <w:rPr>
          <w:rFonts w:hint="eastAsia" w:ascii="仿宋_GB2312" w:hAnsi="黑体" w:eastAsia="仿宋_GB2312"/>
          <w:color w:val="auto"/>
        </w:rPr>
      </w:pPr>
    </w:p>
    <w:p w14:paraId="0100573D">
      <w:pPr>
        <w:pStyle w:val="326"/>
        <w:rPr>
          <w:rFonts w:hint="eastAsia" w:ascii="黑体" w:hAnsi="黑体" w:eastAsia="黑体"/>
          <w:color w:val="auto"/>
        </w:rPr>
      </w:pPr>
      <w:r>
        <w:rPr>
          <w:rFonts w:ascii="黑体" w:hAnsi="黑体" w:eastAsia="黑体"/>
          <w:color w:val="auto"/>
        </w:rPr>
        <w:br w:type="page"/>
      </w:r>
    </w:p>
    <w:p w14:paraId="051F68ED">
      <w:pPr>
        <w:pStyle w:val="2"/>
        <w:spacing w:before="312" w:after="312"/>
        <w:rPr>
          <w:rFonts w:ascii="Times New Roman" w:hAnsi="Times New Roman"/>
          <w:color w:val="auto"/>
        </w:rPr>
      </w:pPr>
      <w:bookmarkStart w:id="148" w:name="_Toc27536"/>
      <w:bookmarkStart w:id="149" w:name="_Toc17901"/>
      <w:bookmarkStart w:id="150" w:name="_Toc23673"/>
      <w:r>
        <w:rPr>
          <w:rFonts w:hint="eastAsia" w:ascii="Times New Roman" w:hAnsi="Times New Roman"/>
          <w:color w:val="auto"/>
        </w:rPr>
        <w:t>1</w:t>
      </w:r>
      <w:r>
        <w:rPr>
          <w:rFonts w:ascii="Times New Roman" w:hAnsi="Times New Roman"/>
          <w:color w:val="auto"/>
        </w:rPr>
        <w:t xml:space="preserve">0 </w:t>
      </w:r>
      <w:r>
        <w:rPr>
          <w:rFonts w:hint="eastAsia" w:ascii="Times New Roman" w:hAnsi="Times New Roman"/>
          <w:color w:val="auto"/>
        </w:rPr>
        <w:t xml:space="preserve"> 检验与评定</w:t>
      </w:r>
      <w:bookmarkEnd w:id="148"/>
      <w:bookmarkEnd w:id="149"/>
      <w:bookmarkEnd w:id="150"/>
    </w:p>
    <w:p w14:paraId="21090DA7">
      <w:pPr>
        <w:pStyle w:val="3"/>
        <w:rPr>
          <w:color w:val="auto"/>
        </w:rPr>
      </w:pPr>
      <w:bookmarkStart w:id="151" w:name="_Toc2782"/>
      <w:bookmarkStart w:id="152" w:name="_Toc23358"/>
      <w:bookmarkStart w:id="153" w:name="_Toc27954"/>
      <w:r>
        <w:rPr>
          <w:color w:val="auto"/>
        </w:rPr>
        <w:t>10</w:t>
      </w:r>
      <w:r>
        <w:rPr>
          <w:rFonts w:hint="eastAsia"/>
          <w:color w:val="auto"/>
        </w:rPr>
        <w:t>.1  一般规定</w:t>
      </w:r>
      <w:bookmarkEnd w:id="151"/>
      <w:bookmarkEnd w:id="152"/>
      <w:bookmarkEnd w:id="153"/>
    </w:p>
    <w:p w14:paraId="735D9345">
      <w:pPr>
        <w:pStyle w:val="326"/>
        <w:rPr>
          <w:color w:val="auto"/>
          <w:szCs w:val="21"/>
        </w:rPr>
      </w:pPr>
      <w:r>
        <w:rPr>
          <w:b/>
          <w:bCs/>
          <w:color w:val="auto"/>
          <w:szCs w:val="21"/>
        </w:rPr>
        <w:t>10.1.1</w:t>
      </w:r>
      <w:r>
        <w:rPr>
          <w:color w:val="auto"/>
          <w:szCs w:val="21"/>
        </w:rPr>
        <w:t xml:space="preserve">  </w:t>
      </w:r>
      <w:bookmarkStart w:id="154" w:name="_Hlk143701328"/>
      <w:r>
        <w:rPr>
          <w:color w:val="auto"/>
          <w:szCs w:val="21"/>
        </w:rPr>
        <w:t>超高性能混凝土</w:t>
      </w:r>
      <w:r>
        <w:rPr>
          <w:rFonts w:hint="eastAsia"/>
          <w:color w:val="auto"/>
          <w:szCs w:val="21"/>
        </w:rPr>
        <w:t>-普通混凝土组合式盖板结构</w:t>
      </w:r>
      <w:bookmarkEnd w:id="154"/>
      <w:r>
        <w:rPr>
          <w:rFonts w:hint="eastAsia"/>
          <w:color w:val="auto"/>
          <w:szCs w:val="21"/>
        </w:rPr>
        <w:t>应进行</w:t>
      </w:r>
      <w:bookmarkStart w:id="155" w:name="_Hlk143701506"/>
      <w:r>
        <w:rPr>
          <w:rFonts w:hint="eastAsia"/>
          <w:color w:val="auto"/>
          <w:szCs w:val="21"/>
        </w:rPr>
        <w:t>质量检验与评定</w:t>
      </w:r>
      <w:bookmarkEnd w:id="155"/>
      <w:r>
        <w:rPr>
          <w:rFonts w:hint="eastAsia"/>
          <w:color w:val="auto"/>
          <w:szCs w:val="21"/>
        </w:rPr>
        <w:t>，并</w:t>
      </w:r>
      <w:r>
        <w:rPr>
          <w:color w:val="auto"/>
          <w:szCs w:val="21"/>
        </w:rPr>
        <w:t>应符合</w:t>
      </w:r>
      <w:bookmarkStart w:id="156" w:name="_Hlk143793356"/>
      <w:r>
        <w:rPr>
          <w:color w:val="auto"/>
          <w:szCs w:val="21"/>
        </w:rPr>
        <w:t>现</w:t>
      </w:r>
      <w:r>
        <w:rPr>
          <w:rFonts w:hint="eastAsia"/>
          <w:color w:val="auto"/>
          <w:szCs w:val="21"/>
        </w:rPr>
        <w:t>行行业标准《城市桥梁工程施工与质量验收规范》CJJ2-2023和《公路工程质量检验评定标准</w:t>
      </w:r>
      <w:r>
        <w:rPr>
          <w:color w:val="auto"/>
          <w:szCs w:val="21"/>
        </w:rPr>
        <w:t xml:space="preserve"> 第一册 土建工程》</w:t>
      </w:r>
      <w:r>
        <w:rPr>
          <w:rFonts w:hint="eastAsia"/>
          <w:color w:val="auto"/>
          <w:szCs w:val="21"/>
        </w:rPr>
        <w:t>（</w:t>
      </w:r>
      <w:r>
        <w:rPr>
          <w:color w:val="auto"/>
          <w:szCs w:val="21"/>
        </w:rPr>
        <w:t>JTG F80/1</w:t>
      </w:r>
      <w:r>
        <w:rPr>
          <w:rFonts w:hint="eastAsia"/>
          <w:color w:val="auto"/>
          <w:szCs w:val="21"/>
        </w:rPr>
        <w:t>）</w:t>
      </w:r>
      <w:bookmarkEnd w:id="156"/>
      <w:r>
        <w:rPr>
          <w:color w:val="auto"/>
          <w:szCs w:val="21"/>
        </w:rPr>
        <w:t>的</w:t>
      </w:r>
      <w:r>
        <w:rPr>
          <w:rFonts w:hint="eastAsia"/>
          <w:color w:val="auto"/>
          <w:szCs w:val="21"/>
        </w:rPr>
        <w:t>有关</w:t>
      </w:r>
      <w:r>
        <w:rPr>
          <w:color w:val="auto"/>
          <w:szCs w:val="21"/>
        </w:rPr>
        <w:t>规定</w:t>
      </w:r>
      <w:r>
        <w:rPr>
          <w:rFonts w:hint="eastAsia"/>
          <w:color w:val="auto"/>
          <w:szCs w:val="21"/>
        </w:rPr>
        <w:t>。</w:t>
      </w:r>
    </w:p>
    <w:p w14:paraId="67E7C2A6">
      <w:pPr>
        <w:pStyle w:val="326"/>
        <w:rPr>
          <w:color w:val="auto"/>
          <w:szCs w:val="21"/>
        </w:rPr>
      </w:pPr>
      <w:r>
        <w:rPr>
          <w:b/>
          <w:bCs/>
          <w:color w:val="auto"/>
          <w:szCs w:val="21"/>
        </w:rPr>
        <w:t>10.1.2</w:t>
      </w:r>
      <w:r>
        <w:rPr>
          <w:color w:val="auto"/>
          <w:szCs w:val="21"/>
        </w:rPr>
        <w:t xml:space="preserve">  </w:t>
      </w:r>
      <w:r>
        <w:rPr>
          <w:rFonts w:hint="eastAsia"/>
          <w:color w:val="auto"/>
          <w:szCs w:val="21"/>
        </w:rPr>
        <w:t>超高性能混凝土</w:t>
      </w:r>
      <w:r>
        <w:rPr>
          <w:color w:val="auto"/>
          <w:szCs w:val="21"/>
        </w:rPr>
        <w:t>-普通混凝土组合式盖板结构的</w:t>
      </w:r>
      <w:r>
        <w:rPr>
          <w:rFonts w:hint="eastAsia"/>
          <w:color w:val="auto"/>
          <w:szCs w:val="21"/>
        </w:rPr>
        <w:t>质量检验与评定内容包括</w:t>
      </w:r>
      <w:r>
        <w:rPr>
          <w:color w:val="auto"/>
          <w:szCs w:val="21"/>
        </w:rPr>
        <w:t>分项工程基本要求检查、实测项目检</w:t>
      </w:r>
      <w:r>
        <w:rPr>
          <w:rFonts w:hint="eastAsia"/>
          <w:color w:val="auto"/>
          <w:szCs w:val="21"/>
        </w:rPr>
        <w:t>验、检查项目合格判定、外观质量检验和质量保证资料要求</w:t>
      </w:r>
      <w:r>
        <w:rPr>
          <w:rFonts w:hint="eastAsia"/>
          <w:color w:val="auto"/>
          <w:szCs w:val="21"/>
          <w:lang w:eastAsia="zh-CN"/>
        </w:rPr>
        <w:t>等</w:t>
      </w:r>
      <w:r>
        <w:rPr>
          <w:color w:val="auto"/>
          <w:szCs w:val="21"/>
        </w:rPr>
        <w:t>，检验</w:t>
      </w:r>
      <w:r>
        <w:rPr>
          <w:rFonts w:hint="eastAsia"/>
          <w:color w:val="auto"/>
          <w:szCs w:val="21"/>
        </w:rPr>
        <w:t>项目评定为不合格的，应进行整修或返工处理直至合格。</w:t>
      </w:r>
    </w:p>
    <w:p w14:paraId="41235736">
      <w:pPr>
        <w:pStyle w:val="326"/>
        <w:rPr>
          <w:color w:val="auto"/>
          <w:szCs w:val="21"/>
        </w:rPr>
      </w:pPr>
      <w:r>
        <w:rPr>
          <w:b/>
          <w:bCs/>
          <w:color w:val="auto"/>
          <w:szCs w:val="21"/>
        </w:rPr>
        <w:t>10.1.3</w:t>
      </w:r>
      <w:r>
        <w:rPr>
          <w:color w:val="auto"/>
          <w:szCs w:val="21"/>
        </w:rPr>
        <w:t xml:space="preserve">  工程质量等级分为合格与不合格，评定为不合格的分项工程，应返工、加固、补强</w:t>
      </w:r>
      <w:r>
        <w:rPr>
          <w:rFonts w:hint="eastAsia"/>
          <w:color w:val="auto"/>
          <w:szCs w:val="21"/>
        </w:rPr>
        <w:t>或调测，满足设计要求后，方可重新进行检验评定。</w:t>
      </w:r>
    </w:p>
    <w:p w14:paraId="03D58498">
      <w:pPr>
        <w:pStyle w:val="3"/>
        <w:rPr>
          <w:color w:val="auto"/>
        </w:rPr>
      </w:pPr>
      <w:bookmarkStart w:id="157" w:name="_Toc23971"/>
      <w:bookmarkStart w:id="158" w:name="_Toc5194"/>
      <w:bookmarkStart w:id="159" w:name="_Toc25828"/>
      <w:r>
        <w:rPr>
          <w:color w:val="auto"/>
        </w:rPr>
        <w:t>10</w:t>
      </w:r>
      <w:r>
        <w:rPr>
          <w:rFonts w:hint="eastAsia"/>
          <w:color w:val="auto"/>
        </w:rPr>
        <w:t>.2  模板</w:t>
      </w:r>
      <w:bookmarkEnd w:id="157"/>
      <w:bookmarkEnd w:id="158"/>
      <w:bookmarkEnd w:id="159"/>
    </w:p>
    <w:p w14:paraId="314C63C2">
      <w:pPr>
        <w:pStyle w:val="326"/>
        <w:rPr>
          <w:color w:val="auto"/>
          <w:szCs w:val="21"/>
        </w:rPr>
      </w:pPr>
      <w:bookmarkStart w:id="160" w:name="_Hlk143724275"/>
      <w:r>
        <w:rPr>
          <w:b/>
          <w:bCs/>
          <w:color w:val="auto"/>
          <w:szCs w:val="21"/>
        </w:rPr>
        <w:t>10.2.1</w:t>
      </w:r>
      <w:r>
        <w:rPr>
          <w:color w:val="auto"/>
          <w:szCs w:val="21"/>
        </w:rPr>
        <w:t xml:space="preserve">  模板的制作、安装应符合下列基本要求：</w:t>
      </w:r>
    </w:p>
    <w:p w14:paraId="5A9BC737">
      <w:pPr>
        <w:spacing w:line="360" w:lineRule="auto"/>
        <w:ind w:firstLine="420"/>
        <w:rPr>
          <w:rFonts w:ascii="Times New Roman" w:hAnsi="Times New Roman" w:eastAsia="宋体" w:cs="Times New Roman"/>
          <w:color w:val="auto"/>
          <w:szCs w:val="21"/>
        </w:rPr>
      </w:pPr>
      <w:r>
        <w:rPr>
          <w:rFonts w:ascii="Times New Roman" w:hAnsi="Times New Roman" w:eastAsia="宋体" w:cs="Times New Roman"/>
          <w:color w:val="auto"/>
          <w:szCs w:val="21"/>
        </w:rPr>
        <w:t>1 应符合施工设计图、施工方案的规定。</w:t>
      </w:r>
    </w:p>
    <w:bookmarkEnd w:id="160"/>
    <w:p w14:paraId="25367C99">
      <w:pPr>
        <w:spacing w:line="360" w:lineRule="auto"/>
        <w:ind w:firstLine="420"/>
        <w:rPr>
          <w:rFonts w:ascii="Times New Roman" w:hAnsi="Times New Roman" w:eastAsia="宋体" w:cs="Times New Roman"/>
          <w:color w:val="auto"/>
          <w:szCs w:val="21"/>
        </w:rPr>
      </w:pPr>
      <w:r>
        <w:rPr>
          <w:rFonts w:ascii="Times New Roman" w:hAnsi="Times New Roman" w:eastAsia="宋体" w:cs="Times New Roman"/>
          <w:color w:val="auto"/>
          <w:szCs w:val="21"/>
        </w:rPr>
        <w:t>2 模板应稳固牢靠，接缝严密，不得漏浆。</w:t>
      </w:r>
    </w:p>
    <w:p w14:paraId="3656B779">
      <w:pPr>
        <w:spacing w:line="360" w:lineRule="auto"/>
        <w:ind w:firstLine="420"/>
        <w:rPr>
          <w:rFonts w:ascii="Times New Roman" w:hAnsi="Times New Roman" w:eastAsia="宋体" w:cs="Times New Roman"/>
          <w:color w:val="auto"/>
          <w:szCs w:val="21"/>
        </w:rPr>
      </w:pPr>
      <w:r>
        <w:rPr>
          <w:rFonts w:ascii="Times New Roman" w:hAnsi="Times New Roman" w:eastAsia="宋体" w:cs="Times New Roman"/>
          <w:color w:val="auto"/>
          <w:szCs w:val="21"/>
        </w:rPr>
        <w:t>3 模板与超高性能混凝土接触面必须清理干净并涂刷隔离剂。</w:t>
      </w:r>
    </w:p>
    <w:p w14:paraId="37C97825">
      <w:pPr>
        <w:pStyle w:val="326"/>
        <w:rPr>
          <w:color w:val="auto"/>
          <w:szCs w:val="21"/>
        </w:rPr>
      </w:pPr>
      <w:r>
        <w:rPr>
          <w:b/>
          <w:bCs/>
          <w:color w:val="auto"/>
          <w:szCs w:val="21"/>
        </w:rPr>
        <w:t>10.2.2</w:t>
      </w:r>
      <w:r>
        <w:rPr>
          <w:color w:val="auto"/>
          <w:szCs w:val="21"/>
        </w:rPr>
        <w:t xml:space="preserve">  模板安装的实测项目应符合本规程</w:t>
      </w:r>
      <w:r>
        <w:rPr>
          <w:rFonts w:hint="eastAsia"/>
          <w:color w:val="auto"/>
          <w:szCs w:val="21"/>
        </w:rPr>
        <w:t>表</w:t>
      </w:r>
      <w:r>
        <w:rPr>
          <w:color w:val="auto"/>
          <w:szCs w:val="21"/>
        </w:rPr>
        <w:t>10.3.2 的规定。</w:t>
      </w:r>
    </w:p>
    <w:p w14:paraId="4712FF74">
      <w:pPr>
        <w:pStyle w:val="326"/>
        <w:rPr>
          <w:color w:val="auto"/>
          <w:szCs w:val="21"/>
        </w:rPr>
      </w:pPr>
      <w:r>
        <w:rPr>
          <w:b/>
          <w:bCs/>
          <w:color w:val="auto"/>
          <w:szCs w:val="21"/>
        </w:rPr>
        <w:t>10.2.3</w:t>
      </w:r>
      <w:r>
        <w:rPr>
          <w:color w:val="auto"/>
          <w:szCs w:val="21"/>
        </w:rPr>
        <w:t xml:space="preserve">  模板的制作、安装的外观质量应符合下列规定：</w:t>
      </w:r>
    </w:p>
    <w:p w14:paraId="3EDEE114">
      <w:pPr>
        <w:spacing w:line="360" w:lineRule="auto"/>
        <w:ind w:firstLine="420"/>
        <w:rPr>
          <w:rFonts w:ascii="Times New Roman" w:hAnsi="Times New Roman" w:eastAsia="宋体" w:cs="Times New Roman"/>
          <w:color w:val="auto"/>
          <w:szCs w:val="21"/>
        </w:rPr>
      </w:pPr>
      <w:r>
        <w:rPr>
          <w:rFonts w:ascii="Times New Roman" w:hAnsi="Times New Roman" w:eastAsia="宋体" w:cs="Times New Roman"/>
          <w:color w:val="auto"/>
          <w:szCs w:val="21"/>
        </w:rPr>
        <w:t>1 超高性能混凝土浇筑前，模板内无积水和杂物。</w:t>
      </w:r>
    </w:p>
    <w:p w14:paraId="076D913D">
      <w:pPr>
        <w:spacing w:line="360" w:lineRule="auto"/>
        <w:ind w:firstLine="420"/>
        <w:rPr>
          <w:rFonts w:ascii="Times New Roman" w:hAnsi="Times New Roman" w:eastAsia="宋体" w:cs="Times New Roman"/>
          <w:color w:val="auto"/>
          <w:szCs w:val="21"/>
        </w:rPr>
      </w:pPr>
      <w:r>
        <w:rPr>
          <w:rFonts w:ascii="Times New Roman" w:hAnsi="Times New Roman" w:eastAsia="宋体" w:cs="Times New Roman"/>
          <w:color w:val="auto"/>
          <w:szCs w:val="21"/>
        </w:rPr>
        <w:t>2 模板与超高性能混凝土的接触面应平整、清洁。</w:t>
      </w:r>
    </w:p>
    <w:p w14:paraId="116983E4">
      <w:pPr>
        <w:spacing w:line="360" w:lineRule="auto"/>
        <w:ind w:firstLine="420"/>
        <w:rPr>
          <w:rFonts w:ascii="Times New Roman" w:hAnsi="Times New Roman" w:eastAsia="宋体" w:cs="Times New Roman"/>
          <w:color w:val="auto"/>
          <w:szCs w:val="21"/>
        </w:rPr>
      </w:pPr>
      <w:r>
        <w:rPr>
          <w:rFonts w:ascii="Times New Roman" w:hAnsi="Times New Roman" w:eastAsia="宋体" w:cs="Times New Roman"/>
          <w:color w:val="auto"/>
          <w:szCs w:val="21"/>
        </w:rPr>
        <w:t>3 固定在模板上的预埋件、预留孔和预留洞不得遗漏，且应安装牢固。</w:t>
      </w:r>
    </w:p>
    <w:p w14:paraId="17F5742F">
      <w:pPr>
        <w:pStyle w:val="3"/>
        <w:rPr>
          <w:color w:val="auto"/>
        </w:rPr>
      </w:pPr>
      <w:bookmarkStart w:id="161" w:name="_Toc23732"/>
      <w:bookmarkStart w:id="162" w:name="_Toc31561"/>
      <w:bookmarkStart w:id="163" w:name="_Toc19325"/>
      <w:r>
        <w:rPr>
          <w:color w:val="auto"/>
        </w:rPr>
        <w:t xml:space="preserve">10.3 </w:t>
      </w:r>
      <w:r>
        <w:rPr>
          <w:rFonts w:hint="eastAsia"/>
          <w:color w:val="auto"/>
        </w:rPr>
        <w:t xml:space="preserve"> 钢筋工程</w:t>
      </w:r>
      <w:bookmarkEnd w:id="161"/>
      <w:bookmarkEnd w:id="162"/>
      <w:bookmarkEnd w:id="163"/>
    </w:p>
    <w:p w14:paraId="3E76E4F3">
      <w:pPr>
        <w:pStyle w:val="326"/>
        <w:rPr>
          <w:color w:val="auto"/>
          <w:szCs w:val="21"/>
        </w:rPr>
      </w:pPr>
      <w:bookmarkStart w:id="164" w:name="_Hlk143877445"/>
      <w:r>
        <w:rPr>
          <w:b/>
          <w:bCs/>
          <w:color w:val="auto"/>
          <w:szCs w:val="21"/>
        </w:rPr>
        <w:t>10.3.1</w:t>
      </w:r>
      <w:r>
        <w:rPr>
          <w:color w:val="auto"/>
          <w:szCs w:val="21"/>
        </w:rPr>
        <w:t xml:space="preserve">  </w:t>
      </w:r>
      <w:r>
        <w:rPr>
          <w:rFonts w:hint="eastAsia"/>
          <w:color w:val="auto"/>
          <w:szCs w:val="21"/>
        </w:rPr>
        <w:t>钢筋加工及安装的基本要求和外观质量</w:t>
      </w:r>
      <w:r>
        <w:rPr>
          <w:color w:val="auto"/>
          <w:szCs w:val="21"/>
        </w:rPr>
        <w:t>应符合</w:t>
      </w:r>
      <w:r>
        <w:rPr>
          <w:rFonts w:hint="eastAsia"/>
          <w:color w:val="auto"/>
          <w:szCs w:val="21"/>
        </w:rPr>
        <w:t>现行行业标准《公路工程质量检验评定标准</w:t>
      </w:r>
      <w:r>
        <w:rPr>
          <w:color w:val="auto"/>
          <w:szCs w:val="21"/>
        </w:rPr>
        <w:t xml:space="preserve"> 第一册 土建工程》</w:t>
      </w:r>
      <w:r>
        <w:rPr>
          <w:rFonts w:hint="eastAsia"/>
          <w:color w:val="auto"/>
          <w:szCs w:val="21"/>
        </w:rPr>
        <w:t>（</w:t>
      </w:r>
      <w:r>
        <w:rPr>
          <w:color w:val="auto"/>
          <w:szCs w:val="21"/>
        </w:rPr>
        <w:t>JTG F80/1</w:t>
      </w:r>
      <w:r>
        <w:rPr>
          <w:rFonts w:hint="eastAsia"/>
          <w:color w:val="auto"/>
          <w:szCs w:val="21"/>
        </w:rPr>
        <w:t>）</w:t>
      </w:r>
      <w:r>
        <w:rPr>
          <w:color w:val="auto"/>
          <w:szCs w:val="21"/>
        </w:rPr>
        <w:t>的</w:t>
      </w:r>
      <w:r>
        <w:rPr>
          <w:rFonts w:hint="eastAsia"/>
          <w:color w:val="auto"/>
          <w:szCs w:val="21"/>
        </w:rPr>
        <w:t>有关</w:t>
      </w:r>
      <w:r>
        <w:rPr>
          <w:color w:val="auto"/>
          <w:szCs w:val="21"/>
        </w:rPr>
        <w:t>规定</w:t>
      </w:r>
      <w:r>
        <w:rPr>
          <w:rFonts w:hint="eastAsia"/>
          <w:color w:val="auto"/>
          <w:szCs w:val="21"/>
        </w:rPr>
        <w:t>。</w:t>
      </w:r>
    </w:p>
    <w:bookmarkEnd w:id="164"/>
    <w:p w14:paraId="723A08C1">
      <w:pPr>
        <w:pStyle w:val="326"/>
        <w:rPr>
          <w:color w:val="auto"/>
          <w:szCs w:val="21"/>
        </w:rPr>
      </w:pPr>
      <w:r>
        <w:rPr>
          <w:b/>
          <w:bCs/>
          <w:color w:val="auto"/>
          <w:szCs w:val="21"/>
        </w:rPr>
        <w:t>10.3.2</w:t>
      </w:r>
      <w:r>
        <w:rPr>
          <w:color w:val="auto"/>
          <w:szCs w:val="21"/>
        </w:rPr>
        <w:t xml:space="preserve">  </w:t>
      </w:r>
      <w:r>
        <w:rPr>
          <w:rFonts w:hint="eastAsia"/>
          <w:color w:val="auto"/>
          <w:szCs w:val="21"/>
        </w:rPr>
        <w:t>钢筋加工和安装的实测项目应符合表1</w:t>
      </w:r>
      <w:r>
        <w:rPr>
          <w:color w:val="auto"/>
          <w:szCs w:val="21"/>
        </w:rPr>
        <w:t>1.3.1</w:t>
      </w:r>
      <w:r>
        <w:rPr>
          <w:rFonts w:hint="eastAsia"/>
          <w:color w:val="auto"/>
          <w:szCs w:val="21"/>
        </w:rPr>
        <w:t>-</w:t>
      </w:r>
      <w:r>
        <w:rPr>
          <w:color w:val="auto"/>
          <w:szCs w:val="21"/>
        </w:rPr>
        <w:t>1</w:t>
      </w:r>
      <w:r>
        <w:rPr>
          <w:rFonts w:hint="eastAsia"/>
          <w:color w:val="auto"/>
          <w:szCs w:val="21"/>
        </w:rPr>
        <w:t>和表1</w:t>
      </w:r>
      <w:r>
        <w:rPr>
          <w:color w:val="auto"/>
          <w:szCs w:val="21"/>
        </w:rPr>
        <w:t>1.3.1</w:t>
      </w:r>
      <w:r>
        <w:rPr>
          <w:rFonts w:hint="eastAsia"/>
          <w:color w:val="auto"/>
          <w:szCs w:val="21"/>
        </w:rPr>
        <w:t>-</w:t>
      </w:r>
      <w:r>
        <w:rPr>
          <w:color w:val="auto"/>
          <w:szCs w:val="21"/>
        </w:rPr>
        <w:t>2</w:t>
      </w:r>
      <w:r>
        <w:rPr>
          <w:rFonts w:hint="eastAsia"/>
          <w:color w:val="auto"/>
          <w:szCs w:val="21"/>
        </w:rPr>
        <w:t>的规定。</w:t>
      </w:r>
    </w:p>
    <w:p w14:paraId="376EC315">
      <w:pPr>
        <w:pStyle w:val="326"/>
        <w:jc w:val="center"/>
        <w:rPr>
          <w:rFonts w:eastAsia="黑体"/>
          <w:b/>
          <w:bCs/>
          <w:color w:val="auto"/>
          <w:sz w:val="18"/>
          <w:szCs w:val="18"/>
        </w:rPr>
      </w:pPr>
    </w:p>
    <w:p w14:paraId="2F3ED6EB">
      <w:pPr>
        <w:pStyle w:val="326"/>
        <w:jc w:val="center"/>
        <w:rPr>
          <w:rFonts w:eastAsia="黑体"/>
          <w:b/>
          <w:bCs/>
          <w:color w:val="auto"/>
          <w:sz w:val="18"/>
          <w:szCs w:val="18"/>
        </w:rPr>
      </w:pPr>
      <w:r>
        <w:rPr>
          <w:rFonts w:eastAsia="黑体"/>
          <w:b/>
          <w:bCs/>
          <w:color w:val="auto"/>
          <w:sz w:val="18"/>
          <w:szCs w:val="18"/>
        </w:rPr>
        <w:t>表10.3.2-1 钢筋加工实测项目</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3670"/>
        <w:gridCol w:w="2080"/>
        <w:gridCol w:w="1797"/>
      </w:tblGrid>
      <w:tr w14:paraId="2FFE3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18C7CA7E">
            <w:pPr>
              <w:pStyle w:val="326"/>
              <w:jc w:val="center"/>
              <w:rPr>
                <w:color w:val="auto"/>
                <w:sz w:val="18"/>
                <w:szCs w:val="18"/>
              </w:rPr>
            </w:pPr>
            <w:r>
              <w:rPr>
                <w:rFonts w:hint="eastAsia"/>
                <w:color w:val="auto"/>
                <w:sz w:val="18"/>
                <w:szCs w:val="18"/>
              </w:rPr>
              <w:t>项次</w:t>
            </w:r>
          </w:p>
        </w:tc>
        <w:tc>
          <w:tcPr>
            <w:tcW w:w="3670" w:type="dxa"/>
            <w:tcBorders>
              <w:top w:val="single" w:color="000000" w:sz="4" w:space="0"/>
              <w:left w:val="single" w:color="000000" w:sz="4" w:space="0"/>
              <w:bottom w:val="single" w:color="000000" w:sz="4" w:space="0"/>
              <w:right w:val="single" w:color="000000" w:sz="4" w:space="0"/>
            </w:tcBorders>
            <w:vAlign w:val="center"/>
          </w:tcPr>
          <w:p w14:paraId="43B00470">
            <w:pPr>
              <w:pStyle w:val="326"/>
              <w:jc w:val="center"/>
              <w:rPr>
                <w:color w:val="auto"/>
                <w:sz w:val="18"/>
                <w:szCs w:val="18"/>
              </w:rPr>
            </w:pPr>
            <w:r>
              <w:rPr>
                <w:rFonts w:hint="eastAsia"/>
                <w:color w:val="auto"/>
                <w:sz w:val="18"/>
                <w:szCs w:val="18"/>
              </w:rPr>
              <w:t>项 目</w:t>
            </w:r>
          </w:p>
        </w:tc>
        <w:tc>
          <w:tcPr>
            <w:tcW w:w="2080" w:type="dxa"/>
            <w:tcBorders>
              <w:top w:val="single" w:color="000000" w:sz="4" w:space="0"/>
              <w:left w:val="single" w:color="000000" w:sz="4" w:space="0"/>
              <w:bottom w:val="single" w:color="000000" w:sz="4" w:space="0"/>
              <w:right w:val="single" w:color="000000" w:sz="4" w:space="0"/>
            </w:tcBorders>
            <w:vAlign w:val="center"/>
          </w:tcPr>
          <w:p w14:paraId="52A70D29">
            <w:pPr>
              <w:pStyle w:val="326"/>
              <w:jc w:val="center"/>
              <w:rPr>
                <w:color w:val="auto"/>
                <w:sz w:val="18"/>
                <w:szCs w:val="18"/>
              </w:rPr>
            </w:pPr>
            <w:r>
              <w:rPr>
                <w:rFonts w:hint="eastAsia"/>
                <w:color w:val="auto"/>
                <w:sz w:val="18"/>
                <w:szCs w:val="18"/>
              </w:rPr>
              <w:t>规定值或允许偏差</w:t>
            </w:r>
          </w:p>
        </w:tc>
        <w:tc>
          <w:tcPr>
            <w:tcW w:w="1797" w:type="dxa"/>
            <w:tcBorders>
              <w:top w:val="single" w:color="000000" w:sz="4" w:space="0"/>
              <w:left w:val="single" w:color="000000" w:sz="4" w:space="0"/>
              <w:bottom w:val="single" w:color="000000" w:sz="4" w:space="0"/>
              <w:right w:val="single" w:color="000000" w:sz="4" w:space="0"/>
            </w:tcBorders>
            <w:vAlign w:val="center"/>
          </w:tcPr>
          <w:p w14:paraId="6DB0BAE1">
            <w:pPr>
              <w:pStyle w:val="326"/>
              <w:spacing w:line="240" w:lineRule="auto"/>
              <w:rPr>
                <w:color w:val="auto"/>
                <w:sz w:val="18"/>
                <w:szCs w:val="18"/>
              </w:rPr>
            </w:pPr>
            <w:r>
              <w:rPr>
                <w:color w:val="auto"/>
                <w:sz w:val="18"/>
                <w:szCs w:val="18"/>
              </w:rPr>
              <w:t>检验方法和频率</w:t>
            </w:r>
          </w:p>
        </w:tc>
      </w:tr>
      <w:tr w14:paraId="6D71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460BFAE4">
            <w:pPr>
              <w:pStyle w:val="326"/>
              <w:jc w:val="center"/>
              <w:rPr>
                <w:color w:val="auto"/>
                <w:sz w:val="18"/>
                <w:szCs w:val="18"/>
              </w:rPr>
            </w:pPr>
            <w:r>
              <w:rPr>
                <w:rFonts w:hint="eastAsia"/>
                <w:color w:val="auto"/>
                <w:sz w:val="18"/>
                <w:szCs w:val="18"/>
              </w:rPr>
              <w:t>1</w:t>
            </w:r>
          </w:p>
        </w:tc>
        <w:tc>
          <w:tcPr>
            <w:tcW w:w="3670" w:type="dxa"/>
            <w:tcBorders>
              <w:top w:val="single" w:color="000000" w:sz="4" w:space="0"/>
              <w:left w:val="single" w:color="000000" w:sz="4" w:space="0"/>
              <w:bottom w:val="single" w:color="000000" w:sz="4" w:space="0"/>
              <w:right w:val="single" w:color="000000" w:sz="4" w:space="0"/>
            </w:tcBorders>
            <w:vAlign w:val="center"/>
          </w:tcPr>
          <w:p w14:paraId="54A4DACA">
            <w:pPr>
              <w:pStyle w:val="326"/>
              <w:jc w:val="center"/>
              <w:rPr>
                <w:color w:val="auto"/>
                <w:sz w:val="18"/>
                <w:szCs w:val="18"/>
              </w:rPr>
            </w:pPr>
            <w:r>
              <w:rPr>
                <w:rFonts w:hint="eastAsia"/>
                <w:color w:val="auto"/>
                <w:sz w:val="18"/>
                <w:szCs w:val="18"/>
              </w:rPr>
              <w:t>受力钢筋顺长度方向的净尺寸(mm)</w:t>
            </w:r>
          </w:p>
        </w:tc>
        <w:tc>
          <w:tcPr>
            <w:tcW w:w="2080" w:type="dxa"/>
            <w:tcBorders>
              <w:top w:val="single" w:color="000000" w:sz="4" w:space="0"/>
              <w:left w:val="single" w:color="000000" w:sz="4" w:space="0"/>
              <w:bottom w:val="single" w:color="000000" w:sz="4" w:space="0"/>
              <w:right w:val="single" w:color="000000" w:sz="4" w:space="0"/>
            </w:tcBorders>
            <w:vAlign w:val="center"/>
          </w:tcPr>
          <w:p w14:paraId="536A48AE">
            <w:pPr>
              <w:pStyle w:val="326"/>
              <w:jc w:val="center"/>
              <w:rPr>
                <w:color w:val="auto"/>
                <w:sz w:val="18"/>
                <w:szCs w:val="18"/>
              </w:rPr>
            </w:pPr>
            <w:r>
              <w:rPr>
                <w:rFonts w:hint="eastAsia"/>
                <w:color w:val="auto"/>
                <w:sz w:val="18"/>
                <w:szCs w:val="18"/>
              </w:rPr>
              <w:t>±5</w:t>
            </w:r>
          </w:p>
        </w:tc>
        <w:tc>
          <w:tcPr>
            <w:tcW w:w="1797" w:type="dxa"/>
            <w:vMerge w:val="restart"/>
            <w:tcBorders>
              <w:top w:val="single" w:color="000000" w:sz="4" w:space="0"/>
              <w:left w:val="single" w:color="000000" w:sz="4" w:space="0"/>
              <w:right w:val="single" w:color="000000" w:sz="4" w:space="0"/>
            </w:tcBorders>
            <w:vAlign w:val="center"/>
          </w:tcPr>
          <w:p w14:paraId="2F731820">
            <w:pPr>
              <w:pStyle w:val="326"/>
              <w:spacing w:line="240" w:lineRule="auto"/>
              <w:rPr>
                <w:color w:val="auto"/>
                <w:sz w:val="18"/>
                <w:szCs w:val="18"/>
              </w:rPr>
            </w:pPr>
            <w:r>
              <w:rPr>
                <w:color w:val="auto"/>
                <w:sz w:val="18"/>
                <w:szCs w:val="18"/>
              </w:rPr>
              <w:t>尺量：按每个工作日同一类型钢筋、同一加工设备抽查3件</w:t>
            </w:r>
          </w:p>
        </w:tc>
      </w:tr>
      <w:tr w14:paraId="57D7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2CB4A299">
            <w:pPr>
              <w:pStyle w:val="326"/>
              <w:jc w:val="center"/>
              <w:rPr>
                <w:color w:val="auto"/>
                <w:sz w:val="18"/>
                <w:szCs w:val="18"/>
              </w:rPr>
            </w:pPr>
            <w:r>
              <w:rPr>
                <w:rFonts w:hint="eastAsia"/>
                <w:color w:val="auto"/>
                <w:sz w:val="18"/>
                <w:szCs w:val="18"/>
              </w:rPr>
              <w:t>2</w:t>
            </w:r>
          </w:p>
        </w:tc>
        <w:tc>
          <w:tcPr>
            <w:tcW w:w="3670" w:type="dxa"/>
            <w:tcBorders>
              <w:top w:val="single" w:color="000000" w:sz="4" w:space="0"/>
              <w:left w:val="single" w:color="000000" w:sz="4" w:space="0"/>
              <w:bottom w:val="single" w:color="000000" w:sz="4" w:space="0"/>
              <w:right w:val="single" w:color="000000" w:sz="4" w:space="0"/>
            </w:tcBorders>
            <w:vAlign w:val="center"/>
          </w:tcPr>
          <w:p w14:paraId="28CEA552">
            <w:pPr>
              <w:pStyle w:val="326"/>
              <w:jc w:val="center"/>
              <w:rPr>
                <w:color w:val="auto"/>
                <w:sz w:val="18"/>
                <w:szCs w:val="18"/>
              </w:rPr>
            </w:pPr>
            <w:r>
              <w:rPr>
                <w:rFonts w:hint="eastAsia"/>
                <w:color w:val="auto"/>
                <w:sz w:val="18"/>
                <w:szCs w:val="18"/>
              </w:rPr>
              <w:t>箍筋内净尺寸(mm)</w:t>
            </w:r>
          </w:p>
        </w:tc>
        <w:tc>
          <w:tcPr>
            <w:tcW w:w="2080" w:type="dxa"/>
            <w:tcBorders>
              <w:top w:val="single" w:color="000000" w:sz="4" w:space="0"/>
              <w:left w:val="single" w:color="000000" w:sz="4" w:space="0"/>
              <w:bottom w:val="single" w:color="000000" w:sz="4" w:space="0"/>
              <w:right w:val="single" w:color="000000" w:sz="4" w:space="0"/>
            </w:tcBorders>
            <w:vAlign w:val="center"/>
          </w:tcPr>
          <w:p w14:paraId="1AA8F72F">
            <w:pPr>
              <w:pStyle w:val="326"/>
              <w:jc w:val="center"/>
              <w:rPr>
                <w:color w:val="auto"/>
                <w:sz w:val="18"/>
                <w:szCs w:val="18"/>
              </w:rPr>
            </w:pPr>
            <w:r>
              <w:rPr>
                <w:rFonts w:hint="eastAsia"/>
                <w:color w:val="auto"/>
                <w:sz w:val="18"/>
                <w:szCs w:val="18"/>
              </w:rPr>
              <w:t>±3</w:t>
            </w:r>
          </w:p>
        </w:tc>
        <w:tc>
          <w:tcPr>
            <w:tcW w:w="1797" w:type="dxa"/>
            <w:vMerge w:val="continue"/>
            <w:tcBorders>
              <w:left w:val="single" w:color="000000" w:sz="4" w:space="0"/>
              <w:right w:val="single" w:color="000000" w:sz="4" w:space="0"/>
            </w:tcBorders>
          </w:tcPr>
          <w:p w14:paraId="5F1F88FC">
            <w:pPr>
              <w:pStyle w:val="326"/>
              <w:rPr>
                <w:color w:val="auto"/>
                <w:szCs w:val="21"/>
              </w:rPr>
            </w:pPr>
          </w:p>
        </w:tc>
      </w:tr>
    </w:tbl>
    <w:p w14:paraId="70244B0E">
      <w:pPr>
        <w:pStyle w:val="326"/>
        <w:rPr>
          <w:color w:val="auto"/>
          <w:szCs w:val="21"/>
        </w:rPr>
      </w:pPr>
    </w:p>
    <w:p w14:paraId="3B604D20">
      <w:pPr>
        <w:pStyle w:val="326"/>
        <w:jc w:val="center"/>
        <w:rPr>
          <w:rFonts w:eastAsia="黑体"/>
          <w:b/>
          <w:bCs/>
          <w:color w:val="auto"/>
          <w:sz w:val="18"/>
          <w:szCs w:val="18"/>
        </w:rPr>
      </w:pPr>
      <w:r>
        <w:rPr>
          <w:rFonts w:eastAsia="黑体"/>
          <w:b/>
          <w:bCs/>
          <w:color w:val="auto"/>
          <w:sz w:val="18"/>
          <w:szCs w:val="18"/>
        </w:rPr>
        <w:t>表 10.3.2-2 钢筋安装实测项目</w:t>
      </w:r>
    </w:p>
    <w:tbl>
      <w:tblPr>
        <w:tblStyle w:val="46"/>
        <w:tblW w:w="8235" w:type="dxa"/>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892"/>
        <w:gridCol w:w="1511"/>
        <w:gridCol w:w="1282"/>
        <w:gridCol w:w="2834"/>
      </w:tblGrid>
      <w:tr w14:paraId="28F9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Borders>
              <w:top w:val="single" w:color="000000" w:sz="4" w:space="0"/>
              <w:left w:val="single" w:color="000000" w:sz="4" w:space="0"/>
              <w:bottom w:val="single" w:color="000000" w:sz="4" w:space="0"/>
              <w:right w:val="single" w:color="000000" w:sz="4" w:space="0"/>
            </w:tcBorders>
            <w:vAlign w:val="center"/>
          </w:tcPr>
          <w:p w14:paraId="787B93F9">
            <w:pPr>
              <w:spacing w:line="360" w:lineRule="auto"/>
              <w:jc w:val="center"/>
              <w:rPr>
                <w:rFonts w:ascii="Times New Roman" w:hAnsi="Times New Roman" w:eastAsia="宋体" w:cs="Times New Roman"/>
                <w:color w:val="auto"/>
                <w:sz w:val="18"/>
                <w:szCs w:val="18"/>
              </w:rPr>
            </w:pPr>
            <w:r>
              <w:rPr>
                <w:rFonts w:ascii="Times New Roman" w:hAnsi="Times New Roman" w:eastAsia="宋体" w:cs="Times New Roman"/>
                <w:color w:val="auto"/>
                <w:spacing w:val="7"/>
                <w:sz w:val="18"/>
                <w:szCs w:val="18"/>
              </w:rPr>
              <w:t>项次</w:t>
            </w:r>
          </w:p>
        </w:tc>
        <w:tc>
          <w:tcPr>
            <w:tcW w:w="3403" w:type="dxa"/>
            <w:gridSpan w:val="2"/>
            <w:tcBorders>
              <w:top w:val="single" w:color="000000" w:sz="4" w:space="0"/>
              <w:left w:val="single" w:color="000000" w:sz="4" w:space="0"/>
              <w:bottom w:val="single" w:color="000000" w:sz="4" w:space="0"/>
              <w:right w:val="single" w:color="000000" w:sz="4" w:space="0"/>
            </w:tcBorders>
            <w:vAlign w:val="center"/>
          </w:tcPr>
          <w:p w14:paraId="37E89F02">
            <w:pPr>
              <w:spacing w:line="360" w:lineRule="auto"/>
              <w:jc w:val="center"/>
              <w:rPr>
                <w:rFonts w:ascii="Times New Roman" w:hAnsi="Times New Roman" w:eastAsia="宋体" w:cs="Times New Roman"/>
                <w:color w:val="auto"/>
                <w:sz w:val="18"/>
                <w:szCs w:val="18"/>
              </w:rPr>
            </w:pPr>
            <w:r>
              <w:rPr>
                <w:rFonts w:ascii="Times New Roman" w:hAnsi="Times New Roman" w:eastAsia="宋体" w:cs="Times New Roman"/>
                <w:color w:val="auto"/>
                <w:spacing w:val="-10"/>
                <w:sz w:val="18"/>
                <w:szCs w:val="18"/>
              </w:rPr>
              <w:t>项</w:t>
            </w:r>
            <w:r>
              <w:rPr>
                <w:rFonts w:ascii="Times New Roman" w:hAnsi="Times New Roman" w:eastAsia="宋体" w:cs="Times New Roman"/>
                <w:color w:val="auto"/>
                <w:spacing w:val="-9"/>
                <w:sz w:val="18"/>
                <w:szCs w:val="18"/>
              </w:rPr>
              <w:t xml:space="preserve"> </w:t>
            </w:r>
            <w:r>
              <w:rPr>
                <w:rFonts w:ascii="Times New Roman" w:hAnsi="Times New Roman" w:eastAsia="宋体" w:cs="Times New Roman"/>
                <w:color w:val="auto"/>
                <w:spacing w:val="-10"/>
                <w:sz w:val="18"/>
                <w:szCs w:val="18"/>
              </w:rPr>
              <w:t>目</w:t>
            </w:r>
          </w:p>
        </w:tc>
        <w:tc>
          <w:tcPr>
            <w:tcW w:w="1282" w:type="dxa"/>
            <w:tcBorders>
              <w:top w:val="single" w:color="000000" w:sz="4" w:space="0"/>
              <w:left w:val="single" w:color="000000" w:sz="4" w:space="0"/>
              <w:bottom w:val="single" w:color="000000" w:sz="4" w:space="0"/>
              <w:right w:val="single" w:color="000000" w:sz="4" w:space="0"/>
            </w:tcBorders>
            <w:vAlign w:val="center"/>
          </w:tcPr>
          <w:p w14:paraId="7228EAC3">
            <w:pPr>
              <w:spacing w:line="360" w:lineRule="auto"/>
              <w:jc w:val="center"/>
              <w:rPr>
                <w:rFonts w:ascii="Times New Roman" w:hAnsi="Times New Roman" w:eastAsia="宋体" w:cs="Times New Roman"/>
                <w:color w:val="auto"/>
                <w:sz w:val="18"/>
                <w:szCs w:val="18"/>
              </w:rPr>
            </w:pPr>
            <w:r>
              <w:rPr>
                <w:rFonts w:ascii="Times New Roman" w:hAnsi="Times New Roman" w:eastAsia="宋体" w:cs="Times New Roman"/>
                <w:color w:val="auto"/>
                <w:spacing w:val="2"/>
                <w:sz w:val="18"/>
                <w:szCs w:val="18"/>
              </w:rPr>
              <w:t>规定值或允许偏差</w:t>
            </w:r>
          </w:p>
        </w:tc>
        <w:tc>
          <w:tcPr>
            <w:tcW w:w="2834" w:type="dxa"/>
            <w:tcBorders>
              <w:top w:val="single" w:color="000000" w:sz="4" w:space="0"/>
              <w:left w:val="single" w:color="000000" w:sz="4" w:space="0"/>
              <w:bottom w:val="single" w:color="000000" w:sz="4" w:space="0"/>
              <w:right w:val="single" w:color="000000" w:sz="4" w:space="0"/>
            </w:tcBorders>
            <w:vAlign w:val="center"/>
          </w:tcPr>
          <w:p w14:paraId="26C32F48">
            <w:pPr>
              <w:spacing w:line="360" w:lineRule="auto"/>
              <w:jc w:val="center"/>
              <w:rPr>
                <w:rFonts w:ascii="Times New Roman" w:hAnsi="Times New Roman" w:eastAsia="宋体" w:cs="Times New Roman"/>
                <w:color w:val="auto"/>
                <w:sz w:val="18"/>
                <w:szCs w:val="18"/>
              </w:rPr>
            </w:pPr>
            <w:r>
              <w:rPr>
                <w:rFonts w:ascii="Times New Roman" w:hAnsi="Times New Roman" w:eastAsia="宋体" w:cs="Times New Roman"/>
                <w:color w:val="auto"/>
                <w:spacing w:val="2"/>
                <w:sz w:val="18"/>
                <w:szCs w:val="18"/>
              </w:rPr>
              <w:t>检验方法和频率</w:t>
            </w:r>
          </w:p>
        </w:tc>
      </w:tr>
      <w:tr w14:paraId="7D38D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restart"/>
            <w:vAlign w:val="center"/>
          </w:tcPr>
          <w:p w14:paraId="0AC0D66C">
            <w:pPr>
              <w:spacing w:line="360" w:lineRule="auto"/>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w:t>
            </w:r>
          </w:p>
        </w:tc>
        <w:tc>
          <w:tcPr>
            <w:tcW w:w="1892" w:type="dxa"/>
            <w:vMerge w:val="restart"/>
            <w:vAlign w:val="center"/>
          </w:tcPr>
          <w:p w14:paraId="22EE9EC4">
            <w:pPr>
              <w:spacing w:line="360" w:lineRule="auto"/>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受力钢筋间距（mm）</w:t>
            </w:r>
          </w:p>
        </w:tc>
        <w:tc>
          <w:tcPr>
            <w:tcW w:w="1511" w:type="dxa"/>
            <w:vAlign w:val="center"/>
          </w:tcPr>
          <w:p w14:paraId="374D7B27">
            <w:pPr>
              <w:spacing w:line="360" w:lineRule="auto"/>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两排以上排距</w:t>
            </w:r>
          </w:p>
        </w:tc>
        <w:tc>
          <w:tcPr>
            <w:tcW w:w="1282" w:type="dxa"/>
            <w:vAlign w:val="center"/>
          </w:tcPr>
          <w:p w14:paraId="327A589E">
            <w:pPr>
              <w:spacing w:line="360" w:lineRule="auto"/>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w:t>
            </w:r>
          </w:p>
        </w:tc>
        <w:tc>
          <w:tcPr>
            <w:tcW w:w="2834" w:type="dxa"/>
            <w:vMerge w:val="restart"/>
            <w:vAlign w:val="center"/>
          </w:tcPr>
          <w:p w14:paraId="1AA669E3">
            <w:pPr>
              <w:spacing w:line="360" w:lineRule="auto"/>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尺量：每片板检查2 个断面</w:t>
            </w:r>
          </w:p>
        </w:tc>
      </w:tr>
      <w:tr w14:paraId="1A75C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continue"/>
            <w:vAlign w:val="center"/>
          </w:tcPr>
          <w:p w14:paraId="099D99EF">
            <w:pPr>
              <w:spacing w:line="360" w:lineRule="auto"/>
              <w:jc w:val="center"/>
              <w:rPr>
                <w:rFonts w:ascii="Times New Roman" w:hAnsi="Times New Roman" w:eastAsia="宋体" w:cs="Times New Roman"/>
                <w:color w:val="auto"/>
                <w:sz w:val="18"/>
                <w:szCs w:val="18"/>
              </w:rPr>
            </w:pPr>
          </w:p>
        </w:tc>
        <w:tc>
          <w:tcPr>
            <w:tcW w:w="1892" w:type="dxa"/>
            <w:vMerge w:val="continue"/>
            <w:vAlign w:val="center"/>
          </w:tcPr>
          <w:p w14:paraId="7E271600">
            <w:pPr>
              <w:spacing w:line="360" w:lineRule="auto"/>
              <w:jc w:val="center"/>
              <w:rPr>
                <w:rFonts w:ascii="Times New Roman" w:hAnsi="Times New Roman" w:eastAsia="宋体" w:cs="Times New Roman"/>
                <w:color w:val="auto"/>
                <w:sz w:val="18"/>
                <w:szCs w:val="18"/>
              </w:rPr>
            </w:pPr>
          </w:p>
        </w:tc>
        <w:tc>
          <w:tcPr>
            <w:tcW w:w="1511" w:type="dxa"/>
            <w:vAlign w:val="center"/>
          </w:tcPr>
          <w:p w14:paraId="3C83F656">
            <w:pPr>
              <w:spacing w:line="360" w:lineRule="auto"/>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同排</w:t>
            </w:r>
          </w:p>
        </w:tc>
        <w:tc>
          <w:tcPr>
            <w:tcW w:w="1282" w:type="dxa"/>
            <w:vAlign w:val="center"/>
          </w:tcPr>
          <w:p w14:paraId="2D8E104B">
            <w:pPr>
              <w:spacing w:line="360" w:lineRule="auto"/>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w:t>
            </w:r>
            <w:r>
              <w:rPr>
                <w:rFonts w:ascii="Times New Roman" w:hAnsi="Times New Roman" w:eastAsia="宋体" w:cs="Times New Roman"/>
                <w:color w:val="auto"/>
                <w:sz w:val="18"/>
                <w:szCs w:val="18"/>
              </w:rPr>
              <w:t>5</w:t>
            </w:r>
          </w:p>
        </w:tc>
        <w:tc>
          <w:tcPr>
            <w:tcW w:w="2834" w:type="dxa"/>
            <w:vMerge w:val="continue"/>
            <w:vAlign w:val="center"/>
          </w:tcPr>
          <w:p w14:paraId="3E13D8ED">
            <w:pPr>
              <w:spacing w:line="360" w:lineRule="auto"/>
              <w:jc w:val="center"/>
              <w:rPr>
                <w:rFonts w:ascii="Times New Roman" w:hAnsi="Times New Roman" w:eastAsia="宋体" w:cs="Times New Roman"/>
                <w:color w:val="auto"/>
                <w:sz w:val="18"/>
                <w:szCs w:val="18"/>
              </w:rPr>
            </w:pPr>
          </w:p>
        </w:tc>
      </w:tr>
      <w:tr w14:paraId="1FA29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14:paraId="327E0DD0">
            <w:pPr>
              <w:spacing w:line="360" w:lineRule="auto"/>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w:t>
            </w:r>
          </w:p>
        </w:tc>
        <w:tc>
          <w:tcPr>
            <w:tcW w:w="3403" w:type="dxa"/>
            <w:gridSpan w:val="2"/>
            <w:vAlign w:val="center"/>
          </w:tcPr>
          <w:p w14:paraId="28E4B8B5">
            <w:pPr>
              <w:spacing w:line="360" w:lineRule="auto"/>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箍筋、横向水平钢筋间距（mm）</w:t>
            </w:r>
          </w:p>
        </w:tc>
        <w:tc>
          <w:tcPr>
            <w:tcW w:w="1282" w:type="dxa"/>
            <w:vAlign w:val="center"/>
          </w:tcPr>
          <w:p w14:paraId="698ED0EB">
            <w:pPr>
              <w:spacing w:line="360" w:lineRule="auto"/>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±10</w:t>
            </w:r>
          </w:p>
        </w:tc>
        <w:tc>
          <w:tcPr>
            <w:tcW w:w="2834" w:type="dxa"/>
            <w:vAlign w:val="center"/>
          </w:tcPr>
          <w:p w14:paraId="26F1A70E">
            <w:pPr>
              <w:spacing w:line="360" w:lineRule="auto"/>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尺量：每片板测 10 个间距</w:t>
            </w:r>
          </w:p>
        </w:tc>
      </w:tr>
      <w:tr w14:paraId="15C83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14:paraId="3C4F41BF">
            <w:pPr>
              <w:spacing w:line="360" w:lineRule="auto"/>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3</w:t>
            </w:r>
          </w:p>
        </w:tc>
        <w:tc>
          <w:tcPr>
            <w:tcW w:w="3403" w:type="dxa"/>
            <w:gridSpan w:val="2"/>
            <w:vAlign w:val="center"/>
          </w:tcPr>
          <w:p w14:paraId="479A0178">
            <w:pPr>
              <w:widowControl/>
              <w:jc w:val="center"/>
              <w:rPr>
                <w:rFonts w:ascii="Times New Roman" w:hAnsi="Times New Roman" w:eastAsia="宋体" w:cs="Times New Roman"/>
                <w:color w:val="auto"/>
                <w:sz w:val="18"/>
                <w:szCs w:val="18"/>
              </w:rPr>
            </w:pPr>
            <w:r>
              <w:rPr>
                <w:rFonts w:ascii="Times New Roman" w:hAnsi="Times New Roman" w:eastAsia="宋体" w:cs="Times New Roman"/>
                <w:color w:val="auto"/>
                <w:kern w:val="0"/>
                <w:sz w:val="18"/>
                <w:szCs w:val="18"/>
              </w:rPr>
              <w:t>保护层厚度（mm）</w:t>
            </w:r>
          </w:p>
        </w:tc>
        <w:tc>
          <w:tcPr>
            <w:tcW w:w="1282" w:type="dxa"/>
            <w:vAlign w:val="center"/>
          </w:tcPr>
          <w:p w14:paraId="7A374490">
            <w:pPr>
              <w:spacing w:line="360" w:lineRule="auto"/>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±3</w:t>
            </w:r>
          </w:p>
        </w:tc>
        <w:tc>
          <w:tcPr>
            <w:tcW w:w="2834" w:type="dxa"/>
            <w:vAlign w:val="center"/>
          </w:tcPr>
          <w:p w14:paraId="354E3EB3">
            <w:pPr>
              <w:spacing w:line="276" w:lineRule="auto"/>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尺量：每片板各立模板面每 3m</w:t>
            </w:r>
            <w:r>
              <w:rPr>
                <w:rFonts w:ascii="Times New Roman" w:hAnsi="Times New Roman" w:eastAsia="宋体" w:cs="Times New Roman"/>
                <w:color w:val="auto"/>
                <w:sz w:val="18"/>
                <w:szCs w:val="18"/>
                <w:vertAlign w:val="superscript"/>
              </w:rPr>
              <w:t>2</w:t>
            </w:r>
            <w:r>
              <w:rPr>
                <w:rFonts w:ascii="Times New Roman" w:hAnsi="Times New Roman" w:eastAsia="宋体" w:cs="Times New Roman"/>
                <w:color w:val="auto"/>
                <w:sz w:val="18"/>
                <w:szCs w:val="18"/>
              </w:rPr>
              <w:t>检查1 处，且每侧面不少于 5 处</w:t>
            </w:r>
          </w:p>
        </w:tc>
      </w:tr>
    </w:tbl>
    <w:p w14:paraId="3C48C0D7">
      <w:pPr>
        <w:spacing w:line="360" w:lineRule="auto"/>
        <w:ind w:firstLine="420"/>
        <w:rPr>
          <w:rFonts w:ascii="Times New Roman" w:hAnsi="Times New Roman" w:eastAsia="宋体" w:cs="Times New Roman"/>
          <w:color w:val="auto"/>
          <w:szCs w:val="21"/>
        </w:rPr>
      </w:pPr>
    </w:p>
    <w:p w14:paraId="4E1ABB9E">
      <w:pPr>
        <w:pStyle w:val="3"/>
        <w:rPr>
          <w:color w:val="auto"/>
        </w:rPr>
      </w:pPr>
      <w:bookmarkStart w:id="165" w:name="_Toc6801"/>
      <w:bookmarkStart w:id="166" w:name="_Toc22242"/>
      <w:bookmarkStart w:id="167" w:name="_Toc4359"/>
      <w:r>
        <w:rPr>
          <w:rFonts w:hint="eastAsia"/>
          <w:color w:val="auto"/>
        </w:rPr>
        <w:t>1</w:t>
      </w:r>
      <w:r>
        <w:rPr>
          <w:color w:val="auto"/>
        </w:rPr>
        <w:t>0.4</w:t>
      </w:r>
      <w:r>
        <w:rPr>
          <w:rFonts w:hint="eastAsia"/>
          <w:color w:val="auto"/>
        </w:rPr>
        <w:t xml:space="preserve">  超高性能混凝土工程</w:t>
      </w:r>
      <w:bookmarkEnd w:id="165"/>
      <w:bookmarkEnd w:id="166"/>
      <w:bookmarkEnd w:id="167"/>
    </w:p>
    <w:p w14:paraId="729C691F">
      <w:pPr>
        <w:pStyle w:val="326"/>
        <w:rPr>
          <w:color w:val="auto"/>
          <w:szCs w:val="21"/>
        </w:rPr>
      </w:pPr>
      <w:r>
        <w:rPr>
          <w:rFonts w:hint="eastAsia"/>
          <w:b/>
          <w:bCs/>
          <w:color w:val="auto"/>
          <w:szCs w:val="21"/>
        </w:rPr>
        <w:t>1</w:t>
      </w:r>
      <w:r>
        <w:rPr>
          <w:b/>
          <w:bCs/>
          <w:color w:val="auto"/>
          <w:szCs w:val="21"/>
        </w:rPr>
        <w:t xml:space="preserve">0.4.1  </w:t>
      </w:r>
      <w:r>
        <w:rPr>
          <w:color w:val="auto"/>
          <w:szCs w:val="21"/>
        </w:rPr>
        <w:t>超高性能混凝土材料的检验与评定</w:t>
      </w:r>
      <w:bookmarkStart w:id="168" w:name="_Hlk143891095"/>
      <w:r>
        <w:rPr>
          <w:color w:val="auto"/>
          <w:szCs w:val="21"/>
        </w:rPr>
        <w:t>应符合下列要求：</w:t>
      </w:r>
      <w:bookmarkEnd w:id="168"/>
    </w:p>
    <w:p w14:paraId="7579CA76">
      <w:pPr>
        <w:spacing w:line="360" w:lineRule="auto"/>
        <w:ind w:firstLine="420"/>
        <w:rPr>
          <w:rFonts w:ascii="Times New Roman" w:hAnsi="Times New Roman" w:eastAsia="宋体" w:cs="Times New Roman"/>
          <w:color w:val="auto"/>
          <w:szCs w:val="21"/>
        </w:rPr>
      </w:pPr>
      <w:r>
        <w:rPr>
          <w:rFonts w:ascii="Times New Roman" w:hAnsi="Times New Roman" w:eastAsia="宋体" w:cs="Times New Roman"/>
          <w:color w:val="auto"/>
          <w:szCs w:val="21"/>
        </w:rPr>
        <w:t>1 超高性能混凝土原材料质量要求应符合现行国家标准《活性粉末混凝</w:t>
      </w:r>
      <w:r>
        <w:rPr>
          <w:rFonts w:hint="eastAsia" w:ascii="Times New Roman" w:hAnsi="Times New Roman" w:eastAsia="宋体" w:cs="Times New Roman"/>
          <w:color w:val="auto"/>
          <w:szCs w:val="21"/>
        </w:rPr>
        <w:t>土》</w:t>
      </w:r>
      <w:r>
        <w:rPr>
          <w:rFonts w:ascii="Times New Roman" w:hAnsi="Times New Roman" w:eastAsia="宋体" w:cs="Times New Roman"/>
          <w:color w:val="auto"/>
          <w:szCs w:val="21"/>
        </w:rPr>
        <w:t>GB/T 31387 的规定。</w:t>
      </w:r>
    </w:p>
    <w:p w14:paraId="5C5908FA">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 xml:space="preserve"> 超高性能混凝土采用干混料供应方式时，应检查干混料的产品使用说</w:t>
      </w:r>
      <w:r>
        <w:rPr>
          <w:rFonts w:hint="eastAsia" w:ascii="Times New Roman" w:hAnsi="Times New Roman" w:eastAsia="宋体" w:cs="Times New Roman"/>
          <w:color w:val="auto"/>
          <w:szCs w:val="21"/>
        </w:rPr>
        <w:t>明、检验合格证和出厂检验报告，同生产厂家、同批号、同品种、同强度等级、同出厂日期且连续进场的干混料，检验批量不应大于</w:t>
      </w:r>
      <w:r>
        <w:rPr>
          <w:rFonts w:ascii="Times New Roman" w:hAnsi="Times New Roman" w:eastAsia="宋体" w:cs="Times New Roman"/>
          <w:color w:val="auto"/>
          <w:szCs w:val="21"/>
        </w:rPr>
        <w:t>200</w:t>
      </w:r>
      <w:r>
        <w:rPr>
          <w:rFonts w:hint="eastAsia" w:ascii="Times New Roman" w:hAnsi="Times New Roman" w:eastAsia="宋体" w:cs="Times New Roman"/>
          <w:color w:val="auto"/>
          <w:szCs w:val="21"/>
        </w:rPr>
        <w:t xml:space="preserve"> </w:t>
      </w:r>
      <w:r>
        <w:rPr>
          <w:rFonts w:ascii="Times New Roman" w:hAnsi="Times New Roman" w:eastAsia="宋体" w:cs="Times New Roman"/>
          <w:color w:val="auto"/>
          <w:szCs w:val="21"/>
        </w:rPr>
        <w:t>t。不同批次或非连续</w:t>
      </w:r>
      <w:r>
        <w:rPr>
          <w:rFonts w:hint="eastAsia" w:ascii="Times New Roman" w:hAnsi="Times New Roman" w:eastAsia="宋体" w:cs="Times New Roman"/>
          <w:color w:val="auto"/>
          <w:szCs w:val="21"/>
        </w:rPr>
        <w:t>供应的不足一个检验批量的超高性能混凝土干混料应作为一个检验批。</w:t>
      </w:r>
    </w:p>
    <w:p w14:paraId="5EBA3F40">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r>
        <w:rPr>
          <w:rFonts w:ascii="Times New Roman" w:hAnsi="Times New Roman" w:eastAsia="宋体" w:cs="Times New Roman"/>
          <w:color w:val="auto"/>
          <w:szCs w:val="21"/>
        </w:rPr>
        <w:t xml:space="preserve"> 超高性能混凝土采用原材料供应方式时，超高性能混凝土的配合比设</w:t>
      </w:r>
      <w:r>
        <w:rPr>
          <w:rFonts w:hint="eastAsia" w:ascii="Times New Roman" w:hAnsi="Times New Roman" w:eastAsia="宋体" w:cs="Times New Roman"/>
          <w:color w:val="auto"/>
          <w:szCs w:val="21"/>
        </w:rPr>
        <w:t>计宜符合国家标准《活性粉末混凝土》</w:t>
      </w:r>
      <w:r>
        <w:rPr>
          <w:rFonts w:ascii="Times New Roman" w:hAnsi="Times New Roman" w:eastAsia="宋体" w:cs="Times New Roman"/>
          <w:color w:val="auto"/>
          <w:szCs w:val="21"/>
        </w:rPr>
        <w:t>GB/T 31387 的规定，原材料的检验与评</w:t>
      </w:r>
      <w:r>
        <w:rPr>
          <w:rFonts w:hint="eastAsia" w:ascii="Times New Roman" w:hAnsi="Times New Roman" w:eastAsia="宋体" w:cs="Times New Roman"/>
          <w:color w:val="auto"/>
          <w:szCs w:val="21"/>
        </w:rPr>
        <w:t>定应满足国家现行标准的规定。</w:t>
      </w:r>
    </w:p>
    <w:p w14:paraId="2A1971B0">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4</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超高性能混凝土材料的检验项目</w:t>
      </w:r>
      <w:bookmarkStart w:id="169" w:name="_Hlk143888642"/>
      <w:r>
        <w:rPr>
          <w:rFonts w:hint="eastAsia" w:ascii="Times New Roman" w:hAnsi="Times New Roman" w:eastAsia="宋体" w:cs="Times New Roman"/>
          <w:color w:val="auto"/>
          <w:szCs w:val="21"/>
        </w:rPr>
        <w:t>应符合表</w:t>
      </w:r>
      <w:r>
        <w:rPr>
          <w:rFonts w:ascii="Times New Roman" w:hAnsi="Times New Roman" w:eastAsia="宋体" w:cs="Times New Roman"/>
          <w:color w:val="auto"/>
          <w:szCs w:val="21"/>
        </w:rPr>
        <w:t>10.4.1的规定</w:t>
      </w:r>
      <w:bookmarkEnd w:id="169"/>
      <w:r>
        <w:rPr>
          <w:rFonts w:ascii="Times New Roman" w:hAnsi="Times New Roman" w:eastAsia="宋体" w:cs="Times New Roman"/>
          <w:color w:val="auto"/>
          <w:szCs w:val="21"/>
        </w:rPr>
        <w:t>。</w:t>
      </w:r>
    </w:p>
    <w:p w14:paraId="2D2B34F2">
      <w:pPr>
        <w:pStyle w:val="326"/>
        <w:jc w:val="center"/>
        <w:rPr>
          <w:rFonts w:eastAsia="黑体"/>
          <w:color w:val="auto"/>
          <w:sz w:val="18"/>
          <w:szCs w:val="18"/>
        </w:rPr>
      </w:pPr>
    </w:p>
    <w:p w14:paraId="6D9AF0BE">
      <w:pPr>
        <w:pStyle w:val="326"/>
        <w:jc w:val="center"/>
        <w:rPr>
          <w:rFonts w:eastAsia="黑体"/>
          <w:color w:val="auto"/>
          <w:sz w:val="18"/>
          <w:szCs w:val="18"/>
        </w:rPr>
      </w:pPr>
    </w:p>
    <w:p w14:paraId="6C129824">
      <w:pPr>
        <w:pStyle w:val="326"/>
        <w:jc w:val="center"/>
        <w:rPr>
          <w:rFonts w:eastAsia="黑体"/>
          <w:color w:val="auto"/>
          <w:sz w:val="18"/>
          <w:szCs w:val="18"/>
        </w:rPr>
      </w:pPr>
      <w:r>
        <w:rPr>
          <w:rFonts w:eastAsia="黑体"/>
          <w:color w:val="auto"/>
          <w:sz w:val="18"/>
          <w:szCs w:val="18"/>
        </w:rPr>
        <w:t>表10.4.1 超高性能混凝土材料的检验项目</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1391"/>
        <w:gridCol w:w="1418"/>
        <w:gridCol w:w="1282"/>
        <w:gridCol w:w="1383"/>
        <w:gridCol w:w="1383"/>
      </w:tblGrid>
      <w:tr w14:paraId="36D2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0" w:type="dxa"/>
            <w:gridSpan w:val="2"/>
            <w:vAlign w:val="center"/>
          </w:tcPr>
          <w:p w14:paraId="2063854E">
            <w:pPr>
              <w:pStyle w:val="326"/>
              <w:jc w:val="center"/>
              <w:rPr>
                <w:color w:val="auto"/>
                <w:sz w:val="18"/>
                <w:szCs w:val="18"/>
              </w:rPr>
            </w:pPr>
            <w:r>
              <w:rPr>
                <w:color w:val="auto"/>
                <w:sz w:val="18"/>
                <w:szCs w:val="18"/>
              </w:rPr>
              <w:t>项目</w:t>
            </w:r>
          </w:p>
        </w:tc>
        <w:tc>
          <w:tcPr>
            <w:tcW w:w="1418" w:type="dxa"/>
            <w:vAlign w:val="center"/>
          </w:tcPr>
          <w:p w14:paraId="24FDCE4A">
            <w:pPr>
              <w:pStyle w:val="326"/>
              <w:jc w:val="center"/>
              <w:rPr>
                <w:color w:val="auto"/>
                <w:sz w:val="18"/>
                <w:szCs w:val="18"/>
              </w:rPr>
            </w:pPr>
            <w:r>
              <w:rPr>
                <w:color w:val="auto"/>
                <w:sz w:val="18"/>
                <w:szCs w:val="18"/>
              </w:rPr>
              <w:t>扩展度</w:t>
            </w:r>
          </w:p>
        </w:tc>
        <w:tc>
          <w:tcPr>
            <w:tcW w:w="1282" w:type="dxa"/>
            <w:vAlign w:val="center"/>
          </w:tcPr>
          <w:p w14:paraId="37DFB544">
            <w:pPr>
              <w:pStyle w:val="326"/>
              <w:jc w:val="center"/>
              <w:rPr>
                <w:color w:val="auto"/>
                <w:sz w:val="18"/>
                <w:szCs w:val="18"/>
              </w:rPr>
            </w:pPr>
            <w:r>
              <w:rPr>
                <w:color w:val="auto"/>
                <w:sz w:val="18"/>
                <w:szCs w:val="18"/>
              </w:rPr>
              <w:t>抗压强度</w:t>
            </w:r>
          </w:p>
        </w:tc>
        <w:tc>
          <w:tcPr>
            <w:tcW w:w="1383" w:type="dxa"/>
            <w:vAlign w:val="center"/>
          </w:tcPr>
          <w:p w14:paraId="1C39B704">
            <w:pPr>
              <w:pStyle w:val="326"/>
              <w:jc w:val="center"/>
              <w:rPr>
                <w:color w:val="auto"/>
                <w:sz w:val="18"/>
                <w:szCs w:val="18"/>
              </w:rPr>
            </w:pPr>
            <w:r>
              <w:rPr>
                <w:color w:val="auto"/>
                <w:sz w:val="18"/>
                <w:szCs w:val="18"/>
              </w:rPr>
              <w:t>弯拉强度</w:t>
            </w:r>
          </w:p>
        </w:tc>
        <w:tc>
          <w:tcPr>
            <w:tcW w:w="1383" w:type="dxa"/>
            <w:vAlign w:val="center"/>
          </w:tcPr>
          <w:p w14:paraId="6D2EC89A">
            <w:pPr>
              <w:pStyle w:val="326"/>
              <w:jc w:val="center"/>
              <w:rPr>
                <w:color w:val="auto"/>
                <w:sz w:val="18"/>
                <w:szCs w:val="18"/>
              </w:rPr>
            </w:pPr>
            <w:r>
              <w:rPr>
                <w:color w:val="auto"/>
                <w:sz w:val="18"/>
                <w:szCs w:val="18"/>
              </w:rPr>
              <w:t>轴拉性能</w:t>
            </w:r>
          </w:p>
        </w:tc>
      </w:tr>
      <w:tr w14:paraId="3B3E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restart"/>
            <w:vAlign w:val="center"/>
          </w:tcPr>
          <w:p w14:paraId="4A35F5D5">
            <w:pPr>
              <w:pStyle w:val="326"/>
              <w:jc w:val="center"/>
              <w:rPr>
                <w:color w:val="auto"/>
                <w:sz w:val="18"/>
                <w:szCs w:val="18"/>
              </w:rPr>
            </w:pPr>
            <w:r>
              <w:rPr>
                <w:color w:val="auto"/>
                <w:sz w:val="18"/>
                <w:szCs w:val="18"/>
              </w:rPr>
              <w:t>干混料供应</w:t>
            </w:r>
          </w:p>
        </w:tc>
        <w:tc>
          <w:tcPr>
            <w:tcW w:w="1391" w:type="dxa"/>
            <w:vAlign w:val="center"/>
          </w:tcPr>
          <w:p w14:paraId="1324C4F2">
            <w:pPr>
              <w:pStyle w:val="326"/>
              <w:jc w:val="center"/>
              <w:rPr>
                <w:color w:val="auto"/>
                <w:sz w:val="18"/>
                <w:szCs w:val="18"/>
              </w:rPr>
            </w:pPr>
            <w:r>
              <w:rPr>
                <w:color w:val="auto"/>
                <w:sz w:val="18"/>
                <w:szCs w:val="18"/>
              </w:rPr>
              <w:t>型式检验</w:t>
            </w:r>
          </w:p>
        </w:tc>
        <w:tc>
          <w:tcPr>
            <w:tcW w:w="1418" w:type="dxa"/>
            <w:vAlign w:val="center"/>
          </w:tcPr>
          <w:p w14:paraId="04A44638">
            <w:pPr>
              <w:pStyle w:val="326"/>
              <w:jc w:val="center"/>
              <w:rPr>
                <w:color w:val="auto"/>
                <w:sz w:val="18"/>
                <w:szCs w:val="18"/>
              </w:rPr>
            </w:pPr>
            <w:r>
              <w:rPr>
                <w:color w:val="auto"/>
                <w:sz w:val="18"/>
                <w:szCs w:val="18"/>
              </w:rPr>
              <w:t>√</w:t>
            </w:r>
          </w:p>
        </w:tc>
        <w:tc>
          <w:tcPr>
            <w:tcW w:w="1282" w:type="dxa"/>
            <w:vAlign w:val="center"/>
          </w:tcPr>
          <w:p w14:paraId="2D267EB4">
            <w:pPr>
              <w:pStyle w:val="326"/>
              <w:jc w:val="center"/>
              <w:rPr>
                <w:color w:val="auto"/>
                <w:sz w:val="18"/>
                <w:szCs w:val="18"/>
              </w:rPr>
            </w:pPr>
            <w:r>
              <w:rPr>
                <w:color w:val="auto"/>
                <w:sz w:val="18"/>
                <w:szCs w:val="18"/>
              </w:rPr>
              <w:t>√</w:t>
            </w:r>
          </w:p>
        </w:tc>
        <w:tc>
          <w:tcPr>
            <w:tcW w:w="1383" w:type="dxa"/>
            <w:vAlign w:val="center"/>
          </w:tcPr>
          <w:p w14:paraId="38D7873F">
            <w:pPr>
              <w:pStyle w:val="326"/>
              <w:jc w:val="center"/>
              <w:rPr>
                <w:color w:val="auto"/>
                <w:sz w:val="18"/>
                <w:szCs w:val="18"/>
              </w:rPr>
            </w:pPr>
            <w:r>
              <w:rPr>
                <w:color w:val="auto"/>
                <w:sz w:val="18"/>
                <w:szCs w:val="18"/>
              </w:rPr>
              <w:t>√</w:t>
            </w:r>
          </w:p>
        </w:tc>
        <w:tc>
          <w:tcPr>
            <w:tcW w:w="1383" w:type="dxa"/>
            <w:vAlign w:val="center"/>
          </w:tcPr>
          <w:p w14:paraId="3F6C5D25">
            <w:pPr>
              <w:pStyle w:val="326"/>
              <w:jc w:val="center"/>
              <w:rPr>
                <w:color w:val="auto"/>
                <w:sz w:val="18"/>
                <w:szCs w:val="18"/>
              </w:rPr>
            </w:pPr>
            <w:r>
              <w:rPr>
                <w:color w:val="auto"/>
                <w:sz w:val="18"/>
                <w:szCs w:val="18"/>
              </w:rPr>
              <w:t>√</w:t>
            </w:r>
          </w:p>
        </w:tc>
      </w:tr>
      <w:tr w14:paraId="79187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continue"/>
            <w:vAlign w:val="center"/>
          </w:tcPr>
          <w:p w14:paraId="5A2F2116">
            <w:pPr>
              <w:pStyle w:val="326"/>
              <w:jc w:val="center"/>
              <w:rPr>
                <w:color w:val="auto"/>
                <w:sz w:val="18"/>
                <w:szCs w:val="18"/>
              </w:rPr>
            </w:pPr>
          </w:p>
        </w:tc>
        <w:tc>
          <w:tcPr>
            <w:tcW w:w="1391" w:type="dxa"/>
            <w:vAlign w:val="center"/>
          </w:tcPr>
          <w:p w14:paraId="5D153C4E">
            <w:pPr>
              <w:pStyle w:val="326"/>
              <w:jc w:val="center"/>
              <w:rPr>
                <w:color w:val="auto"/>
                <w:sz w:val="18"/>
                <w:szCs w:val="18"/>
              </w:rPr>
            </w:pPr>
            <w:r>
              <w:rPr>
                <w:rFonts w:hint="eastAsia"/>
                <w:color w:val="auto"/>
                <w:sz w:val="18"/>
                <w:szCs w:val="18"/>
              </w:rPr>
              <w:t>出厂检验</w:t>
            </w:r>
          </w:p>
        </w:tc>
        <w:tc>
          <w:tcPr>
            <w:tcW w:w="1418" w:type="dxa"/>
            <w:vAlign w:val="center"/>
          </w:tcPr>
          <w:p w14:paraId="12B76B15">
            <w:pPr>
              <w:pStyle w:val="326"/>
              <w:jc w:val="center"/>
              <w:rPr>
                <w:color w:val="auto"/>
                <w:sz w:val="18"/>
                <w:szCs w:val="18"/>
              </w:rPr>
            </w:pPr>
            <w:r>
              <w:rPr>
                <w:rFonts w:hint="eastAsia"/>
                <w:color w:val="auto"/>
                <w:sz w:val="18"/>
                <w:szCs w:val="18"/>
              </w:rPr>
              <w:t>√</w:t>
            </w:r>
          </w:p>
        </w:tc>
        <w:tc>
          <w:tcPr>
            <w:tcW w:w="1282" w:type="dxa"/>
            <w:vAlign w:val="center"/>
          </w:tcPr>
          <w:p w14:paraId="2193C9F1">
            <w:pPr>
              <w:pStyle w:val="326"/>
              <w:jc w:val="center"/>
              <w:rPr>
                <w:color w:val="auto"/>
                <w:sz w:val="18"/>
                <w:szCs w:val="18"/>
              </w:rPr>
            </w:pPr>
            <w:r>
              <w:rPr>
                <w:rFonts w:hint="eastAsia"/>
                <w:color w:val="auto"/>
                <w:sz w:val="18"/>
                <w:szCs w:val="18"/>
              </w:rPr>
              <w:t>√</w:t>
            </w:r>
          </w:p>
        </w:tc>
        <w:tc>
          <w:tcPr>
            <w:tcW w:w="1383" w:type="dxa"/>
            <w:vAlign w:val="center"/>
          </w:tcPr>
          <w:p w14:paraId="3DB6D6B4">
            <w:pPr>
              <w:pStyle w:val="326"/>
              <w:jc w:val="center"/>
              <w:rPr>
                <w:color w:val="auto"/>
                <w:sz w:val="18"/>
                <w:szCs w:val="18"/>
              </w:rPr>
            </w:pPr>
            <w:r>
              <w:rPr>
                <w:rFonts w:hint="eastAsia"/>
                <w:color w:val="auto"/>
                <w:sz w:val="18"/>
                <w:szCs w:val="18"/>
              </w:rPr>
              <w:t>√</w:t>
            </w:r>
          </w:p>
        </w:tc>
        <w:tc>
          <w:tcPr>
            <w:tcW w:w="1383" w:type="dxa"/>
            <w:vAlign w:val="center"/>
          </w:tcPr>
          <w:p w14:paraId="2A577B0D">
            <w:pPr>
              <w:pStyle w:val="326"/>
              <w:jc w:val="center"/>
              <w:rPr>
                <w:color w:val="auto"/>
                <w:sz w:val="18"/>
                <w:szCs w:val="18"/>
              </w:rPr>
            </w:pPr>
            <w:r>
              <w:rPr>
                <w:color w:val="auto"/>
                <w:kern w:val="0"/>
                <w:sz w:val="18"/>
                <w:szCs w:val="18"/>
              </w:rPr>
              <w:t>×</w:t>
            </w:r>
          </w:p>
        </w:tc>
      </w:tr>
      <w:tr w14:paraId="31267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continue"/>
            <w:vAlign w:val="center"/>
          </w:tcPr>
          <w:p w14:paraId="3B68B390">
            <w:pPr>
              <w:pStyle w:val="326"/>
              <w:jc w:val="center"/>
              <w:rPr>
                <w:color w:val="auto"/>
                <w:sz w:val="18"/>
                <w:szCs w:val="18"/>
              </w:rPr>
            </w:pPr>
          </w:p>
        </w:tc>
        <w:tc>
          <w:tcPr>
            <w:tcW w:w="1391" w:type="dxa"/>
            <w:vAlign w:val="center"/>
          </w:tcPr>
          <w:p w14:paraId="3ABD6DCF">
            <w:pPr>
              <w:pStyle w:val="326"/>
              <w:jc w:val="center"/>
              <w:rPr>
                <w:color w:val="auto"/>
                <w:sz w:val="18"/>
                <w:szCs w:val="18"/>
              </w:rPr>
            </w:pPr>
            <w:r>
              <w:rPr>
                <w:rFonts w:hint="eastAsia"/>
                <w:color w:val="auto"/>
                <w:sz w:val="18"/>
                <w:szCs w:val="18"/>
              </w:rPr>
              <w:t>交货检验</w:t>
            </w:r>
          </w:p>
        </w:tc>
        <w:tc>
          <w:tcPr>
            <w:tcW w:w="1418" w:type="dxa"/>
            <w:vAlign w:val="center"/>
          </w:tcPr>
          <w:p w14:paraId="102A7784">
            <w:pPr>
              <w:pStyle w:val="326"/>
              <w:jc w:val="center"/>
              <w:rPr>
                <w:color w:val="auto"/>
                <w:sz w:val="18"/>
                <w:szCs w:val="18"/>
              </w:rPr>
            </w:pPr>
            <w:r>
              <w:rPr>
                <w:rFonts w:hint="eastAsia"/>
                <w:color w:val="auto"/>
                <w:sz w:val="18"/>
                <w:szCs w:val="18"/>
              </w:rPr>
              <w:t>√</w:t>
            </w:r>
          </w:p>
        </w:tc>
        <w:tc>
          <w:tcPr>
            <w:tcW w:w="1282" w:type="dxa"/>
            <w:vAlign w:val="center"/>
          </w:tcPr>
          <w:p w14:paraId="4837CA36">
            <w:pPr>
              <w:pStyle w:val="326"/>
              <w:jc w:val="center"/>
              <w:rPr>
                <w:color w:val="auto"/>
                <w:sz w:val="18"/>
                <w:szCs w:val="18"/>
              </w:rPr>
            </w:pPr>
            <w:r>
              <w:rPr>
                <w:rFonts w:hint="eastAsia"/>
                <w:color w:val="auto"/>
                <w:sz w:val="18"/>
                <w:szCs w:val="18"/>
              </w:rPr>
              <w:t>√</w:t>
            </w:r>
          </w:p>
        </w:tc>
        <w:tc>
          <w:tcPr>
            <w:tcW w:w="1383" w:type="dxa"/>
            <w:vAlign w:val="center"/>
          </w:tcPr>
          <w:p w14:paraId="1F55497E">
            <w:pPr>
              <w:pStyle w:val="326"/>
              <w:jc w:val="center"/>
              <w:rPr>
                <w:color w:val="auto"/>
                <w:sz w:val="18"/>
                <w:szCs w:val="18"/>
              </w:rPr>
            </w:pPr>
            <w:r>
              <w:rPr>
                <w:rFonts w:hint="eastAsia"/>
                <w:color w:val="auto"/>
                <w:sz w:val="18"/>
                <w:szCs w:val="18"/>
              </w:rPr>
              <w:t>√</w:t>
            </w:r>
          </w:p>
        </w:tc>
        <w:tc>
          <w:tcPr>
            <w:tcW w:w="1383" w:type="dxa"/>
            <w:vAlign w:val="center"/>
          </w:tcPr>
          <w:p w14:paraId="25F13261">
            <w:pPr>
              <w:pStyle w:val="326"/>
              <w:jc w:val="center"/>
              <w:rPr>
                <w:color w:val="auto"/>
                <w:sz w:val="18"/>
                <w:szCs w:val="18"/>
              </w:rPr>
            </w:pPr>
            <w:r>
              <w:rPr>
                <w:rFonts w:hint="eastAsia"/>
                <w:color w:val="auto"/>
                <w:sz w:val="18"/>
                <w:szCs w:val="18"/>
              </w:rPr>
              <w:t>〇</w:t>
            </w:r>
          </w:p>
        </w:tc>
      </w:tr>
      <w:tr w14:paraId="3DEB5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restart"/>
            <w:vAlign w:val="center"/>
          </w:tcPr>
          <w:p w14:paraId="2AD499EB">
            <w:pPr>
              <w:pStyle w:val="326"/>
              <w:jc w:val="center"/>
              <w:rPr>
                <w:color w:val="auto"/>
                <w:sz w:val="18"/>
                <w:szCs w:val="18"/>
              </w:rPr>
            </w:pPr>
            <w:r>
              <w:rPr>
                <w:color w:val="auto"/>
                <w:sz w:val="18"/>
                <w:szCs w:val="18"/>
              </w:rPr>
              <w:t>原材料供应</w:t>
            </w:r>
          </w:p>
        </w:tc>
        <w:tc>
          <w:tcPr>
            <w:tcW w:w="1391" w:type="dxa"/>
            <w:vAlign w:val="center"/>
          </w:tcPr>
          <w:p w14:paraId="3921A024">
            <w:pPr>
              <w:pStyle w:val="326"/>
              <w:jc w:val="center"/>
              <w:rPr>
                <w:color w:val="auto"/>
                <w:sz w:val="18"/>
                <w:szCs w:val="18"/>
              </w:rPr>
            </w:pPr>
            <w:r>
              <w:rPr>
                <w:color w:val="auto"/>
                <w:sz w:val="18"/>
                <w:szCs w:val="18"/>
              </w:rPr>
              <w:t>出厂检验</w:t>
            </w:r>
          </w:p>
        </w:tc>
        <w:tc>
          <w:tcPr>
            <w:tcW w:w="1418" w:type="dxa"/>
            <w:vAlign w:val="center"/>
          </w:tcPr>
          <w:p w14:paraId="5A0961C3">
            <w:pPr>
              <w:pStyle w:val="326"/>
              <w:jc w:val="center"/>
              <w:rPr>
                <w:color w:val="auto"/>
                <w:sz w:val="18"/>
                <w:szCs w:val="18"/>
              </w:rPr>
            </w:pPr>
            <w:r>
              <w:rPr>
                <w:color w:val="auto"/>
                <w:sz w:val="18"/>
                <w:szCs w:val="18"/>
              </w:rPr>
              <w:t>√</w:t>
            </w:r>
          </w:p>
        </w:tc>
        <w:tc>
          <w:tcPr>
            <w:tcW w:w="1282" w:type="dxa"/>
            <w:vAlign w:val="center"/>
          </w:tcPr>
          <w:p w14:paraId="34F86A21">
            <w:pPr>
              <w:pStyle w:val="326"/>
              <w:jc w:val="center"/>
              <w:rPr>
                <w:color w:val="auto"/>
                <w:sz w:val="18"/>
                <w:szCs w:val="18"/>
              </w:rPr>
            </w:pPr>
            <w:r>
              <w:rPr>
                <w:color w:val="auto"/>
                <w:sz w:val="18"/>
                <w:szCs w:val="18"/>
              </w:rPr>
              <w:t>√</w:t>
            </w:r>
          </w:p>
        </w:tc>
        <w:tc>
          <w:tcPr>
            <w:tcW w:w="1383" w:type="dxa"/>
            <w:vAlign w:val="center"/>
          </w:tcPr>
          <w:p w14:paraId="390C4A3B">
            <w:pPr>
              <w:pStyle w:val="326"/>
              <w:jc w:val="center"/>
              <w:rPr>
                <w:color w:val="auto"/>
                <w:sz w:val="18"/>
                <w:szCs w:val="18"/>
              </w:rPr>
            </w:pPr>
            <w:r>
              <w:rPr>
                <w:color w:val="auto"/>
                <w:sz w:val="18"/>
                <w:szCs w:val="18"/>
              </w:rPr>
              <w:t>√</w:t>
            </w:r>
          </w:p>
        </w:tc>
        <w:tc>
          <w:tcPr>
            <w:tcW w:w="1383" w:type="dxa"/>
            <w:vAlign w:val="center"/>
          </w:tcPr>
          <w:p w14:paraId="278895E6">
            <w:pPr>
              <w:pStyle w:val="326"/>
              <w:jc w:val="center"/>
              <w:rPr>
                <w:color w:val="auto"/>
                <w:sz w:val="18"/>
                <w:szCs w:val="18"/>
              </w:rPr>
            </w:pPr>
            <w:r>
              <w:rPr>
                <w:color w:val="auto"/>
                <w:sz w:val="18"/>
                <w:szCs w:val="18"/>
              </w:rPr>
              <w:t>〇</w:t>
            </w:r>
          </w:p>
        </w:tc>
      </w:tr>
      <w:tr w14:paraId="0FD47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continue"/>
            <w:vAlign w:val="center"/>
          </w:tcPr>
          <w:p w14:paraId="07A55703">
            <w:pPr>
              <w:pStyle w:val="326"/>
              <w:jc w:val="center"/>
              <w:rPr>
                <w:color w:val="auto"/>
                <w:sz w:val="18"/>
                <w:szCs w:val="18"/>
              </w:rPr>
            </w:pPr>
          </w:p>
        </w:tc>
        <w:tc>
          <w:tcPr>
            <w:tcW w:w="1391" w:type="dxa"/>
            <w:vAlign w:val="center"/>
          </w:tcPr>
          <w:p w14:paraId="6D07C310">
            <w:pPr>
              <w:pStyle w:val="326"/>
              <w:jc w:val="center"/>
              <w:rPr>
                <w:color w:val="auto"/>
                <w:sz w:val="18"/>
                <w:szCs w:val="18"/>
              </w:rPr>
            </w:pPr>
            <w:r>
              <w:rPr>
                <w:rFonts w:hint="eastAsia"/>
                <w:color w:val="auto"/>
                <w:sz w:val="18"/>
                <w:szCs w:val="18"/>
              </w:rPr>
              <w:t>交货检验</w:t>
            </w:r>
          </w:p>
        </w:tc>
        <w:tc>
          <w:tcPr>
            <w:tcW w:w="1418" w:type="dxa"/>
            <w:vAlign w:val="center"/>
          </w:tcPr>
          <w:p w14:paraId="5DD326C2">
            <w:pPr>
              <w:pStyle w:val="326"/>
              <w:jc w:val="center"/>
              <w:rPr>
                <w:color w:val="auto"/>
                <w:sz w:val="18"/>
                <w:szCs w:val="18"/>
              </w:rPr>
            </w:pPr>
            <w:r>
              <w:rPr>
                <w:rFonts w:hint="eastAsia"/>
                <w:color w:val="auto"/>
                <w:sz w:val="18"/>
                <w:szCs w:val="18"/>
              </w:rPr>
              <w:t>√</w:t>
            </w:r>
          </w:p>
        </w:tc>
        <w:tc>
          <w:tcPr>
            <w:tcW w:w="1282" w:type="dxa"/>
            <w:vAlign w:val="center"/>
          </w:tcPr>
          <w:p w14:paraId="0882DAB0">
            <w:pPr>
              <w:pStyle w:val="326"/>
              <w:jc w:val="center"/>
              <w:rPr>
                <w:color w:val="auto"/>
                <w:sz w:val="18"/>
                <w:szCs w:val="18"/>
              </w:rPr>
            </w:pPr>
            <w:r>
              <w:rPr>
                <w:rFonts w:hint="eastAsia"/>
                <w:color w:val="auto"/>
                <w:sz w:val="18"/>
                <w:szCs w:val="18"/>
              </w:rPr>
              <w:t>√</w:t>
            </w:r>
          </w:p>
        </w:tc>
        <w:tc>
          <w:tcPr>
            <w:tcW w:w="1383" w:type="dxa"/>
            <w:vAlign w:val="center"/>
          </w:tcPr>
          <w:p w14:paraId="1F0C4F3B">
            <w:pPr>
              <w:pStyle w:val="326"/>
              <w:jc w:val="center"/>
              <w:rPr>
                <w:color w:val="auto"/>
                <w:sz w:val="18"/>
                <w:szCs w:val="18"/>
              </w:rPr>
            </w:pPr>
            <w:r>
              <w:rPr>
                <w:rFonts w:hint="eastAsia"/>
                <w:color w:val="auto"/>
                <w:sz w:val="18"/>
                <w:szCs w:val="18"/>
              </w:rPr>
              <w:t>√</w:t>
            </w:r>
          </w:p>
        </w:tc>
        <w:tc>
          <w:tcPr>
            <w:tcW w:w="1383" w:type="dxa"/>
            <w:vAlign w:val="center"/>
          </w:tcPr>
          <w:p w14:paraId="3648543D">
            <w:pPr>
              <w:pStyle w:val="326"/>
              <w:jc w:val="center"/>
              <w:rPr>
                <w:color w:val="auto"/>
                <w:sz w:val="18"/>
                <w:szCs w:val="18"/>
              </w:rPr>
            </w:pPr>
            <w:r>
              <w:rPr>
                <w:rFonts w:hint="eastAsia"/>
                <w:color w:val="auto"/>
                <w:sz w:val="18"/>
                <w:szCs w:val="18"/>
              </w:rPr>
              <w:t>√</w:t>
            </w:r>
          </w:p>
        </w:tc>
      </w:tr>
    </w:tbl>
    <w:p w14:paraId="6610713B">
      <w:pPr>
        <w:pStyle w:val="326"/>
        <w:rPr>
          <w:color w:val="auto"/>
          <w:sz w:val="18"/>
          <w:szCs w:val="18"/>
        </w:rPr>
      </w:pPr>
      <w:bookmarkStart w:id="170" w:name="_Hlk143891799"/>
      <w:r>
        <w:rPr>
          <w:rFonts w:hint="eastAsia"/>
          <w:b/>
          <w:bCs/>
          <w:color w:val="auto"/>
          <w:sz w:val="18"/>
          <w:szCs w:val="18"/>
        </w:rPr>
        <w:t>注：</w:t>
      </w:r>
      <w:bookmarkEnd w:id="170"/>
      <w:r>
        <w:rPr>
          <w:rFonts w:hint="eastAsia"/>
          <w:color w:val="auto"/>
          <w:sz w:val="18"/>
          <w:szCs w:val="18"/>
        </w:rPr>
        <w:t>“√”为必检项目，“×”为无需检验项目，“〇”为可选检项目，由设计单位或供需双方协商确定</w:t>
      </w:r>
    </w:p>
    <w:p w14:paraId="1FD4D594">
      <w:pPr>
        <w:spacing w:line="360" w:lineRule="auto"/>
        <w:rPr>
          <w:rFonts w:ascii="Times New Roman" w:hAnsi="Times New Roman" w:cs="Times New Roman"/>
          <w:color w:val="auto"/>
          <w:szCs w:val="21"/>
        </w:rPr>
      </w:pPr>
    </w:p>
    <w:p w14:paraId="43124CE2">
      <w:pPr>
        <w:pStyle w:val="326"/>
        <w:rPr>
          <w:color w:val="auto"/>
          <w:szCs w:val="21"/>
        </w:rPr>
      </w:pPr>
      <w:r>
        <w:rPr>
          <w:rFonts w:hint="eastAsia"/>
          <w:b/>
          <w:bCs/>
          <w:color w:val="auto"/>
          <w:szCs w:val="21"/>
        </w:rPr>
        <w:t>1</w:t>
      </w:r>
      <w:r>
        <w:rPr>
          <w:b/>
          <w:bCs/>
          <w:color w:val="auto"/>
          <w:szCs w:val="21"/>
        </w:rPr>
        <w:t xml:space="preserve">0.4.2  </w:t>
      </w:r>
      <w:r>
        <w:rPr>
          <w:color w:val="auto"/>
          <w:szCs w:val="21"/>
        </w:rPr>
        <w:t>超高性能混凝土</w:t>
      </w:r>
      <w:r>
        <w:rPr>
          <w:rFonts w:hint="eastAsia"/>
          <w:color w:val="auto"/>
          <w:szCs w:val="21"/>
        </w:rPr>
        <w:t>基本性能指标实测项目应符合表</w:t>
      </w:r>
      <w:r>
        <w:rPr>
          <w:color w:val="auto"/>
          <w:szCs w:val="21"/>
        </w:rPr>
        <w:t>10.4.2的规定：</w:t>
      </w:r>
    </w:p>
    <w:p w14:paraId="301C43D5">
      <w:pPr>
        <w:pStyle w:val="326"/>
        <w:jc w:val="center"/>
        <w:rPr>
          <w:rFonts w:eastAsia="黑体"/>
          <w:color w:val="auto"/>
          <w:sz w:val="18"/>
          <w:szCs w:val="18"/>
        </w:rPr>
      </w:pPr>
      <w:r>
        <w:rPr>
          <w:rFonts w:eastAsia="黑体"/>
          <w:color w:val="auto"/>
          <w:sz w:val="18"/>
          <w:szCs w:val="18"/>
        </w:rPr>
        <w:t>表 10.4.2 超高性能混凝土</w:t>
      </w:r>
      <w:bookmarkStart w:id="171" w:name="_Hlk143888620"/>
      <w:r>
        <w:rPr>
          <w:rFonts w:eastAsia="黑体"/>
          <w:color w:val="auto"/>
          <w:sz w:val="18"/>
          <w:szCs w:val="18"/>
        </w:rPr>
        <w:t>基本性能指标实测项目</w:t>
      </w:r>
      <w:bookmarkEnd w:id="171"/>
    </w:p>
    <w:tbl>
      <w:tblPr>
        <w:tblStyle w:val="46"/>
        <w:tblW w:w="8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557"/>
        <w:gridCol w:w="1560"/>
        <w:gridCol w:w="4496"/>
      </w:tblGrid>
      <w:tr w14:paraId="26267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06" w:type="dxa"/>
            <w:vAlign w:val="center"/>
          </w:tcPr>
          <w:p w14:paraId="47631207">
            <w:pPr>
              <w:pStyle w:val="326"/>
              <w:jc w:val="center"/>
              <w:rPr>
                <w:color w:val="auto"/>
                <w:sz w:val="18"/>
                <w:szCs w:val="18"/>
              </w:rPr>
            </w:pPr>
            <w:r>
              <w:rPr>
                <w:color w:val="auto"/>
                <w:sz w:val="18"/>
                <w:szCs w:val="18"/>
              </w:rPr>
              <w:t>项次</w:t>
            </w:r>
          </w:p>
        </w:tc>
        <w:tc>
          <w:tcPr>
            <w:tcW w:w="1557" w:type="dxa"/>
            <w:vAlign w:val="center"/>
          </w:tcPr>
          <w:p w14:paraId="3EB7739B">
            <w:pPr>
              <w:pStyle w:val="326"/>
              <w:jc w:val="center"/>
              <w:rPr>
                <w:color w:val="auto"/>
                <w:sz w:val="18"/>
                <w:szCs w:val="18"/>
              </w:rPr>
            </w:pPr>
            <w:r>
              <w:rPr>
                <w:color w:val="auto"/>
                <w:sz w:val="18"/>
                <w:szCs w:val="18"/>
              </w:rPr>
              <w:t>项目</w:t>
            </w:r>
          </w:p>
        </w:tc>
        <w:tc>
          <w:tcPr>
            <w:tcW w:w="1560" w:type="dxa"/>
            <w:vAlign w:val="center"/>
          </w:tcPr>
          <w:p w14:paraId="1EDACBB7">
            <w:pPr>
              <w:pStyle w:val="326"/>
              <w:jc w:val="center"/>
              <w:rPr>
                <w:color w:val="auto"/>
                <w:sz w:val="18"/>
                <w:szCs w:val="18"/>
              </w:rPr>
            </w:pPr>
            <w:r>
              <w:rPr>
                <w:color w:val="auto"/>
                <w:sz w:val="18"/>
                <w:szCs w:val="18"/>
              </w:rPr>
              <w:t>规定值</w:t>
            </w:r>
          </w:p>
        </w:tc>
        <w:tc>
          <w:tcPr>
            <w:tcW w:w="4496" w:type="dxa"/>
            <w:vAlign w:val="center"/>
          </w:tcPr>
          <w:p w14:paraId="4AC5ED1E">
            <w:pPr>
              <w:pStyle w:val="326"/>
              <w:jc w:val="center"/>
              <w:rPr>
                <w:color w:val="auto"/>
                <w:sz w:val="18"/>
                <w:szCs w:val="18"/>
              </w:rPr>
            </w:pPr>
            <w:r>
              <w:rPr>
                <w:color w:val="auto"/>
                <w:sz w:val="18"/>
                <w:szCs w:val="18"/>
              </w:rPr>
              <w:t>检验方法和频率</w:t>
            </w:r>
          </w:p>
        </w:tc>
      </w:tr>
      <w:tr w14:paraId="2DE7B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706" w:type="dxa"/>
            <w:vAlign w:val="center"/>
          </w:tcPr>
          <w:p w14:paraId="2C92A993">
            <w:pPr>
              <w:pStyle w:val="326"/>
              <w:spacing w:line="240" w:lineRule="auto"/>
              <w:jc w:val="center"/>
              <w:rPr>
                <w:color w:val="auto"/>
                <w:sz w:val="18"/>
                <w:szCs w:val="18"/>
              </w:rPr>
            </w:pPr>
            <w:r>
              <w:rPr>
                <w:color w:val="auto"/>
                <w:sz w:val="18"/>
                <w:szCs w:val="18"/>
              </w:rPr>
              <w:t>1</w:t>
            </w:r>
          </w:p>
        </w:tc>
        <w:tc>
          <w:tcPr>
            <w:tcW w:w="1557" w:type="dxa"/>
            <w:vAlign w:val="center"/>
          </w:tcPr>
          <w:p w14:paraId="118034B6">
            <w:pPr>
              <w:pStyle w:val="326"/>
              <w:spacing w:line="240" w:lineRule="auto"/>
              <w:jc w:val="center"/>
              <w:rPr>
                <w:b/>
                <w:bCs/>
                <w:color w:val="auto"/>
                <w:sz w:val="18"/>
                <w:szCs w:val="18"/>
              </w:rPr>
            </w:pPr>
            <w:r>
              <w:rPr>
                <w:color w:val="auto"/>
                <w:sz w:val="18"/>
                <w:szCs w:val="18"/>
              </w:rPr>
              <w:t>抗压强度</w:t>
            </w:r>
          </w:p>
        </w:tc>
        <w:tc>
          <w:tcPr>
            <w:tcW w:w="1560" w:type="dxa"/>
            <w:vAlign w:val="center"/>
          </w:tcPr>
          <w:p w14:paraId="7E72E874">
            <w:pPr>
              <w:pStyle w:val="326"/>
              <w:spacing w:line="240" w:lineRule="auto"/>
              <w:jc w:val="center"/>
              <w:rPr>
                <w:b/>
                <w:bCs/>
                <w:color w:val="auto"/>
                <w:sz w:val="18"/>
                <w:szCs w:val="18"/>
              </w:rPr>
            </w:pPr>
            <w:r>
              <w:rPr>
                <w:color w:val="auto"/>
                <w:sz w:val="18"/>
                <w:szCs w:val="18"/>
              </w:rPr>
              <w:t>在合格标准内</w:t>
            </w:r>
          </w:p>
        </w:tc>
        <w:tc>
          <w:tcPr>
            <w:tcW w:w="4496" w:type="dxa"/>
            <w:vAlign w:val="center"/>
          </w:tcPr>
          <w:p w14:paraId="194CAF24">
            <w:pPr>
              <w:pStyle w:val="326"/>
              <w:spacing w:line="240" w:lineRule="auto"/>
              <w:jc w:val="center"/>
              <w:rPr>
                <w:b/>
                <w:bCs/>
                <w:color w:val="auto"/>
                <w:sz w:val="18"/>
                <w:szCs w:val="18"/>
              </w:rPr>
            </w:pPr>
            <w:r>
              <w:rPr>
                <w:color w:val="auto"/>
                <w:sz w:val="18"/>
                <w:szCs w:val="18"/>
              </w:rPr>
              <w:t>《超高性能混凝土梁式桥技术规程》T/CCES 27-2021附录 D：每 50m</w:t>
            </w:r>
            <w:r>
              <w:rPr>
                <w:color w:val="auto"/>
                <w:sz w:val="18"/>
                <w:szCs w:val="18"/>
                <w:vertAlign w:val="superscript"/>
              </w:rPr>
              <w:t>3</w:t>
            </w:r>
            <w:r>
              <w:rPr>
                <w:color w:val="auto"/>
                <w:sz w:val="18"/>
                <w:szCs w:val="18"/>
              </w:rPr>
              <w:t>检验一次</w:t>
            </w:r>
          </w:p>
        </w:tc>
      </w:tr>
      <w:tr w14:paraId="1C058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706" w:type="dxa"/>
            <w:vAlign w:val="center"/>
          </w:tcPr>
          <w:p w14:paraId="2E0E9CD8">
            <w:pPr>
              <w:pStyle w:val="326"/>
              <w:spacing w:line="240" w:lineRule="auto"/>
              <w:jc w:val="center"/>
              <w:rPr>
                <w:color w:val="auto"/>
                <w:sz w:val="18"/>
                <w:szCs w:val="18"/>
              </w:rPr>
            </w:pPr>
            <w:r>
              <w:rPr>
                <w:color w:val="auto"/>
                <w:sz w:val="18"/>
                <w:szCs w:val="18"/>
              </w:rPr>
              <w:t>2</w:t>
            </w:r>
          </w:p>
        </w:tc>
        <w:tc>
          <w:tcPr>
            <w:tcW w:w="1557" w:type="dxa"/>
            <w:vAlign w:val="center"/>
          </w:tcPr>
          <w:p w14:paraId="01A3C631">
            <w:pPr>
              <w:pStyle w:val="326"/>
              <w:spacing w:line="240" w:lineRule="auto"/>
              <w:jc w:val="center"/>
              <w:rPr>
                <w:b/>
                <w:bCs/>
                <w:color w:val="auto"/>
                <w:sz w:val="18"/>
                <w:szCs w:val="18"/>
              </w:rPr>
            </w:pPr>
            <w:r>
              <w:rPr>
                <w:color w:val="auto"/>
                <w:sz w:val="18"/>
                <w:szCs w:val="18"/>
              </w:rPr>
              <w:t>弯拉强度</w:t>
            </w:r>
          </w:p>
        </w:tc>
        <w:tc>
          <w:tcPr>
            <w:tcW w:w="1560" w:type="dxa"/>
            <w:vAlign w:val="center"/>
          </w:tcPr>
          <w:p w14:paraId="02F6F05D">
            <w:pPr>
              <w:pStyle w:val="326"/>
              <w:spacing w:line="240" w:lineRule="auto"/>
              <w:jc w:val="center"/>
              <w:rPr>
                <w:b/>
                <w:bCs/>
                <w:color w:val="auto"/>
                <w:sz w:val="18"/>
                <w:szCs w:val="18"/>
              </w:rPr>
            </w:pPr>
            <w:r>
              <w:rPr>
                <w:color w:val="auto"/>
                <w:sz w:val="18"/>
                <w:szCs w:val="18"/>
              </w:rPr>
              <w:t>在合格标准内</w:t>
            </w:r>
          </w:p>
        </w:tc>
        <w:tc>
          <w:tcPr>
            <w:tcW w:w="4496" w:type="dxa"/>
            <w:vAlign w:val="center"/>
          </w:tcPr>
          <w:p w14:paraId="566FD9DB">
            <w:pPr>
              <w:pStyle w:val="326"/>
              <w:spacing w:line="240" w:lineRule="auto"/>
              <w:jc w:val="center"/>
              <w:rPr>
                <w:b/>
                <w:bCs/>
                <w:color w:val="auto"/>
                <w:sz w:val="18"/>
                <w:szCs w:val="18"/>
              </w:rPr>
            </w:pPr>
            <w:r>
              <w:rPr>
                <w:color w:val="auto"/>
                <w:sz w:val="18"/>
                <w:szCs w:val="18"/>
              </w:rPr>
              <w:t>《超高性能混凝土梁式桥技术规程》T/CCES 27-2021附录 D：每 50m</w:t>
            </w:r>
            <w:r>
              <w:rPr>
                <w:color w:val="auto"/>
                <w:sz w:val="18"/>
                <w:szCs w:val="18"/>
                <w:vertAlign w:val="superscript"/>
              </w:rPr>
              <w:t>3</w:t>
            </w:r>
            <w:r>
              <w:rPr>
                <w:color w:val="auto"/>
                <w:sz w:val="18"/>
                <w:szCs w:val="18"/>
              </w:rPr>
              <w:t>检验一次</w:t>
            </w:r>
          </w:p>
        </w:tc>
      </w:tr>
      <w:tr w14:paraId="6715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706" w:type="dxa"/>
            <w:vAlign w:val="center"/>
          </w:tcPr>
          <w:p w14:paraId="1A846F0B">
            <w:pPr>
              <w:pStyle w:val="326"/>
              <w:spacing w:line="240" w:lineRule="auto"/>
              <w:jc w:val="center"/>
              <w:rPr>
                <w:color w:val="auto"/>
                <w:sz w:val="18"/>
                <w:szCs w:val="18"/>
              </w:rPr>
            </w:pPr>
            <w:r>
              <w:rPr>
                <w:color w:val="auto"/>
                <w:sz w:val="18"/>
                <w:szCs w:val="18"/>
              </w:rPr>
              <w:t>3</w:t>
            </w:r>
          </w:p>
        </w:tc>
        <w:tc>
          <w:tcPr>
            <w:tcW w:w="1557" w:type="dxa"/>
            <w:vAlign w:val="center"/>
          </w:tcPr>
          <w:p w14:paraId="65A4BB9B">
            <w:pPr>
              <w:pStyle w:val="326"/>
              <w:spacing w:line="240" w:lineRule="auto"/>
              <w:jc w:val="center"/>
              <w:rPr>
                <w:b/>
                <w:bCs/>
                <w:color w:val="auto"/>
                <w:sz w:val="18"/>
                <w:szCs w:val="18"/>
              </w:rPr>
            </w:pPr>
            <w:r>
              <w:rPr>
                <w:color w:val="auto"/>
                <w:sz w:val="18"/>
                <w:szCs w:val="18"/>
              </w:rPr>
              <w:t>轴拉性能</w:t>
            </w:r>
          </w:p>
        </w:tc>
        <w:tc>
          <w:tcPr>
            <w:tcW w:w="1560" w:type="dxa"/>
            <w:vAlign w:val="center"/>
          </w:tcPr>
          <w:p w14:paraId="7BBE1580">
            <w:pPr>
              <w:pStyle w:val="326"/>
              <w:spacing w:line="240" w:lineRule="auto"/>
              <w:jc w:val="center"/>
              <w:rPr>
                <w:b/>
                <w:bCs/>
                <w:color w:val="auto"/>
                <w:sz w:val="18"/>
                <w:szCs w:val="18"/>
              </w:rPr>
            </w:pPr>
            <w:r>
              <w:rPr>
                <w:color w:val="auto"/>
                <w:sz w:val="18"/>
                <w:szCs w:val="18"/>
              </w:rPr>
              <w:t>在合格标准内</w:t>
            </w:r>
          </w:p>
        </w:tc>
        <w:tc>
          <w:tcPr>
            <w:tcW w:w="4496" w:type="dxa"/>
            <w:vAlign w:val="center"/>
          </w:tcPr>
          <w:p w14:paraId="464BDACB">
            <w:pPr>
              <w:pStyle w:val="326"/>
              <w:spacing w:line="240" w:lineRule="auto"/>
              <w:jc w:val="center"/>
              <w:rPr>
                <w:b/>
                <w:bCs/>
                <w:color w:val="auto"/>
                <w:sz w:val="18"/>
                <w:szCs w:val="18"/>
              </w:rPr>
            </w:pPr>
            <w:r>
              <w:rPr>
                <w:color w:val="auto"/>
                <w:sz w:val="18"/>
                <w:szCs w:val="18"/>
              </w:rPr>
              <w:t>《超高性能混凝土梁式桥技术规程》T/CCES 27-2021附录 A、附录 D：确定施工配合比、材料或配合比发生重大变化时检验一次</w:t>
            </w:r>
          </w:p>
        </w:tc>
      </w:tr>
      <w:tr w14:paraId="6AE5E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706" w:type="dxa"/>
            <w:vAlign w:val="center"/>
          </w:tcPr>
          <w:p w14:paraId="3BB69CE4">
            <w:pPr>
              <w:pStyle w:val="326"/>
              <w:spacing w:line="240" w:lineRule="auto"/>
              <w:jc w:val="center"/>
              <w:rPr>
                <w:color w:val="auto"/>
                <w:sz w:val="18"/>
                <w:szCs w:val="18"/>
              </w:rPr>
            </w:pPr>
            <w:r>
              <w:rPr>
                <w:color w:val="auto"/>
                <w:sz w:val="18"/>
                <w:szCs w:val="18"/>
              </w:rPr>
              <w:t>4</w:t>
            </w:r>
          </w:p>
        </w:tc>
        <w:tc>
          <w:tcPr>
            <w:tcW w:w="1557" w:type="dxa"/>
            <w:vAlign w:val="center"/>
          </w:tcPr>
          <w:p w14:paraId="67ADB204">
            <w:pPr>
              <w:pStyle w:val="326"/>
              <w:spacing w:line="240" w:lineRule="auto"/>
              <w:jc w:val="center"/>
              <w:rPr>
                <w:b/>
                <w:bCs/>
                <w:color w:val="auto"/>
                <w:sz w:val="18"/>
                <w:szCs w:val="18"/>
              </w:rPr>
            </w:pPr>
            <w:r>
              <w:rPr>
                <w:color w:val="auto"/>
                <w:sz w:val="18"/>
                <w:szCs w:val="18"/>
              </w:rPr>
              <w:t>坍落扩展度（mm）</w:t>
            </w:r>
          </w:p>
        </w:tc>
        <w:tc>
          <w:tcPr>
            <w:tcW w:w="1560" w:type="dxa"/>
            <w:vAlign w:val="center"/>
          </w:tcPr>
          <w:p w14:paraId="0D931F78">
            <w:pPr>
              <w:pStyle w:val="326"/>
              <w:spacing w:line="240" w:lineRule="auto"/>
              <w:jc w:val="center"/>
              <w:rPr>
                <w:b/>
                <w:bCs/>
                <w:color w:val="auto"/>
                <w:sz w:val="18"/>
                <w:szCs w:val="18"/>
              </w:rPr>
            </w:pPr>
            <w:r>
              <w:rPr>
                <w:color w:val="auto"/>
                <w:sz w:val="18"/>
                <w:szCs w:val="18"/>
              </w:rPr>
              <w:t>≥550</w:t>
            </w:r>
          </w:p>
        </w:tc>
        <w:tc>
          <w:tcPr>
            <w:tcW w:w="4496" w:type="dxa"/>
            <w:vAlign w:val="center"/>
          </w:tcPr>
          <w:p w14:paraId="602AF42A">
            <w:pPr>
              <w:pStyle w:val="326"/>
              <w:spacing w:line="240" w:lineRule="auto"/>
              <w:jc w:val="center"/>
              <w:rPr>
                <w:b/>
                <w:bCs/>
                <w:color w:val="auto"/>
                <w:sz w:val="18"/>
                <w:szCs w:val="18"/>
              </w:rPr>
            </w:pPr>
            <w:r>
              <w:rPr>
                <w:color w:val="auto"/>
                <w:sz w:val="18"/>
                <w:szCs w:val="18"/>
              </w:rPr>
              <w:t>《纤维混凝土应用技术规程》 JGJ/T 221：每一批次检验一次</w:t>
            </w:r>
          </w:p>
        </w:tc>
      </w:tr>
    </w:tbl>
    <w:p w14:paraId="11657BF3">
      <w:pPr>
        <w:pStyle w:val="326"/>
        <w:rPr>
          <w:b/>
          <w:bCs/>
          <w:color w:val="auto"/>
          <w:szCs w:val="21"/>
        </w:rPr>
      </w:pPr>
      <w:bookmarkStart w:id="172" w:name="_Hlk143891936"/>
    </w:p>
    <w:p w14:paraId="7D50CBB3">
      <w:pPr>
        <w:pStyle w:val="326"/>
        <w:rPr>
          <w:color w:val="auto"/>
          <w:szCs w:val="21"/>
        </w:rPr>
      </w:pPr>
      <w:r>
        <w:rPr>
          <w:rFonts w:hint="eastAsia"/>
          <w:b/>
          <w:bCs/>
          <w:color w:val="auto"/>
          <w:szCs w:val="21"/>
        </w:rPr>
        <w:t>1</w:t>
      </w:r>
      <w:r>
        <w:rPr>
          <w:b/>
          <w:bCs/>
          <w:color w:val="auto"/>
          <w:szCs w:val="21"/>
        </w:rPr>
        <w:t xml:space="preserve">0.4.3  </w:t>
      </w:r>
      <w:r>
        <w:rPr>
          <w:rFonts w:hint="eastAsia"/>
          <w:color w:val="auto"/>
          <w:szCs w:val="21"/>
        </w:rPr>
        <w:t>超高性能混凝土材料及预制板外观形态与质量应符合下列要求：</w:t>
      </w:r>
    </w:p>
    <w:bookmarkEnd w:id="172"/>
    <w:p w14:paraId="1FA39B99">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 xml:space="preserve"> 超高性能混凝土干混料应无结团和受潮现象。</w:t>
      </w:r>
    </w:p>
    <w:p w14:paraId="629502F0">
      <w:pPr>
        <w:spacing w:line="360" w:lineRule="auto"/>
        <w:ind w:firstLine="420"/>
        <w:rPr>
          <w:rFonts w:ascii="Times New Roman" w:hAnsi="Times New Roman" w:eastAsia="宋体" w:cs="Times New Roman"/>
          <w:color w:val="auto"/>
          <w:szCs w:val="21"/>
        </w:rPr>
      </w:pPr>
      <w:r>
        <w:rPr>
          <w:rFonts w:ascii="Times New Roman" w:hAnsi="Times New Roman" w:eastAsia="宋体" w:cs="Times New Roman"/>
          <w:color w:val="auto"/>
          <w:szCs w:val="21"/>
        </w:rPr>
        <w:t>2 振捣充分和保湿养护后，超高性能混凝土应均匀完好，且不应有龟裂现</w:t>
      </w:r>
      <w:r>
        <w:rPr>
          <w:rFonts w:hint="eastAsia" w:ascii="Times New Roman" w:hAnsi="Times New Roman" w:eastAsia="宋体" w:cs="Times New Roman"/>
          <w:color w:val="auto"/>
          <w:szCs w:val="21"/>
        </w:rPr>
        <w:t>象。</w:t>
      </w:r>
    </w:p>
    <w:p w14:paraId="099EA089">
      <w:pPr>
        <w:spacing w:line="360" w:lineRule="auto"/>
        <w:ind w:firstLine="420"/>
        <w:rPr>
          <w:rFonts w:ascii="Times New Roman" w:hAnsi="Times New Roman" w:eastAsia="宋体" w:cs="Times New Roman"/>
          <w:color w:val="auto"/>
          <w:szCs w:val="21"/>
        </w:rPr>
      </w:pPr>
      <w:r>
        <w:rPr>
          <w:rFonts w:ascii="Times New Roman" w:hAnsi="Times New Roman" w:eastAsia="宋体" w:cs="Times New Roman"/>
          <w:color w:val="auto"/>
          <w:szCs w:val="21"/>
        </w:rPr>
        <w:t>3 蒸汽养护完成后，超高性能混凝土层应均匀完好且无收缩裂纹。</w:t>
      </w:r>
    </w:p>
    <w:p w14:paraId="2581581A">
      <w:pPr>
        <w:spacing w:line="360" w:lineRule="auto"/>
        <w:ind w:firstLine="420"/>
        <w:rPr>
          <w:rFonts w:ascii="Times New Roman" w:hAnsi="Times New Roman" w:eastAsia="宋体" w:cs="Times New Roman"/>
          <w:color w:val="auto"/>
          <w:szCs w:val="21"/>
        </w:rPr>
      </w:pPr>
      <w:r>
        <w:rPr>
          <w:rFonts w:ascii="Times New Roman" w:hAnsi="Times New Roman" w:eastAsia="宋体" w:cs="Times New Roman"/>
          <w:color w:val="auto"/>
          <w:szCs w:val="21"/>
        </w:rPr>
        <w:t>4 超高性能混凝土</w:t>
      </w:r>
      <w:r>
        <w:rPr>
          <w:rFonts w:hint="eastAsia" w:ascii="Times New Roman" w:hAnsi="Times New Roman" w:eastAsia="宋体" w:cs="Times New Roman"/>
          <w:color w:val="auto"/>
          <w:szCs w:val="21"/>
        </w:rPr>
        <w:t>板底板上表面及腹板</w:t>
      </w:r>
      <w:r>
        <w:rPr>
          <w:rFonts w:ascii="Times New Roman" w:hAnsi="Times New Roman" w:eastAsia="宋体" w:cs="Times New Roman"/>
          <w:color w:val="auto"/>
          <w:szCs w:val="21"/>
        </w:rPr>
        <w:t>侧面凿毛处理后，表面粗糙，断面上有</w:t>
      </w:r>
      <w:r>
        <w:rPr>
          <w:rFonts w:hint="eastAsia" w:ascii="Times New Roman" w:hAnsi="Times New Roman" w:eastAsia="宋体" w:cs="Times New Roman"/>
          <w:color w:val="auto"/>
          <w:szCs w:val="21"/>
        </w:rPr>
        <w:t>大量钢纤维裸露在外。</w:t>
      </w:r>
    </w:p>
    <w:p w14:paraId="6E1D96FD">
      <w:pPr>
        <w:pStyle w:val="326"/>
        <w:rPr>
          <w:color w:val="auto"/>
          <w:szCs w:val="21"/>
        </w:rPr>
      </w:pPr>
      <w:r>
        <w:rPr>
          <w:rFonts w:hint="eastAsia"/>
          <w:b/>
          <w:bCs/>
          <w:color w:val="auto"/>
          <w:szCs w:val="21"/>
        </w:rPr>
        <w:t>1</w:t>
      </w:r>
      <w:r>
        <w:rPr>
          <w:b/>
          <w:bCs/>
          <w:color w:val="auto"/>
          <w:szCs w:val="21"/>
        </w:rPr>
        <w:t xml:space="preserve">0.4.4  </w:t>
      </w:r>
      <w:r>
        <w:rPr>
          <w:rFonts w:hint="eastAsia"/>
          <w:color w:val="auto"/>
          <w:szCs w:val="21"/>
        </w:rPr>
        <w:t>超高性能混凝土板现场安装后外观质量应符合下列要求：</w:t>
      </w:r>
    </w:p>
    <w:p w14:paraId="003654EF">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桥梁的内外轮廓线形应无异常突变。</w:t>
      </w:r>
    </w:p>
    <w:p w14:paraId="3F651364">
      <w:pPr>
        <w:spacing w:line="360" w:lineRule="auto"/>
        <w:ind w:firstLine="420"/>
        <w:rPr>
          <w:rFonts w:ascii="Times New Roman" w:hAnsi="Times New Roman" w:eastAsia="宋体" w:cs="Times New Roman"/>
          <w:color w:val="auto"/>
          <w:szCs w:val="21"/>
        </w:rPr>
      </w:pPr>
      <w:r>
        <w:rPr>
          <w:rFonts w:ascii="Times New Roman" w:hAnsi="Times New Roman" w:eastAsia="宋体" w:cs="Times New Roman"/>
          <w:color w:val="auto"/>
          <w:szCs w:val="21"/>
        </w:rPr>
        <w:t>2 超高性能混凝土</w:t>
      </w:r>
      <w:r>
        <w:rPr>
          <w:rFonts w:hint="eastAsia" w:ascii="Times New Roman" w:hAnsi="Times New Roman" w:eastAsia="宋体" w:cs="Times New Roman"/>
          <w:color w:val="auto"/>
          <w:szCs w:val="21"/>
        </w:rPr>
        <w:t>板底不得出现超过设计规定的受力裂缝</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采用肉眼观察、读数放大镜观测的方式对所有表观裂缝进行检测。</w:t>
      </w:r>
    </w:p>
    <w:p w14:paraId="23A5B082">
      <w:pPr>
        <w:pStyle w:val="2"/>
        <w:spacing w:before="312" w:after="312"/>
        <w:rPr>
          <w:color w:val="auto"/>
        </w:rPr>
      </w:pPr>
      <w:bookmarkStart w:id="173" w:name="_Toc11311"/>
      <w:bookmarkStart w:id="174" w:name="_Toc15973"/>
      <w:bookmarkStart w:id="175" w:name="_Toc3138"/>
      <w:r>
        <w:rPr>
          <w:rFonts w:hint="eastAsia"/>
          <w:color w:val="auto"/>
        </w:rPr>
        <w:t>用词说明</w:t>
      </w:r>
      <w:bookmarkEnd w:id="173"/>
      <w:bookmarkEnd w:id="174"/>
      <w:bookmarkEnd w:id="175"/>
    </w:p>
    <w:p w14:paraId="2671308A">
      <w:pPr>
        <w:spacing w:line="360" w:lineRule="auto"/>
        <w:rPr>
          <w:rFonts w:ascii="Times New Roman" w:hAnsi="Times New Roman" w:eastAsia="宋体" w:cs="Times New Roman"/>
          <w:color w:val="auto"/>
          <w:szCs w:val="21"/>
        </w:rPr>
      </w:pPr>
      <w:r>
        <w:rPr>
          <w:rFonts w:ascii="Times New Roman" w:hAnsi="Times New Roman" w:eastAsia="宋体" w:cs="Times New Roman"/>
          <w:b/>
          <w:bCs/>
          <w:color w:val="auto"/>
          <w:szCs w:val="21"/>
        </w:rPr>
        <w:t>1</w:t>
      </w:r>
      <w:r>
        <w:rPr>
          <w:rFonts w:hint="eastAsia" w:ascii="Times New Roman" w:hAnsi="Times New Roman" w:eastAsia="宋体" w:cs="Times New Roman"/>
          <w:b/>
          <w:bCs/>
          <w:color w:val="auto"/>
          <w:szCs w:val="21"/>
        </w:rPr>
        <w:t>.0.1</w:t>
      </w:r>
      <w:r>
        <w:rPr>
          <w:rFonts w:ascii="Times New Roman" w:hAnsi="Times New Roman" w:eastAsia="宋体" w:cs="Times New Roman"/>
          <w:b/>
          <w:bCs/>
          <w:color w:val="auto"/>
          <w:szCs w:val="21"/>
        </w:rPr>
        <w:t xml:space="preserve"> </w:t>
      </w:r>
      <w:r>
        <w:rPr>
          <w:rFonts w:hint="eastAsia" w:ascii="Times New Roman" w:hAnsi="Times New Roman" w:eastAsia="宋体" w:cs="Times New Roman"/>
          <w:color w:val="auto"/>
          <w:szCs w:val="21"/>
        </w:rPr>
        <w:t xml:space="preserve"> 执行本规程条文时，对于要求严格程度的用词说明如下，以便在执行中区别对待。 </w:t>
      </w:r>
    </w:p>
    <w:p w14:paraId="5F5FD248">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1 表示很严格，非这样做不可的用词：</w:t>
      </w:r>
    </w:p>
    <w:p w14:paraId="7A12FE2D">
      <w:pPr>
        <w:spacing w:line="360" w:lineRule="auto"/>
        <w:ind w:firstLine="630" w:firstLineChars="300"/>
        <w:rPr>
          <w:rFonts w:ascii="Times New Roman" w:hAnsi="Times New Roman" w:eastAsia="宋体" w:cs="Times New Roman"/>
          <w:color w:val="auto"/>
          <w:szCs w:val="21"/>
        </w:rPr>
      </w:pPr>
      <w:r>
        <w:rPr>
          <w:rFonts w:hint="eastAsia" w:ascii="Times New Roman" w:hAnsi="Times New Roman" w:eastAsia="宋体" w:cs="Times New Roman"/>
          <w:color w:val="auto"/>
          <w:szCs w:val="21"/>
        </w:rPr>
        <w:t>正面词采用</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必须</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w:t>
      </w:r>
    </w:p>
    <w:p w14:paraId="45AE0560">
      <w:pPr>
        <w:spacing w:line="360" w:lineRule="auto"/>
        <w:ind w:firstLine="630" w:firstLineChars="300"/>
        <w:rPr>
          <w:rFonts w:ascii="Times New Roman" w:hAnsi="Times New Roman" w:eastAsia="宋体" w:cs="Times New Roman"/>
          <w:color w:val="auto"/>
          <w:szCs w:val="21"/>
        </w:rPr>
      </w:pPr>
      <w:r>
        <w:rPr>
          <w:rFonts w:hint="eastAsia" w:ascii="Times New Roman" w:hAnsi="Times New Roman" w:eastAsia="宋体" w:cs="Times New Roman"/>
          <w:color w:val="auto"/>
          <w:szCs w:val="21"/>
        </w:rPr>
        <w:t>反面词采用</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严禁</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w:t>
      </w:r>
    </w:p>
    <w:p w14:paraId="4011059F">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2 表示严格，在正常情况下均应这样做的用词：</w:t>
      </w:r>
    </w:p>
    <w:p w14:paraId="6811851E">
      <w:pPr>
        <w:spacing w:line="360" w:lineRule="auto"/>
        <w:ind w:firstLine="630" w:firstLineChars="300"/>
        <w:rPr>
          <w:rFonts w:ascii="Times New Roman" w:hAnsi="Times New Roman" w:eastAsia="宋体" w:cs="Times New Roman"/>
          <w:color w:val="auto"/>
          <w:szCs w:val="21"/>
        </w:rPr>
      </w:pPr>
      <w:r>
        <w:rPr>
          <w:rFonts w:hint="eastAsia" w:ascii="Times New Roman" w:hAnsi="Times New Roman" w:eastAsia="宋体" w:cs="Times New Roman"/>
          <w:color w:val="auto"/>
          <w:szCs w:val="21"/>
        </w:rPr>
        <w:t>正面词采用</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应</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w:t>
      </w:r>
    </w:p>
    <w:p w14:paraId="032CC05F">
      <w:pPr>
        <w:spacing w:line="360" w:lineRule="auto"/>
        <w:ind w:firstLine="630" w:firstLineChars="300"/>
        <w:rPr>
          <w:rFonts w:ascii="Times New Roman" w:hAnsi="Times New Roman" w:eastAsia="宋体" w:cs="Times New Roman"/>
          <w:color w:val="auto"/>
          <w:szCs w:val="21"/>
        </w:rPr>
      </w:pPr>
      <w:r>
        <w:rPr>
          <w:rFonts w:hint="eastAsia" w:ascii="Times New Roman" w:hAnsi="Times New Roman" w:eastAsia="宋体" w:cs="Times New Roman"/>
          <w:color w:val="auto"/>
          <w:szCs w:val="21"/>
        </w:rPr>
        <w:t>反面词采用</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不应</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或</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不得</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w:t>
      </w:r>
    </w:p>
    <w:p w14:paraId="66DCA246">
      <w:pPr>
        <w:spacing w:line="360" w:lineRule="auto"/>
        <w:ind w:firstLine="420"/>
        <w:rPr>
          <w:rFonts w:ascii="Times New Roman" w:hAnsi="Times New Roman" w:eastAsia="宋体" w:cs="Times New Roman"/>
          <w:color w:val="auto"/>
          <w:szCs w:val="21"/>
        </w:rPr>
      </w:pP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 xml:space="preserve"> 表示允许稍有选择，在条件许可时首先应这样做的用词：</w:t>
      </w:r>
    </w:p>
    <w:p w14:paraId="394A4640">
      <w:pPr>
        <w:spacing w:line="360" w:lineRule="auto"/>
        <w:ind w:firstLine="630" w:firstLineChars="300"/>
        <w:rPr>
          <w:rFonts w:ascii="Times New Roman" w:hAnsi="Times New Roman" w:eastAsia="宋体" w:cs="Times New Roman"/>
          <w:color w:val="auto"/>
          <w:szCs w:val="21"/>
        </w:rPr>
      </w:pPr>
      <w:r>
        <w:rPr>
          <w:rFonts w:hint="eastAsia" w:ascii="Times New Roman" w:hAnsi="Times New Roman" w:eastAsia="宋体" w:cs="Times New Roman"/>
          <w:color w:val="auto"/>
          <w:szCs w:val="21"/>
        </w:rPr>
        <w:t>正面词采用</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宜</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或“可”；</w:t>
      </w:r>
    </w:p>
    <w:p w14:paraId="7175E887">
      <w:pPr>
        <w:spacing w:line="360" w:lineRule="auto"/>
        <w:ind w:firstLine="630" w:firstLineChars="300"/>
        <w:rPr>
          <w:rFonts w:ascii="Times New Roman" w:hAnsi="Times New Roman" w:eastAsia="宋体" w:cs="Times New Roman"/>
          <w:color w:val="auto"/>
          <w:szCs w:val="21"/>
        </w:rPr>
      </w:pPr>
      <w:r>
        <w:rPr>
          <w:rFonts w:hint="eastAsia" w:ascii="Times New Roman" w:hAnsi="Times New Roman" w:eastAsia="宋体" w:cs="Times New Roman"/>
          <w:color w:val="auto"/>
          <w:szCs w:val="21"/>
        </w:rPr>
        <w:t>反面词采用</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不宜</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w:t>
      </w:r>
    </w:p>
    <w:p w14:paraId="536676BB">
      <w:pPr>
        <w:spacing w:line="360" w:lineRule="auto"/>
        <w:rPr>
          <w:rFonts w:ascii="Times New Roman" w:hAnsi="Times New Roman" w:eastAsia="宋体" w:cs="Times New Roman"/>
          <w:color w:val="auto"/>
          <w:szCs w:val="21"/>
        </w:rPr>
      </w:pPr>
      <w:r>
        <w:rPr>
          <w:rFonts w:hint="eastAsia" w:ascii="Times New Roman" w:hAnsi="Times New Roman" w:eastAsia="宋体" w:cs="Times New Roman"/>
          <w:b/>
          <w:bCs/>
          <w:color w:val="auto"/>
          <w:szCs w:val="21"/>
        </w:rPr>
        <w:t>1.0.2</w:t>
      </w:r>
      <w:r>
        <w:rPr>
          <w:rFonts w:hint="eastAsia" w:ascii="Times New Roman" w:hAnsi="Times New Roman" w:eastAsia="宋体" w:cs="Times New Roman"/>
          <w:color w:val="auto"/>
          <w:szCs w:val="21"/>
        </w:rPr>
        <w:t xml:space="preserve"> </w:t>
      </w:r>
      <w:r>
        <w:rPr>
          <w:rFonts w:ascii="Times New Roman" w:hAnsi="Times New Roman" w:eastAsia="宋体" w:cs="Times New Roman"/>
          <w:color w:val="auto"/>
          <w:szCs w:val="21"/>
        </w:rPr>
        <w:t xml:space="preserve"> </w:t>
      </w:r>
      <w:r>
        <w:rPr>
          <w:rFonts w:hint="eastAsia" w:ascii="Times New Roman" w:hAnsi="Times New Roman" w:eastAsia="宋体" w:cs="Times New Roman"/>
          <w:color w:val="auto"/>
          <w:szCs w:val="21"/>
        </w:rPr>
        <w:t>规程中指定应按其他有关标准、规范执行时，写法为：</w:t>
      </w:r>
    </w:p>
    <w:p w14:paraId="1CE5CF29">
      <w:pPr>
        <w:spacing w:line="360" w:lineRule="auto"/>
        <w:ind w:firstLine="630" w:firstLineChars="300"/>
        <w:rPr>
          <w:rFonts w:ascii="Times New Roman" w:hAnsi="Times New Roman" w:eastAsia="宋体" w:cs="Times New Roman"/>
          <w:color w:val="auto"/>
          <w:szCs w:val="21"/>
        </w:rPr>
      </w:pPr>
      <w:r>
        <w:rPr>
          <w:rFonts w:hint="eastAsia" w:ascii="Times New Roman" w:hAnsi="Times New Roman" w:eastAsia="宋体" w:cs="Times New Roman"/>
          <w:color w:val="auto"/>
          <w:szCs w:val="21"/>
        </w:rPr>
        <w:t>“应按……执行”或“应符合……的要求</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或规定</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w:t>
      </w:r>
    </w:p>
    <w:p w14:paraId="37490899">
      <w:pPr>
        <w:spacing w:line="360" w:lineRule="auto"/>
        <w:ind w:firstLine="630" w:firstLineChars="300"/>
        <w:rPr>
          <w:rFonts w:ascii="Times New Roman" w:hAnsi="Times New Roman" w:eastAsia="宋体" w:cs="Times New Roman"/>
          <w:color w:val="auto"/>
          <w:szCs w:val="21"/>
        </w:rPr>
      </w:pPr>
      <w:r>
        <w:rPr>
          <w:rFonts w:hint="eastAsia" w:ascii="Times New Roman" w:hAnsi="Times New Roman" w:eastAsia="宋体" w:cs="Times New Roman"/>
          <w:color w:val="auto"/>
          <w:szCs w:val="21"/>
        </w:rPr>
        <w:t>如非必须按指定的标准、规范的规定执行时，写法为“可参照……执行”</w:t>
      </w:r>
    </w:p>
    <w:p w14:paraId="07DBB1F9">
      <w:pPr>
        <w:spacing w:line="360" w:lineRule="auto"/>
        <w:ind w:firstLine="420"/>
        <w:rPr>
          <w:rFonts w:ascii="Times New Roman" w:hAnsi="Times New Roman" w:eastAsia="宋体" w:cs="Times New Roman"/>
          <w:color w:val="auto"/>
          <w:szCs w:val="21"/>
        </w:rPr>
      </w:pPr>
    </w:p>
    <w:p w14:paraId="12474F83">
      <w:pPr>
        <w:spacing w:line="360" w:lineRule="auto"/>
        <w:ind w:firstLine="420"/>
        <w:rPr>
          <w:rFonts w:ascii="Times New Roman" w:hAnsi="Times New Roman" w:eastAsia="宋体" w:cs="Times New Roman"/>
          <w:color w:val="auto"/>
          <w:szCs w:val="21"/>
        </w:rPr>
      </w:pPr>
    </w:p>
    <w:p w14:paraId="54C214F4">
      <w:pPr>
        <w:spacing w:line="360" w:lineRule="auto"/>
        <w:ind w:firstLine="420"/>
        <w:rPr>
          <w:rFonts w:ascii="Times New Roman" w:hAnsi="Times New Roman" w:eastAsia="宋体" w:cs="Times New Roman"/>
          <w:color w:val="auto"/>
          <w:szCs w:val="21"/>
        </w:rPr>
      </w:pPr>
    </w:p>
    <w:p w14:paraId="34AAAF9B">
      <w:pPr>
        <w:spacing w:line="360" w:lineRule="auto"/>
        <w:ind w:firstLine="420"/>
        <w:rPr>
          <w:rFonts w:ascii="Times New Roman" w:hAnsi="Times New Roman" w:eastAsia="宋体" w:cs="Times New Roman"/>
          <w:color w:val="auto"/>
          <w:szCs w:val="21"/>
        </w:rPr>
      </w:pPr>
    </w:p>
    <w:p w14:paraId="131F946B">
      <w:pPr>
        <w:spacing w:line="360" w:lineRule="auto"/>
        <w:ind w:firstLine="420"/>
        <w:rPr>
          <w:rFonts w:ascii="Times New Roman" w:hAnsi="Times New Roman" w:eastAsia="宋体" w:cs="Times New Roman"/>
          <w:color w:val="auto"/>
          <w:szCs w:val="21"/>
        </w:rPr>
      </w:pPr>
    </w:p>
    <w:p w14:paraId="3D8D8ECF">
      <w:pPr>
        <w:spacing w:line="360" w:lineRule="auto"/>
        <w:ind w:firstLine="420"/>
        <w:rPr>
          <w:rFonts w:ascii="Times New Roman" w:hAnsi="Times New Roman" w:eastAsia="宋体" w:cs="Times New Roman"/>
          <w:color w:val="auto"/>
          <w:szCs w:val="21"/>
        </w:rPr>
      </w:pPr>
    </w:p>
    <w:p w14:paraId="7AAC6F0A">
      <w:pPr>
        <w:spacing w:line="360" w:lineRule="auto"/>
        <w:ind w:firstLine="420"/>
        <w:rPr>
          <w:rFonts w:ascii="Times New Roman" w:hAnsi="Times New Roman" w:eastAsia="宋体" w:cs="Times New Roman"/>
          <w:color w:val="auto"/>
          <w:szCs w:val="21"/>
        </w:rPr>
      </w:pPr>
    </w:p>
    <w:p w14:paraId="442CDCA7">
      <w:pPr>
        <w:spacing w:line="360" w:lineRule="auto"/>
        <w:ind w:firstLine="420"/>
        <w:rPr>
          <w:rFonts w:ascii="Times New Roman" w:hAnsi="Times New Roman" w:eastAsia="宋体" w:cs="Times New Roman"/>
          <w:color w:val="auto"/>
          <w:szCs w:val="21"/>
        </w:rPr>
      </w:pPr>
    </w:p>
    <w:p w14:paraId="0819BCA0">
      <w:pPr>
        <w:pStyle w:val="2"/>
        <w:spacing w:before="312" w:after="312"/>
        <w:rPr>
          <w:color w:val="auto"/>
        </w:rPr>
      </w:pPr>
      <w:bookmarkStart w:id="176" w:name="_Toc21687"/>
      <w:bookmarkStart w:id="177" w:name="_Toc9155"/>
      <w:bookmarkStart w:id="178" w:name="_Toc3137"/>
      <w:r>
        <w:rPr>
          <w:rFonts w:hint="eastAsia"/>
          <w:color w:val="auto"/>
        </w:rPr>
        <w:t>引用标准名录</w:t>
      </w:r>
      <w:bookmarkEnd w:id="176"/>
      <w:bookmarkEnd w:id="177"/>
      <w:bookmarkEnd w:id="178"/>
    </w:p>
    <w:p w14:paraId="5E660450">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1 《混凝土结构设计规范》 GB 50010</w:t>
      </w:r>
    </w:p>
    <w:p w14:paraId="0AC06821">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2 《普通混凝土拌合物性能试验方法标准》 GB/T 50080</w:t>
      </w:r>
    </w:p>
    <w:p w14:paraId="12675F28">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3 《普通混凝土长期性能和耐久性能试验方法标准》 GB/T 50082</w:t>
      </w:r>
    </w:p>
    <w:p w14:paraId="22BA389B">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4 《混凝土强度检验评定标准》 GB/T 50107</w:t>
      </w:r>
    </w:p>
    <w:p w14:paraId="5D1A5930">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5 《混凝土质量控制标准》 GB 50164</w:t>
      </w:r>
    </w:p>
    <w:p w14:paraId="56DC8032">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6 《混凝土结构耐久性设计标准》 GB/T 50476</w:t>
      </w:r>
    </w:p>
    <w:p w14:paraId="642EDE5F">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7 《混凝土结构工程施工质量验收规范》（GB 50204）</w:t>
      </w:r>
    </w:p>
    <w:p w14:paraId="7515C50A">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8 《水泥标准稠度用水量、凝结时间、安定性检验方法》 GB/T 1346</w:t>
      </w:r>
    </w:p>
    <w:p w14:paraId="5F350B5D">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9 《公路工程水泥及水泥混凝土试验规程》 JTG 3420</w:t>
      </w:r>
    </w:p>
    <w:p w14:paraId="1101DD02">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10 《混凝土泵送施工技术规程》 JGJ/T 10</w:t>
      </w:r>
    </w:p>
    <w:p w14:paraId="0F8850A0">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11 《纤维混凝土应用技术规程》 JGJ/T 221</w:t>
      </w:r>
    </w:p>
    <w:p w14:paraId="7B89B4C2">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12 《自密实混凝土应用技术规程》 JGJ/T 283</w:t>
      </w:r>
    </w:p>
    <w:p w14:paraId="6CE85DE0">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13 《活性粉末混凝土》 GB/T 31387</w:t>
      </w:r>
    </w:p>
    <w:p w14:paraId="29664DB1">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14 《公路桥涵设计通用规范》 JTG D60</w:t>
      </w:r>
    </w:p>
    <w:p w14:paraId="54BF47C1">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15 《公路钢筋混凝土及预应力混凝土桥涵设计规范》 JTG 3362</w:t>
      </w:r>
    </w:p>
    <w:p w14:paraId="4930A9C1">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16 《公路工程混凝土结构耐久性设计规范》 JTG/T 3310</w:t>
      </w:r>
    </w:p>
    <w:p w14:paraId="6AED2781">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17 《公路桥涵施工技术规范》 JTG/T 3650</w:t>
      </w:r>
    </w:p>
    <w:p w14:paraId="27116A43">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18 《公路工程质量检验评定标准 第一册 土建工程》 JTG F80/1</w:t>
      </w:r>
    </w:p>
    <w:p w14:paraId="6226637B">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19 《城市桥梁设计规范（2019年版）》CJJ 11-2011</w:t>
      </w:r>
    </w:p>
    <w:p w14:paraId="75C34909">
      <w:pPr>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20 《城市桥梁工程施工与质量验收规范》CJJ2-2023</w:t>
      </w:r>
    </w:p>
    <w:p w14:paraId="5FD5D8ED">
      <w:pPr>
        <w:spacing w:line="360" w:lineRule="auto"/>
        <w:ind w:firstLine="420"/>
        <w:rPr>
          <w:rFonts w:hint="eastAsia"/>
          <w:color w:val="auto"/>
        </w:rPr>
      </w:pPr>
      <w:r>
        <w:rPr>
          <w:rFonts w:hint="eastAsia" w:ascii="Times New Roman" w:hAnsi="Times New Roman" w:eastAsia="宋体" w:cs="Times New Roman"/>
          <w:color w:val="auto"/>
          <w:szCs w:val="21"/>
        </w:rPr>
        <w:t>21 《超高性能混凝土梁式桥技术规程》T/CCES 27-2021</w:t>
      </w:r>
    </w:p>
    <w:p w14:paraId="29EFE347">
      <w:pPr>
        <w:rPr>
          <w:rFonts w:hint="eastAsia"/>
          <w:color w:val="auto"/>
        </w:rPr>
      </w:pPr>
    </w:p>
    <w:p w14:paraId="72EED2D6">
      <w:pPr>
        <w:rPr>
          <w:rFonts w:hint="eastAsia"/>
          <w:color w:val="auto"/>
        </w:rPr>
      </w:pPr>
    </w:p>
    <w:p w14:paraId="4F1B56D9">
      <w:pPr>
        <w:rPr>
          <w:rFonts w:hint="eastAsia"/>
          <w:color w:val="auto"/>
        </w:rPr>
      </w:pPr>
      <w:r>
        <w:rPr>
          <w:rFonts w:hint="eastAsia"/>
          <w:color w:val="auto"/>
        </w:rPr>
        <w:br w:type="page"/>
      </w:r>
    </w:p>
    <w:p w14:paraId="66DFAD74">
      <w:pPr>
        <w:widowControl/>
        <w:jc w:val="center"/>
        <w:rPr>
          <w:rFonts w:hint="eastAsia"/>
          <w:b/>
          <w:color w:val="auto"/>
          <w:sz w:val="32"/>
          <w:szCs w:val="32"/>
        </w:rPr>
      </w:pPr>
    </w:p>
    <w:p w14:paraId="2E0E2730">
      <w:pPr>
        <w:widowControl/>
        <w:jc w:val="center"/>
        <w:rPr>
          <w:rFonts w:hint="eastAsia"/>
          <w:b/>
          <w:color w:val="auto"/>
          <w:sz w:val="32"/>
          <w:szCs w:val="32"/>
        </w:rPr>
      </w:pPr>
    </w:p>
    <w:p w14:paraId="7002336D">
      <w:pPr>
        <w:widowControl/>
        <w:jc w:val="center"/>
        <w:rPr>
          <w:rFonts w:hint="eastAsia"/>
          <w:b/>
          <w:color w:val="auto"/>
          <w:sz w:val="32"/>
          <w:szCs w:val="32"/>
        </w:rPr>
      </w:pPr>
      <w:r>
        <w:rPr>
          <w:rFonts w:hint="eastAsia" w:ascii="黑体" w:hAnsi="黑体" w:eastAsia="黑体"/>
          <w:color w:val="auto"/>
          <w:sz w:val="44"/>
          <w:szCs w:val="44"/>
        </w:rPr>
        <w:t>广西壮族自治区工程建设地方标准</w:t>
      </w:r>
    </w:p>
    <w:p w14:paraId="1F7BD862">
      <w:pPr>
        <w:widowControl/>
        <w:jc w:val="center"/>
        <w:rPr>
          <w:rFonts w:hint="eastAsia"/>
          <w:b/>
          <w:color w:val="auto"/>
          <w:sz w:val="32"/>
          <w:szCs w:val="32"/>
        </w:rPr>
      </w:pPr>
    </w:p>
    <w:p w14:paraId="6D28DDC6">
      <w:pPr>
        <w:pStyle w:val="28"/>
        <w:rPr>
          <w:b/>
          <w:color w:val="auto"/>
          <w:sz w:val="32"/>
          <w:szCs w:val="32"/>
        </w:rPr>
      </w:pPr>
    </w:p>
    <w:p w14:paraId="53D0DB48">
      <w:pPr>
        <w:pStyle w:val="28"/>
        <w:rPr>
          <w:b/>
          <w:color w:val="auto"/>
          <w:sz w:val="32"/>
          <w:szCs w:val="32"/>
        </w:rPr>
      </w:pPr>
    </w:p>
    <w:p w14:paraId="0E7937CB">
      <w:pPr>
        <w:pStyle w:val="28"/>
        <w:rPr>
          <w:b/>
          <w:color w:val="auto"/>
          <w:sz w:val="32"/>
          <w:szCs w:val="32"/>
        </w:rPr>
      </w:pPr>
    </w:p>
    <w:p w14:paraId="5B5E2A08">
      <w:pPr>
        <w:pStyle w:val="28"/>
        <w:rPr>
          <w:b/>
          <w:color w:val="auto"/>
          <w:sz w:val="32"/>
          <w:szCs w:val="32"/>
        </w:rPr>
      </w:pPr>
    </w:p>
    <w:p w14:paraId="467F5317">
      <w:pPr>
        <w:pStyle w:val="28"/>
        <w:rPr>
          <w:b/>
          <w:color w:val="auto"/>
          <w:sz w:val="32"/>
          <w:szCs w:val="32"/>
        </w:rPr>
      </w:pPr>
    </w:p>
    <w:p w14:paraId="1DA37F8F">
      <w:pPr>
        <w:pStyle w:val="28"/>
        <w:rPr>
          <w:b/>
          <w:color w:val="auto"/>
          <w:sz w:val="32"/>
          <w:szCs w:val="32"/>
        </w:rPr>
      </w:pPr>
    </w:p>
    <w:p w14:paraId="24616180">
      <w:pPr>
        <w:pStyle w:val="28"/>
        <w:rPr>
          <w:b/>
          <w:color w:val="auto"/>
          <w:sz w:val="32"/>
          <w:szCs w:val="32"/>
        </w:rPr>
      </w:pPr>
    </w:p>
    <w:p w14:paraId="46E62917">
      <w:pPr>
        <w:pStyle w:val="333"/>
        <w:rPr>
          <w:color w:val="auto"/>
        </w:rPr>
      </w:pPr>
      <w:r>
        <w:rPr>
          <w:rFonts w:hint="eastAsia"/>
          <w:color w:val="auto"/>
        </w:rPr>
        <w:t>超高性能混凝土 - 普通混凝土组合式盖板结构技术规程</w:t>
      </w:r>
    </w:p>
    <w:p w14:paraId="06C33D09">
      <w:pPr>
        <w:pStyle w:val="333"/>
        <w:rPr>
          <w:color w:val="auto"/>
        </w:rPr>
      </w:pPr>
    </w:p>
    <w:p w14:paraId="0B094868">
      <w:pPr>
        <w:pStyle w:val="333"/>
        <w:rPr>
          <w:color w:val="auto"/>
        </w:rPr>
      </w:pPr>
      <w:r>
        <w:rPr>
          <w:rFonts w:hint="eastAsia"/>
          <w:color w:val="auto"/>
        </w:rPr>
        <w:t>条文说明</w:t>
      </w:r>
    </w:p>
    <w:p w14:paraId="7E2B71DA">
      <w:pPr>
        <w:rPr>
          <w:rFonts w:hint="eastAsia"/>
          <w:color w:val="auto"/>
        </w:rPr>
      </w:pPr>
    </w:p>
    <w:p w14:paraId="63BBC19D">
      <w:pPr>
        <w:pStyle w:val="2"/>
        <w:spacing w:before="312" w:after="312"/>
        <w:rPr>
          <w:color w:val="auto"/>
        </w:rPr>
      </w:pPr>
      <w:bookmarkStart w:id="179" w:name="_Toc17244"/>
      <w:bookmarkStart w:id="180" w:name="_Toc11617"/>
      <w:bookmarkStart w:id="181" w:name="_Toc3120"/>
      <w:r>
        <w:rPr>
          <w:rFonts w:hint="eastAsia"/>
          <w:color w:val="auto"/>
        </w:rPr>
        <w:t>附：条文说明</w:t>
      </w:r>
      <w:bookmarkEnd w:id="179"/>
      <w:bookmarkEnd w:id="180"/>
      <w:bookmarkEnd w:id="181"/>
    </w:p>
    <w:p w14:paraId="34FF82F8">
      <w:pPr>
        <w:numPr>
          <w:ilvl w:val="2"/>
          <w:numId w:val="0"/>
        </w:numPr>
        <w:spacing w:line="360" w:lineRule="auto"/>
        <w:jc w:val="center"/>
        <w:outlineLvl w:val="2"/>
        <w:rPr>
          <w:rFonts w:ascii="Times New Roman" w:hAnsi="Times New Roman" w:eastAsia="宋体"/>
          <w:b/>
          <w:color w:val="auto"/>
          <w:sz w:val="28"/>
          <w:szCs w:val="28"/>
        </w:rPr>
      </w:pPr>
      <w:r>
        <w:rPr>
          <w:rFonts w:hint="eastAsia" w:ascii="Times New Roman" w:hAnsi="Times New Roman" w:eastAsia="宋体"/>
          <w:b/>
          <w:color w:val="auto"/>
          <w:sz w:val="28"/>
          <w:szCs w:val="28"/>
        </w:rPr>
        <w:t>1  总则</w:t>
      </w:r>
    </w:p>
    <w:p w14:paraId="49504341">
      <w:pPr>
        <w:numPr>
          <w:ilvl w:val="2"/>
          <w:numId w:val="0"/>
        </w:numPr>
        <w:spacing w:line="360" w:lineRule="auto"/>
        <w:outlineLvl w:val="2"/>
        <w:rPr>
          <w:rFonts w:ascii="Times New Roman" w:hAnsi="Times New Roman" w:eastAsia="宋体"/>
          <w:bCs/>
          <w:color w:val="auto"/>
          <w:szCs w:val="21"/>
        </w:rPr>
      </w:pPr>
      <w:r>
        <w:rPr>
          <w:rFonts w:hint="eastAsia" w:ascii="Times New Roman" w:hAnsi="Times New Roman" w:eastAsia="宋体"/>
          <w:b/>
          <w:color w:val="auto"/>
          <w:szCs w:val="21"/>
        </w:rPr>
        <w:t xml:space="preserve">1.0.1  </w:t>
      </w:r>
      <w:r>
        <w:rPr>
          <w:rFonts w:hint="eastAsia" w:ascii="Times New Roman" w:hAnsi="Times New Roman" w:eastAsia="宋体"/>
          <w:bCs/>
          <w:color w:val="auto"/>
          <w:szCs w:val="21"/>
        </w:rPr>
        <w:t>中、小桥及涵洞“量大面广”，是市政工程、公路工程的重要组成部分。城市道路6m以下跨径下穿通道一般设计为混凝土盖板涵的形式。</w:t>
      </w:r>
    </w:p>
    <w:p w14:paraId="2730E251">
      <w:pPr>
        <w:numPr>
          <w:ilvl w:val="2"/>
          <w:numId w:val="0"/>
        </w:numPr>
        <w:spacing w:line="360" w:lineRule="auto"/>
        <w:ind w:firstLine="420" w:firstLineChars="200"/>
        <w:outlineLvl w:val="2"/>
        <w:rPr>
          <w:rFonts w:ascii="Times New Roman" w:hAnsi="Times New Roman" w:eastAsia="宋体"/>
          <w:bCs/>
          <w:color w:val="auto"/>
          <w:szCs w:val="21"/>
        </w:rPr>
      </w:pPr>
      <w:r>
        <w:rPr>
          <w:rFonts w:hint="eastAsia" w:ascii="Times New Roman" w:hAnsi="Times New Roman" w:eastAsia="宋体"/>
          <w:bCs/>
          <w:color w:val="auto"/>
          <w:szCs w:val="21"/>
        </w:rPr>
        <w:t>从近年来混凝土盖板涵的实际应用情况来看，存在着设计跨度小、板间渗水、跨中横向裂缝多以及盖板涵吊装吨位大等问题。交通运输部颁布盖板涵标准图跨径一般在6m以内，在一些车辆及行人通行密度较大区域维持两个车道仍显紧张；混凝土箱涵跨度可以增加，但一般只能采用搭设支架、现浇混凝土的方式，由于混凝土箱涵结构设计要求两侧涵墙及顶板上面配筋，显然存在钢筋用量较大，造价高、施工繁琐、工期长等缺点。</w:t>
      </w:r>
    </w:p>
    <w:p w14:paraId="1966FEC4">
      <w:pPr>
        <w:numPr>
          <w:ilvl w:val="2"/>
          <w:numId w:val="0"/>
        </w:numPr>
        <w:spacing w:line="360" w:lineRule="auto"/>
        <w:ind w:firstLine="420" w:firstLineChars="200"/>
        <w:outlineLvl w:val="2"/>
        <w:rPr>
          <w:rFonts w:ascii="Times New Roman" w:hAnsi="Times New Roman" w:eastAsia="宋体"/>
          <w:bCs/>
          <w:color w:val="auto"/>
          <w:szCs w:val="21"/>
        </w:rPr>
      </w:pPr>
      <w:r>
        <w:rPr>
          <w:rFonts w:hint="eastAsia" w:ascii="Times New Roman" w:hAnsi="Times New Roman" w:eastAsia="宋体"/>
          <w:bCs/>
          <w:color w:val="auto"/>
          <w:szCs w:val="21"/>
        </w:rPr>
        <w:t>超高性能混凝土具有超高抗压强度、极佳抗拉性能和良好的耐久性。将超高性能混凝土材料运用到配筋盖板结构设计当中，利用其优越的材料性能简化结构设计，形成的超高性能混凝土-普通混凝土组合式盖板结构，在不明显增加造价的情况下，可有效提高结构耐久性能、抗裂性能，适应更大的跨径和较高的填土，而且结构装配化可大大加快施工速度，减少对城市交通的干扰，也契合国家大力发展装配式建筑的政策导向。</w:t>
      </w:r>
    </w:p>
    <w:p w14:paraId="1F4867AB">
      <w:pPr>
        <w:numPr>
          <w:ilvl w:val="2"/>
          <w:numId w:val="0"/>
        </w:numPr>
        <w:spacing w:line="360" w:lineRule="auto"/>
        <w:ind w:firstLine="420" w:firstLineChars="200"/>
        <w:outlineLvl w:val="2"/>
        <w:rPr>
          <w:rFonts w:ascii="Times New Roman" w:hAnsi="Times New Roman" w:eastAsia="宋体"/>
          <w:bCs/>
          <w:color w:val="auto"/>
          <w:szCs w:val="21"/>
        </w:rPr>
      </w:pPr>
      <w:r>
        <w:rPr>
          <w:rFonts w:hint="eastAsia" w:ascii="Times New Roman" w:hAnsi="Times New Roman" w:eastAsia="宋体"/>
          <w:bCs/>
          <w:color w:val="auto"/>
          <w:szCs w:val="21"/>
        </w:rPr>
        <w:t>制定《超高性能混凝土-普通混凝土组合式盖板结构技术规程》，对适应城市发展需求，加快市政工程中下穿通道工程施工，提升城市通道工程舒适性，意义重大。</w:t>
      </w:r>
    </w:p>
    <w:p w14:paraId="37BDC305">
      <w:pPr>
        <w:numPr>
          <w:ilvl w:val="2"/>
          <w:numId w:val="0"/>
        </w:numPr>
        <w:spacing w:line="360" w:lineRule="auto"/>
        <w:ind w:firstLine="420" w:firstLineChars="200"/>
        <w:outlineLvl w:val="2"/>
        <w:rPr>
          <w:rFonts w:ascii="Times New Roman" w:hAnsi="Times New Roman" w:eastAsia="宋体"/>
          <w:bCs/>
          <w:color w:val="auto"/>
          <w:szCs w:val="21"/>
        </w:rPr>
      </w:pPr>
      <w:r>
        <w:rPr>
          <w:rFonts w:hint="eastAsia" w:ascii="Times New Roman" w:hAnsi="Times New Roman" w:eastAsia="宋体"/>
          <w:bCs/>
          <w:color w:val="auto"/>
          <w:szCs w:val="21"/>
        </w:rPr>
        <w:t>图1示出超高性能混凝土-普通混凝土组合式盖板结构的两种设计形式，由倒“π”型或倒“T”型超高性能混凝土板和上浇普通混凝土组成矩形组合式盖板结构。超高性能混凝土板一般在工厂预制，运输至现场安装就位后，上浇普通混凝土即形成组合式盖板结构。</w:t>
      </w:r>
    </w:p>
    <w:tbl>
      <w:tblPr>
        <w:tblStyle w:val="4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84"/>
        <w:gridCol w:w="3640"/>
      </w:tblGrid>
      <w:tr w14:paraId="307AF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9" w:hRule="atLeast"/>
        </w:trPr>
        <w:tc>
          <w:tcPr>
            <w:tcW w:w="4684" w:type="dxa"/>
          </w:tcPr>
          <w:p w14:paraId="05EF5DA1">
            <w:pPr>
              <w:jc w:val="center"/>
              <w:rPr>
                <w:rFonts w:ascii="Times New Roman" w:hAnsi="Times New Roman" w:eastAsia="宋体"/>
                <w:color w:val="auto"/>
                <w:szCs w:val="21"/>
              </w:rPr>
            </w:pPr>
            <w:r>
              <w:rPr>
                <w:rFonts w:ascii="Times New Roman" w:hAnsi="Times New Roman" w:eastAsia="宋体"/>
                <w:color w:val="auto"/>
                <w:szCs w:val="21"/>
              </w:rPr>
              <w:drawing>
                <wp:inline distT="0" distB="0" distL="0" distR="0">
                  <wp:extent cx="2511425" cy="1362075"/>
                  <wp:effectExtent l="0" t="0" r="3175" b="0"/>
                  <wp:docPr id="14" name="图片 14" descr="D:\YBGK User\Desktop\盖板结构技术规程\总则图示意\总则图示意1\幻灯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YBGK User\Desktop\盖板结构技术规程\总则图示意\总则图示意1\幻灯片1.JPG"/>
                          <pic:cNvPicPr>
                            <a:picLocks noChangeAspect="1" noChangeArrowheads="1"/>
                          </pic:cNvPicPr>
                        </pic:nvPicPr>
                        <pic:blipFill>
                          <a:blip r:embed="rId255" cstate="print">
                            <a:extLst>
                              <a:ext uri="{28A0092B-C50C-407E-A947-70E740481C1C}">
                                <a14:useLocalDpi xmlns:a14="http://schemas.microsoft.com/office/drawing/2010/main" val="0"/>
                              </a:ext>
                            </a:extLst>
                          </a:blip>
                          <a:srcRect l="7909" t="11384" r="7338" b="6920"/>
                          <a:stretch>
                            <a:fillRect/>
                          </a:stretch>
                        </pic:blipFill>
                        <pic:spPr>
                          <a:xfrm>
                            <a:off x="0" y="0"/>
                            <a:ext cx="2533934" cy="1373957"/>
                          </a:xfrm>
                          <a:prstGeom prst="rect">
                            <a:avLst/>
                          </a:prstGeom>
                          <a:noFill/>
                          <a:ln>
                            <a:noFill/>
                          </a:ln>
                        </pic:spPr>
                      </pic:pic>
                    </a:graphicData>
                  </a:graphic>
                </wp:inline>
              </w:drawing>
            </w:r>
          </w:p>
        </w:tc>
        <w:tc>
          <w:tcPr>
            <w:tcW w:w="3640" w:type="dxa"/>
            <w:vAlign w:val="bottom"/>
          </w:tcPr>
          <w:p w14:paraId="4AE78F8D">
            <w:pPr>
              <w:jc w:val="center"/>
              <w:rPr>
                <w:rFonts w:ascii="Times New Roman" w:hAnsi="Times New Roman" w:eastAsia="宋体"/>
                <w:color w:val="auto"/>
                <w:szCs w:val="21"/>
              </w:rPr>
            </w:pPr>
            <w:r>
              <w:rPr>
                <w:rFonts w:ascii="Times New Roman" w:hAnsi="Times New Roman" w:eastAsia="宋体"/>
                <w:color w:val="auto"/>
                <w:szCs w:val="21"/>
              </w:rPr>
              <w:drawing>
                <wp:inline distT="0" distB="0" distL="0" distR="0">
                  <wp:extent cx="1866900" cy="1363980"/>
                  <wp:effectExtent l="0" t="0" r="0" b="7620"/>
                  <wp:docPr id="15" name="图片 15" descr="D:\YBGK User\Desktop\盖板结构技术规程\总则图示意\总则图示意1\幻灯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YBGK User\Desktop\盖板结构技术规程\总则图示意\总则图示意1\幻灯片2.JPG"/>
                          <pic:cNvPicPr>
                            <a:picLocks noChangeAspect="1" noChangeArrowheads="1"/>
                          </pic:cNvPicPr>
                        </pic:nvPicPr>
                        <pic:blipFill>
                          <a:blip r:embed="rId256" cstate="print">
                            <a:extLst>
                              <a:ext uri="{28A0092B-C50C-407E-A947-70E740481C1C}">
                                <a14:useLocalDpi xmlns:a14="http://schemas.microsoft.com/office/drawing/2010/main" val="0"/>
                              </a:ext>
                            </a:extLst>
                          </a:blip>
                          <a:srcRect l="13275" t="16189" r="27530" b="6925"/>
                          <a:stretch>
                            <a:fillRect/>
                          </a:stretch>
                        </pic:blipFill>
                        <pic:spPr>
                          <a:xfrm>
                            <a:off x="0" y="0"/>
                            <a:ext cx="1885561" cy="1377641"/>
                          </a:xfrm>
                          <a:prstGeom prst="rect">
                            <a:avLst/>
                          </a:prstGeom>
                          <a:noFill/>
                          <a:ln>
                            <a:noFill/>
                          </a:ln>
                        </pic:spPr>
                      </pic:pic>
                    </a:graphicData>
                  </a:graphic>
                </wp:inline>
              </w:drawing>
            </w:r>
          </w:p>
        </w:tc>
      </w:tr>
      <w:tr w14:paraId="177C3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84" w:type="dxa"/>
          </w:tcPr>
          <w:p w14:paraId="789E1B60">
            <w:pPr>
              <w:jc w:val="center"/>
              <w:rPr>
                <w:rFonts w:hint="eastAsia" w:eastAsia="黑体" w:asciiTheme="majorHAnsi" w:hAnsiTheme="majorHAnsi" w:cstheme="majorBidi"/>
                <w:color w:val="auto"/>
                <w:sz w:val="18"/>
                <w:szCs w:val="20"/>
              </w:rPr>
            </w:pPr>
            <w:r>
              <w:rPr>
                <w:rFonts w:ascii="Times New Roman" w:hAnsi="Times New Roman" w:eastAsia="黑体" w:cs="Times New Roman"/>
                <w:color w:val="auto"/>
                <w:sz w:val="18"/>
                <w:szCs w:val="20"/>
              </w:rPr>
              <w:t>（a）</w:t>
            </w:r>
            <w:r>
              <w:rPr>
                <w:rFonts w:hint="eastAsia" w:ascii="Times New Roman" w:hAnsi="Times New Roman" w:eastAsia="黑体" w:cs="Times New Roman"/>
                <w:color w:val="auto"/>
                <w:sz w:val="18"/>
                <w:szCs w:val="20"/>
              </w:rPr>
              <w:t>倒</w:t>
            </w:r>
            <w:r>
              <w:rPr>
                <w:rFonts w:ascii="Times New Roman" w:hAnsi="Times New Roman" w:eastAsia="黑体" w:cs="Times New Roman"/>
                <w:color w:val="auto"/>
                <w:sz w:val="18"/>
                <w:szCs w:val="20"/>
              </w:rPr>
              <w:t>“π”形</w:t>
            </w:r>
          </w:p>
        </w:tc>
        <w:tc>
          <w:tcPr>
            <w:tcW w:w="3640" w:type="dxa"/>
          </w:tcPr>
          <w:p w14:paraId="648D3021">
            <w:pPr>
              <w:jc w:val="center"/>
              <w:rPr>
                <w:rFonts w:hint="eastAsia" w:eastAsia="黑体" w:asciiTheme="majorHAnsi" w:hAnsiTheme="majorHAnsi" w:cstheme="majorBidi"/>
                <w:color w:val="auto"/>
                <w:sz w:val="18"/>
                <w:szCs w:val="20"/>
              </w:rPr>
            </w:pPr>
            <w:r>
              <w:rPr>
                <w:rFonts w:ascii="Times New Roman" w:hAnsi="Times New Roman" w:eastAsia="黑体" w:cs="Times New Roman"/>
                <w:color w:val="auto"/>
                <w:sz w:val="18"/>
                <w:szCs w:val="20"/>
              </w:rPr>
              <w:t>（b）</w:t>
            </w:r>
            <w:r>
              <w:rPr>
                <w:rFonts w:hint="eastAsia" w:ascii="Times New Roman" w:hAnsi="Times New Roman" w:eastAsia="黑体" w:cs="Times New Roman"/>
                <w:color w:val="auto"/>
                <w:sz w:val="18"/>
                <w:szCs w:val="20"/>
              </w:rPr>
              <w:t>倒</w:t>
            </w:r>
            <w:r>
              <w:rPr>
                <w:rFonts w:ascii="Times New Roman" w:hAnsi="Times New Roman" w:eastAsia="黑体" w:cs="Times New Roman"/>
                <w:color w:val="auto"/>
                <w:sz w:val="18"/>
                <w:szCs w:val="20"/>
              </w:rPr>
              <w:t>“T”形</w:t>
            </w:r>
          </w:p>
        </w:tc>
      </w:tr>
    </w:tbl>
    <w:p w14:paraId="1471C14B">
      <w:pPr>
        <w:pStyle w:val="28"/>
        <w:rPr>
          <w:rFonts w:ascii="Times New Roman" w:hAnsi="Times New Roman" w:cstheme="minorBidi"/>
          <w:bCs/>
          <w:color w:val="auto"/>
          <w:szCs w:val="21"/>
          <w:highlight w:val="yellow"/>
        </w:rPr>
      </w:pPr>
    </w:p>
    <w:p w14:paraId="6B111A9B">
      <w:pPr>
        <w:pStyle w:val="28"/>
        <w:jc w:val="center"/>
        <w:rPr>
          <w:rFonts w:hint="eastAsia" w:ascii="宋体" w:hAnsi="宋体" w:cs="宋体"/>
          <w:b/>
          <w:color w:val="auto"/>
          <w:sz w:val="18"/>
          <w:szCs w:val="18"/>
        </w:rPr>
      </w:pPr>
      <w:r>
        <w:rPr>
          <w:rFonts w:hint="eastAsia" w:ascii="宋体" w:hAnsi="宋体" w:cs="宋体"/>
          <w:b/>
          <w:color w:val="auto"/>
          <w:sz w:val="18"/>
          <w:szCs w:val="18"/>
        </w:rPr>
        <w:t>图1 超高性能混凝土-普通混凝土组合式盖板结构</w:t>
      </w:r>
    </w:p>
    <w:p w14:paraId="0A36ADA3">
      <w:pPr>
        <w:pStyle w:val="28"/>
        <w:jc w:val="center"/>
        <w:rPr>
          <w:rFonts w:hint="eastAsia" w:ascii="宋体" w:hAnsi="宋体" w:cs="宋体"/>
          <w:b/>
          <w:color w:val="auto"/>
          <w:szCs w:val="21"/>
          <w:highlight w:val="yellow"/>
        </w:rPr>
      </w:pPr>
    </w:p>
    <w:p w14:paraId="6EB00D78">
      <w:pPr>
        <w:spacing w:line="360" w:lineRule="auto"/>
        <w:rPr>
          <w:rFonts w:hint="eastAsia" w:ascii="宋体" w:hAnsi="宋体" w:eastAsia="宋体" w:cs="宋体"/>
          <w:color w:val="auto"/>
        </w:rPr>
      </w:pPr>
      <w:r>
        <w:rPr>
          <w:rFonts w:hint="eastAsia" w:ascii="Times New Roman" w:hAnsi="Times New Roman" w:eastAsia="宋体"/>
          <w:b/>
          <w:color w:val="auto"/>
          <w:szCs w:val="21"/>
        </w:rPr>
        <w:t xml:space="preserve">1.0.2  </w:t>
      </w:r>
      <w:r>
        <w:rPr>
          <w:rFonts w:hint="eastAsia" w:ascii="宋体" w:hAnsi="宋体" w:eastAsia="宋体" w:cs="宋体"/>
          <w:color w:val="auto"/>
        </w:rPr>
        <w:t>本规程适用于广西区市政工程采用超高性能混凝土-普通混凝土组合式盖板结构新建或改扩建的永久性下穿通道工程中的设计、施工与质量验收。</w:t>
      </w:r>
    </w:p>
    <w:p w14:paraId="7301AAD4">
      <w:pPr>
        <w:spacing w:line="360" w:lineRule="auto"/>
        <w:rPr>
          <w:rFonts w:ascii="Times New Roman" w:hAnsi="Times New Roman" w:eastAsia="宋体" w:cs="Times New Roman"/>
          <w:color w:val="auto"/>
        </w:rPr>
      </w:pPr>
      <w:r>
        <w:rPr>
          <w:rFonts w:ascii="Times New Roman" w:hAnsi="Times New Roman" w:eastAsia="宋体" w:cs="Times New Roman"/>
          <w:b/>
          <w:bCs/>
          <w:color w:val="auto"/>
        </w:rPr>
        <w:t xml:space="preserve">1.0.4 </w:t>
      </w:r>
      <w:r>
        <w:rPr>
          <w:rFonts w:hint="eastAsia" w:ascii="宋体" w:hAnsi="宋体" w:eastAsia="宋体" w:cs="宋体"/>
          <w:color w:val="auto"/>
        </w:rPr>
        <w:t xml:space="preserve"> </w:t>
      </w:r>
      <w:r>
        <w:rPr>
          <w:rFonts w:ascii="Times New Roman" w:hAnsi="Times New Roman" w:eastAsia="宋体" w:cs="Times New Roman"/>
          <w:color w:val="auto"/>
        </w:rPr>
        <w:t>超高性能混凝土-普通混凝土组合式盖板结构的设计遵循了现行《公路工程结构可靠度设计统一标准》（JTG 2120）的规定。本条文参考了现行行业标准《城市桥梁设计规范（2019年版）》</w:t>
      </w:r>
      <w:r>
        <w:rPr>
          <w:rFonts w:hint="eastAsia" w:ascii="Times New Roman" w:hAnsi="Times New Roman" w:eastAsia="宋体" w:cs="Times New Roman"/>
          <w:color w:val="auto"/>
        </w:rPr>
        <w:t>（</w:t>
      </w:r>
      <w:r>
        <w:rPr>
          <w:rFonts w:ascii="Times New Roman" w:hAnsi="Times New Roman" w:eastAsia="宋体" w:cs="Times New Roman"/>
          <w:color w:val="auto"/>
        </w:rPr>
        <w:t>CJJ 11-2011</w:t>
      </w:r>
      <w:r>
        <w:rPr>
          <w:rFonts w:hint="eastAsia" w:ascii="Times New Roman" w:hAnsi="Times New Roman" w:eastAsia="宋体" w:cs="Times New Roman"/>
          <w:color w:val="auto"/>
        </w:rPr>
        <w:t>）</w:t>
      </w:r>
      <w:r>
        <w:rPr>
          <w:rFonts w:ascii="Times New Roman" w:hAnsi="Times New Roman" w:eastAsia="宋体" w:cs="Times New Roman"/>
          <w:color w:val="auto"/>
        </w:rPr>
        <w:t>的规定：极限状态设计采用了分项系数的表达方式，其中，作用设计值由作用标准值乘以相应的作用分项系数表示，此两值在现行标准《公路桥涵设计通用规范》JTG D60中作出了规定：材料强度设计值由本规范直接给出，其来源为材料强度标准值除以相应的抗力（材料）分项系数，抗力（材料）分项系数在本规程有关条文说明中给出。</w:t>
      </w:r>
    </w:p>
    <w:p w14:paraId="22037922">
      <w:pPr>
        <w:pStyle w:val="28"/>
        <w:rPr>
          <w:rFonts w:ascii="Times New Roman" w:hAnsi="Times New Roman" w:cstheme="minorBidi"/>
          <w:bCs/>
          <w:color w:val="auto"/>
          <w:szCs w:val="21"/>
        </w:rPr>
      </w:pPr>
    </w:p>
    <w:p w14:paraId="7A4AD967">
      <w:pPr>
        <w:rPr>
          <w:rFonts w:ascii="Times New Roman" w:hAnsi="Times New Roman" w:eastAsia="宋体"/>
          <w:b/>
          <w:color w:val="auto"/>
          <w:sz w:val="28"/>
          <w:szCs w:val="28"/>
        </w:rPr>
      </w:pPr>
      <w:r>
        <w:rPr>
          <w:rFonts w:hint="eastAsia" w:ascii="Times New Roman" w:hAnsi="Times New Roman" w:eastAsia="宋体"/>
          <w:b/>
          <w:color w:val="auto"/>
          <w:sz w:val="28"/>
          <w:szCs w:val="28"/>
        </w:rPr>
        <w:br w:type="page"/>
      </w:r>
    </w:p>
    <w:p w14:paraId="24832C45">
      <w:pPr>
        <w:numPr>
          <w:ilvl w:val="2"/>
          <w:numId w:val="0"/>
        </w:numPr>
        <w:spacing w:line="360" w:lineRule="auto"/>
        <w:jc w:val="center"/>
        <w:outlineLvl w:val="2"/>
        <w:rPr>
          <w:rFonts w:ascii="Times New Roman" w:hAnsi="Times New Roman" w:eastAsia="宋体"/>
          <w:b/>
          <w:color w:val="auto"/>
          <w:sz w:val="28"/>
          <w:szCs w:val="28"/>
        </w:rPr>
      </w:pPr>
      <w:r>
        <w:rPr>
          <w:rFonts w:hint="eastAsia" w:ascii="Times New Roman" w:hAnsi="Times New Roman" w:eastAsia="宋体"/>
          <w:b/>
          <w:color w:val="auto"/>
          <w:sz w:val="28"/>
          <w:szCs w:val="28"/>
        </w:rPr>
        <w:t>2  术语</w:t>
      </w:r>
    </w:p>
    <w:p w14:paraId="5746239D">
      <w:pPr>
        <w:spacing w:line="360" w:lineRule="auto"/>
        <w:rPr>
          <w:rFonts w:ascii="Times New Roman" w:hAnsi="Times New Roman" w:eastAsia="宋体" w:cs="Times New Roman"/>
          <w:color w:val="auto"/>
        </w:rPr>
      </w:pPr>
      <w:r>
        <w:rPr>
          <w:rFonts w:hint="eastAsia" w:ascii="Times New Roman" w:hAnsi="Times New Roman" w:eastAsia="宋体" w:cs="Times New Roman"/>
          <w:b/>
          <w:bCs/>
          <w:color w:val="auto"/>
        </w:rPr>
        <w:t>2.0.1</w:t>
      </w:r>
      <w:r>
        <w:rPr>
          <w:rFonts w:hint="eastAsia" w:ascii="Times New Roman" w:hAnsi="Times New Roman" w:eastAsia="宋体" w:cs="Times New Roman"/>
          <w:color w:val="auto"/>
        </w:rPr>
        <w:t xml:space="preserve"> 术语列出了超高性能混凝土梁式桥相关的专业性术语，以达到概念解释与表达统一的目的。符号按材料性能、作用与作用效应、几何参数、计算系数等几个部分列出。</w:t>
      </w:r>
    </w:p>
    <w:p w14:paraId="38D121FE">
      <w:pPr>
        <w:pStyle w:val="28"/>
        <w:rPr>
          <w:rFonts w:ascii="Times New Roman" w:hAnsi="Times New Roman" w:cstheme="minorBidi"/>
          <w:b/>
          <w:color w:val="auto"/>
          <w:sz w:val="28"/>
          <w:szCs w:val="28"/>
        </w:rPr>
      </w:pPr>
    </w:p>
    <w:p w14:paraId="4A11CC96">
      <w:pPr>
        <w:rPr>
          <w:rFonts w:ascii="Times New Roman" w:hAnsi="Times New Roman" w:eastAsia="宋体"/>
          <w:b/>
          <w:color w:val="auto"/>
          <w:sz w:val="28"/>
          <w:szCs w:val="28"/>
        </w:rPr>
      </w:pPr>
      <w:r>
        <w:rPr>
          <w:rFonts w:hint="eastAsia" w:ascii="Times New Roman" w:hAnsi="Times New Roman" w:eastAsia="宋体"/>
          <w:b/>
          <w:color w:val="auto"/>
          <w:sz w:val="28"/>
          <w:szCs w:val="28"/>
        </w:rPr>
        <w:br w:type="page"/>
      </w:r>
    </w:p>
    <w:p w14:paraId="27E282FD">
      <w:pPr>
        <w:numPr>
          <w:ilvl w:val="2"/>
          <w:numId w:val="0"/>
        </w:numPr>
        <w:spacing w:line="360" w:lineRule="auto"/>
        <w:jc w:val="center"/>
        <w:outlineLvl w:val="2"/>
        <w:rPr>
          <w:rFonts w:ascii="Times New Roman" w:hAnsi="Times New Roman" w:eastAsia="宋体"/>
          <w:b/>
          <w:color w:val="auto"/>
          <w:sz w:val="28"/>
          <w:szCs w:val="28"/>
        </w:rPr>
      </w:pPr>
      <w:r>
        <w:rPr>
          <w:rFonts w:hint="eastAsia" w:ascii="Times New Roman" w:hAnsi="Times New Roman" w:eastAsia="宋体"/>
          <w:b/>
          <w:color w:val="auto"/>
          <w:sz w:val="28"/>
          <w:szCs w:val="28"/>
        </w:rPr>
        <w:t>3  基本规定</w:t>
      </w:r>
    </w:p>
    <w:p w14:paraId="37C7FE59">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bCs/>
          <w:color w:val="auto"/>
          <w:szCs w:val="21"/>
        </w:rPr>
        <w:t>3.0.1</w:t>
      </w:r>
      <w:r>
        <w:rPr>
          <w:rFonts w:hint="eastAsia" w:ascii="Times New Roman" w:hAnsi="Times New Roman" w:eastAsia="宋体"/>
          <w:color w:val="auto"/>
          <w:szCs w:val="21"/>
        </w:rPr>
        <w:t xml:space="preserve">  超高性能混凝土-普通混凝土组合式盖板结构具有跨度大、抗裂性好、耐久性优异等突出优点；施工方面，具有吊装重量轻、无需设置支架、施工快捷等优点，经济跨径可达8m，特别适用于城市下穿通道工程的快速化施工。组合式盖板结构由工厂化预制的倒</w:t>
      </w:r>
      <w:r>
        <w:rPr>
          <w:rFonts w:ascii="Times New Roman" w:hAnsi="Times New Roman" w:eastAsia="宋体" w:cs="Times New Roman"/>
          <w:color w:val="auto"/>
          <w:szCs w:val="21"/>
        </w:rPr>
        <w:t>“π”型/</w:t>
      </w:r>
      <w:r>
        <w:rPr>
          <w:rFonts w:hint="eastAsia" w:ascii="Times New Roman" w:hAnsi="Times New Roman" w:eastAsia="宋体"/>
          <w:color w:val="auto"/>
          <w:szCs w:val="21"/>
        </w:rPr>
        <w:t>“T”型超高性能混凝土板和后期现场现浇的混凝土两部分组成，前者充当后期现浇混凝土的底模。超高性能混凝土板的制备、养护、构件精度等要求较高，更适合采用装配式结构，之后运输至现场进行安装。</w:t>
      </w:r>
    </w:p>
    <w:p w14:paraId="0E757F64">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bCs/>
          <w:color w:val="auto"/>
          <w:szCs w:val="21"/>
        </w:rPr>
        <w:t xml:space="preserve">3.0.2  </w:t>
      </w:r>
      <w:r>
        <w:rPr>
          <w:rFonts w:hint="eastAsia" w:ascii="Times New Roman" w:hAnsi="Times New Roman" w:eastAsia="宋体"/>
          <w:color w:val="auto"/>
          <w:szCs w:val="21"/>
        </w:rPr>
        <w:t>本条文规定与现行行业标准《公路钢筋混凝土及预应力混凝土桥涵设计规范》JTG 3362 相关条文相同：结构设计的内容则仅考虑整个结构体系（组合式盖板结构）和单个构件（倒“</w:t>
      </w:r>
      <w:r>
        <w:rPr>
          <w:rFonts w:ascii="Times New Roman" w:hAnsi="Times New Roman" w:eastAsia="宋体" w:cs="Times New Roman"/>
          <w:color w:val="auto"/>
          <w:szCs w:val="21"/>
        </w:rPr>
        <w:t>π</w:t>
      </w:r>
      <w:r>
        <w:rPr>
          <w:rFonts w:hint="eastAsia" w:ascii="Times New Roman" w:hAnsi="Times New Roman" w:eastAsia="宋体"/>
          <w:color w:val="auto"/>
          <w:szCs w:val="21"/>
        </w:rPr>
        <w:t>”型/“T”型超高性能混凝土板）两个层次，包括结构方案、受力分析、截面设计、连接构造及耐久性等。</w:t>
      </w:r>
    </w:p>
    <w:p w14:paraId="4CA4D7C0">
      <w:pPr>
        <w:numPr>
          <w:ilvl w:val="2"/>
          <w:numId w:val="0"/>
        </w:numPr>
        <w:spacing w:line="360" w:lineRule="auto"/>
        <w:outlineLvl w:val="2"/>
        <w:rPr>
          <w:rFonts w:hint="eastAsia" w:ascii="Times New Roman" w:hAnsi="Times New Roman" w:eastAsia="宋体"/>
          <w:color w:val="auto"/>
          <w:szCs w:val="21"/>
        </w:rPr>
      </w:pPr>
      <w:r>
        <w:rPr>
          <w:rFonts w:hint="eastAsia" w:ascii="Times New Roman" w:hAnsi="Times New Roman" w:eastAsia="宋体"/>
          <w:b/>
          <w:bCs/>
          <w:color w:val="auto"/>
          <w:szCs w:val="21"/>
        </w:rPr>
        <w:t xml:space="preserve">3.0.3 </w:t>
      </w:r>
      <w:r>
        <w:rPr>
          <w:rFonts w:hint="eastAsia" w:ascii="Times New Roman" w:hAnsi="Times New Roman" w:eastAsia="宋体"/>
          <w:color w:val="auto"/>
          <w:szCs w:val="21"/>
        </w:rPr>
        <w:t xml:space="preserve"> 应根据盖板结构要求的跨度布置、填土高度来确定与材料性能相匹配的结构形式和截面构造，并根据组合截面形成过程，对结构进行承载能力计算分析，以保证结构性能满足要求</w:t>
      </w:r>
      <w:r>
        <w:rPr>
          <w:rFonts w:hint="eastAsia" w:ascii="Times New Roman" w:hAnsi="Times New Roman" w:eastAsia="宋体"/>
          <w:color w:val="auto"/>
          <w:szCs w:val="21"/>
          <w:lang w:eastAsia="zh-CN"/>
        </w:rPr>
        <w:t>，</w:t>
      </w:r>
      <w:r>
        <w:rPr>
          <w:rFonts w:hint="eastAsia" w:ascii="Times New Roman" w:hAnsi="Times New Roman" w:eastAsia="宋体"/>
          <w:color w:val="auto"/>
          <w:szCs w:val="21"/>
          <w:lang w:val="en-US" w:eastAsia="zh-CN"/>
        </w:rPr>
        <w:t>并</w:t>
      </w:r>
      <w:r>
        <w:rPr>
          <w:rFonts w:hint="eastAsia" w:ascii="Times New Roman" w:hAnsi="Times New Roman" w:eastAsia="宋体"/>
          <w:color w:val="auto"/>
          <w:szCs w:val="21"/>
        </w:rPr>
        <w:t>获取结构</w:t>
      </w:r>
      <w:r>
        <w:rPr>
          <w:rFonts w:hint="eastAsia" w:ascii="Times New Roman" w:hAnsi="Times New Roman" w:eastAsia="宋体"/>
          <w:color w:val="auto"/>
          <w:szCs w:val="21"/>
          <w:lang w:val="en-US" w:eastAsia="zh-CN"/>
        </w:rPr>
        <w:t>较</w:t>
      </w:r>
      <w:r>
        <w:rPr>
          <w:rFonts w:hint="eastAsia" w:ascii="Times New Roman" w:hAnsi="Times New Roman" w:eastAsia="宋体"/>
          <w:color w:val="auto"/>
          <w:szCs w:val="21"/>
        </w:rPr>
        <w:t>高性价比。</w:t>
      </w:r>
    </w:p>
    <w:p w14:paraId="6AF5B1F8">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bCs/>
          <w:color w:val="auto"/>
          <w:szCs w:val="21"/>
        </w:rPr>
        <w:t xml:space="preserve">3.0.4  </w:t>
      </w:r>
      <w:r>
        <w:rPr>
          <w:rFonts w:hint="eastAsia" w:ascii="Times New Roman" w:hAnsi="Times New Roman" w:eastAsia="宋体"/>
          <w:color w:val="auto"/>
          <w:szCs w:val="21"/>
        </w:rPr>
        <w:t>本条文规定与现行行业标准《公路钢筋混凝土及预应力混凝土桥涵设计规范》JTG 3362 相关条文相同：承载能力极限状态包括构件和连接的强度破坏。正常使用极限状态包括影响结构和构件正常使用的开裂、变形。</w:t>
      </w:r>
    </w:p>
    <w:p w14:paraId="2DF77724">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bCs/>
          <w:color w:val="auto"/>
          <w:szCs w:val="21"/>
        </w:rPr>
        <w:t xml:space="preserve">3.0.5  </w:t>
      </w:r>
      <w:r>
        <w:rPr>
          <w:rFonts w:hint="eastAsia" w:ascii="宋体" w:hAnsi="宋体" w:eastAsia="宋体"/>
          <w:color w:val="auto"/>
          <w:szCs w:val="21"/>
        </w:rPr>
        <w:t>超高性能混凝土具有优异的耐久性，本规程规定超高性能混凝土-普通混凝土组合式盖板结构应按</w:t>
      </w:r>
      <w:r>
        <w:rPr>
          <w:rFonts w:hint="eastAsia" w:ascii="宋体" w:hAnsi="宋体" w:eastAsia="宋体"/>
          <w:color w:val="auto"/>
        </w:rPr>
        <w:t>服从总体下穿通道工程的</w:t>
      </w:r>
      <w:r>
        <w:rPr>
          <w:rFonts w:ascii="宋体" w:hAnsi="宋体" w:eastAsia="宋体"/>
          <w:color w:val="auto"/>
        </w:rPr>
        <w:t>设计</w:t>
      </w:r>
      <w:r>
        <w:rPr>
          <w:rFonts w:hint="eastAsia" w:ascii="宋体" w:hAnsi="宋体" w:eastAsia="宋体"/>
          <w:color w:val="auto"/>
        </w:rPr>
        <w:t>工作</w:t>
      </w:r>
      <w:r>
        <w:rPr>
          <w:rFonts w:ascii="宋体" w:hAnsi="宋体" w:eastAsia="宋体"/>
          <w:color w:val="auto"/>
        </w:rPr>
        <w:t>年限</w:t>
      </w:r>
      <w:r>
        <w:rPr>
          <w:rFonts w:hint="eastAsia" w:ascii="宋体" w:hAnsi="宋体" w:eastAsia="宋体"/>
          <w:color w:val="auto"/>
          <w:szCs w:val="21"/>
        </w:rPr>
        <w:t>进行设计</w:t>
      </w:r>
      <w:r>
        <w:rPr>
          <w:rFonts w:hint="eastAsia" w:ascii="Times New Roman" w:hAnsi="Times New Roman" w:eastAsia="宋体"/>
          <w:color w:val="auto"/>
          <w:szCs w:val="21"/>
        </w:rPr>
        <w:t>。</w:t>
      </w:r>
    </w:p>
    <w:p w14:paraId="5A8CA60B">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bCs/>
          <w:color w:val="auto"/>
          <w:szCs w:val="21"/>
        </w:rPr>
        <w:t xml:space="preserve">3.0.6 </w:t>
      </w:r>
      <w:r>
        <w:rPr>
          <w:rFonts w:hint="eastAsia" w:ascii="Times New Roman" w:hAnsi="Times New Roman" w:eastAsia="宋体"/>
          <w:color w:val="auto"/>
          <w:szCs w:val="21"/>
        </w:rPr>
        <w:t xml:space="preserve"> </w:t>
      </w:r>
      <w:r>
        <w:rPr>
          <w:rFonts w:ascii="Times New Roman" w:hAnsi="Times New Roman" w:eastAsia="宋体" w:cs="Times New Roman"/>
          <w:color w:val="auto"/>
          <w:szCs w:val="21"/>
        </w:rPr>
        <w:t>本规程结构设计章节是以现行行业标准《城市桥梁设计规范（2019年版）》CJJ 11-2011、《公路钢筋混凝土及预应力混凝土桥涵设计规范》JTG 3362 为基础进行编写，并参考《超高性能混凝土梁式桥技术规程》T/CCES 27-2021对超高性能混凝土结构不同于普通混凝土结构设计的要求做出规定。本规程未做出明确规定的其他结构设计条文，应按现行行业标准《城市桥梁设计规范（2019年版）》CJJ 11-2011、《公路钢筋混凝土及预应力混凝土桥涵设计规范》JTG 3362、《超高性能混凝土梁式桥技术规程》T/CCES 27-2021及</w:t>
      </w:r>
      <w:r>
        <w:rPr>
          <w:rFonts w:ascii="Times New Roman" w:hAnsi="Times New Roman" w:cs="Times New Roman"/>
          <w:color w:val="auto"/>
        </w:rPr>
        <w:t>《工程结构通用规范》GB55001-2021</w:t>
      </w:r>
      <w:r>
        <w:rPr>
          <w:rFonts w:ascii="Times New Roman" w:hAnsi="Times New Roman" w:eastAsia="宋体" w:cs="Times New Roman"/>
          <w:color w:val="auto"/>
          <w:szCs w:val="21"/>
        </w:rPr>
        <w:t>执行。</w:t>
      </w:r>
    </w:p>
    <w:p w14:paraId="49EFB12D">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bCs/>
          <w:color w:val="auto"/>
          <w:szCs w:val="21"/>
        </w:rPr>
        <w:t>3.0.7</w:t>
      </w:r>
      <w:r>
        <w:rPr>
          <w:rFonts w:hint="eastAsia" w:ascii="Times New Roman" w:hAnsi="Times New Roman" w:eastAsia="宋体"/>
          <w:color w:val="auto"/>
          <w:szCs w:val="21"/>
        </w:rPr>
        <w:t xml:space="preserve">  超高性能混凝土-普通混凝土组合式盖板结构施工前，应做好倒“π”型/“T”型超高性能混凝土板的专项施工方案。工厂预制具有质量可控、快速化施工、便于蒸汽养护等优点，为此本规程推荐“π”型/“T”型超高性能混凝土板施工宜优先采用工厂预制，现场安装的施工方法。</w:t>
      </w:r>
    </w:p>
    <w:p w14:paraId="0B6CEF4E">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bCs/>
          <w:color w:val="auto"/>
          <w:szCs w:val="21"/>
        </w:rPr>
        <w:t>3.0.8</w:t>
      </w:r>
      <w:r>
        <w:rPr>
          <w:rFonts w:hint="eastAsia" w:ascii="Times New Roman" w:hAnsi="Times New Roman" w:eastAsia="宋体"/>
          <w:color w:val="auto"/>
          <w:szCs w:val="21"/>
        </w:rPr>
        <w:t xml:space="preserve">  本条文规定了超高性能混凝土-普通混凝土组合式盖板结构检验评定的基本要求。</w:t>
      </w:r>
    </w:p>
    <w:p w14:paraId="6D2542A6">
      <w:pPr>
        <w:rPr>
          <w:rFonts w:ascii="Times New Roman" w:hAnsi="Times New Roman" w:eastAsia="宋体"/>
          <w:b/>
          <w:color w:val="auto"/>
          <w:sz w:val="28"/>
          <w:szCs w:val="28"/>
        </w:rPr>
      </w:pPr>
      <w:r>
        <w:rPr>
          <w:rFonts w:hint="eastAsia" w:ascii="Times New Roman" w:hAnsi="Times New Roman" w:eastAsia="宋体"/>
          <w:b/>
          <w:color w:val="auto"/>
          <w:sz w:val="28"/>
          <w:szCs w:val="28"/>
        </w:rPr>
        <w:br w:type="page"/>
      </w:r>
    </w:p>
    <w:p w14:paraId="497AC6CD">
      <w:pPr>
        <w:pageBreakBefore/>
        <w:numPr>
          <w:ilvl w:val="2"/>
          <w:numId w:val="0"/>
        </w:numPr>
        <w:spacing w:line="480" w:lineRule="auto"/>
        <w:jc w:val="center"/>
        <w:outlineLvl w:val="2"/>
        <w:rPr>
          <w:rFonts w:ascii="Times New Roman" w:hAnsi="Times New Roman" w:eastAsia="宋体"/>
          <w:b/>
          <w:color w:val="auto"/>
          <w:sz w:val="28"/>
          <w:szCs w:val="28"/>
        </w:rPr>
      </w:pPr>
      <w:r>
        <w:rPr>
          <w:rFonts w:hint="eastAsia" w:ascii="Times New Roman" w:hAnsi="Times New Roman" w:eastAsia="宋体"/>
          <w:b/>
          <w:color w:val="auto"/>
          <w:sz w:val="28"/>
          <w:szCs w:val="28"/>
        </w:rPr>
        <w:t>4  材料</w:t>
      </w:r>
    </w:p>
    <w:p w14:paraId="062980EA">
      <w:pPr>
        <w:spacing w:before="156" w:beforeLines="50" w:after="156" w:afterLines="50" w:line="480" w:lineRule="auto"/>
        <w:jc w:val="center"/>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4.1</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超高性能混凝土</w:t>
      </w:r>
    </w:p>
    <w:p w14:paraId="01434DB4">
      <w:pPr>
        <w:numPr>
          <w:ilvl w:val="2"/>
          <w:numId w:val="0"/>
        </w:numPr>
        <w:spacing w:line="360" w:lineRule="auto"/>
        <w:outlineLvl w:val="2"/>
        <w:rPr>
          <w:rFonts w:ascii="Times New Roman" w:hAnsi="Times New Roman" w:eastAsia="宋体"/>
          <w:color w:val="auto"/>
          <w:szCs w:val="21"/>
          <w:highlight w:val="red"/>
        </w:rPr>
      </w:pPr>
      <w:r>
        <w:rPr>
          <w:rFonts w:hint="eastAsia" w:ascii="Times New Roman" w:hAnsi="Times New Roman" w:eastAsia="黑体" w:cs="Times New Roman"/>
          <w:b/>
          <w:bCs/>
          <w:color w:val="auto"/>
          <w:szCs w:val="21"/>
        </w:rPr>
        <w:t>4.1.1</w:t>
      </w:r>
      <w:r>
        <w:rPr>
          <w:rFonts w:hint="eastAsia" w:ascii="Times New Roman" w:hAnsi="Times New Roman" w:eastAsia="黑体" w:cs="Times New Roman"/>
          <w:b/>
          <w:bCs/>
          <w:color w:val="auto"/>
          <w:sz w:val="24"/>
          <w:szCs w:val="24"/>
        </w:rPr>
        <w:t xml:space="preserve"> </w:t>
      </w:r>
      <w:r>
        <w:rPr>
          <w:rFonts w:hint="eastAsia" w:ascii="Times New Roman" w:hAnsi="Times New Roman" w:eastAsia="宋体"/>
          <w:b/>
          <w:color w:val="auto"/>
          <w:sz w:val="24"/>
          <w:szCs w:val="24"/>
        </w:rPr>
        <w:t xml:space="preserve"> </w:t>
      </w:r>
      <w:r>
        <w:rPr>
          <w:rFonts w:hint="eastAsia" w:ascii="Times New Roman" w:hAnsi="Times New Roman" w:eastAsia="宋体"/>
          <w:color w:val="auto"/>
          <w:szCs w:val="21"/>
        </w:rPr>
        <w:t>本条文规定了超高性能混凝土的制备方法。现行国家标准《活性粉末混凝土》G</w:t>
      </w:r>
      <w:r>
        <w:rPr>
          <w:rFonts w:ascii="Times New Roman" w:hAnsi="Times New Roman" w:eastAsia="宋体"/>
          <w:color w:val="auto"/>
          <w:szCs w:val="21"/>
        </w:rPr>
        <w:t>B/T 31387</w:t>
      </w:r>
      <w:r>
        <w:rPr>
          <w:rFonts w:hint="eastAsia" w:ascii="Times New Roman" w:hAnsi="Times New Roman" w:eastAsia="宋体"/>
          <w:color w:val="auto"/>
          <w:szCs w:val="21"/>
        </w:rPr>
        <w:t>规定了活性粉末混凝土（超高性能混凝土）制备方法的要求。超高性能混凝土梁结构为承重结构，应采用钢纤维。为保证结构的延性，规定了钢纤维体积率不得低于2</w:t>
      </w:r>
      <w:r>
        <w:rPr>
          <w:rFonts w:ascii="Times New Roman" w:hAnsi="Times New Roman" w:eastAsia="宋体"/>
          <w:color w:val="auto"/>
          <w:szCs w:val="21"/>
        </w:rPr>
        <w:t>.0</w:t>
      </w:r>
      <w:r>
        <w:rPr>
          <w:rFonts w:hint="eastAsia" w:ascii="Times New Roman" w:hAnsi="Times New Roman" w:eastAsia="宋体"/>
          <w:color w:val="auto"/>
          <w:szCs w:val="21"/>
        </w:rPr>
        <w:t>%。同时钢纤维体积率过高会增加材料成本，可能会产生纤维结团、工作性能和力学性能降低等不利影响，结合国内外已有的超高性能混凝土应用经验，本条文建议超高性能混凝土中纤维体积率不宜大于3</w:t>
      </w:r>
      <w:r>
        <w:rPr>
          <w:rFonts w:ascii="Times New Roman" w:hAnsi="Times New Roman" w:eastAsia="宋体"/>
          <w:color w:val="auto"/>
          <w:szCs w:val="21"/>
        </w:rPr>
        <w:t>.5</w:t>
      </w:r>
      <w:r>
        <w:rPr>
          <w:rFonts w:hint="eastAsia" w:ascii="Times New Roman" w:hAnsi="Times New Roman" w:eastAsia="宋体"/>
          <w:color w:val="auto"/>
          <w:szCs w:val="21"/>
        </w:rPr>
        <w:t>%。</w:t>
      </w:r>
    </w:p>
    <w:p w14:paraId="0E08AAD1">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4.1.2</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立方体抗压强度标准值</w:t>
      </w:r>
      <m:oMath>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cu,k</m:t>
            </m:r>
            <m:ctrlPr>
              <w:rPr>
                <w:rFonts w:ascii="Cambria Math" w:hAnsi="Cambria Math"/>
                <w:color w:val="auto"/>
              </w:rPr>
            </m:ctrlPr>
          </m:sub>
        </m:sSub>
      </m:oMath>
      <w:r>
        <w:rPr>
          <w:rFonts w:hint="eastAsia" w:ascii="Times New Roman" w:hAnsi="Times New Roman" w:eastAsia="宋体"/>
          <w:color w:val="auto"/>
          <w:szCs w:val="21"/>
        </w:rPr>
        <w:t>是超高性能混凝土各项力学性能指标的基本代表值。现行国家标准</w:t>
      </w:r>
      <w:r>
        <w:rPr>
          <w:rFonts w:hint="eastAsia" w:ascii="Times New Roman" w:hAnsi="Times New Roman" w:eastAsia="宋体"/>
          <w:color w:val="auto"/>
          <w:szCs w:val="21"/>
          <w:highlight w:val="none"/>
        </w:rPr>
        <w:t>《活性粉末混凝土》G</w:t>
      </w:r>
      <w:r>
        <w:rPr>
          <w:rFonts w:ascii="Times New Roman" w:hAnsi="Times New Roman" w:eastAsia="宋体"/>
          <w:color w:val="auto"/>
          <w:szCs w:val="21"/>
          <w:highlight w:val="none"/>
        </w:rPr>
        <w:t>B/T 31387</w:t>
      </w:r>
      <w:r>
        <w:rPr>
          <w:rFonts w:hint="eastAsia" w:ascii="Times New Roman" w:hAnsi="Times New Roman" w:eastAsia="宋体"/>
          <w:color w:val="auto"/>
          <w:szCs w:val="21"/>
        </w:rPr>
        <w:t>规定，活性粉末混凝土立方体抗压强度试验的标准试件采用1</w:t>
      </w:r>
      <w:r>
        <w:rPr>
          <w:rFonts w:ascii="Times New Roman" w:hAnsi="Times New Roman" w:eastAsia="宋体"/>
          <w:color w:val="auto"/>
          <w:szCs w:val="21"/>
        </w:rPr>
        <w:t>00</w:t>
      </w:r>
      <w:r>
        <w:rPr>
          <w:rFonts w:hint="eastAsia" w:ascii="Times New Roman" w:hAnsi="Times New Roman" w:eastAsia="宋体"/>
          <w:color w:val="auto"/>
          <w:szCs w:val="21"/>
        </w:rPr>
        <w:t>mm的立方体试件。为此，本规程建议超高性能混凝土的强度等级应根据1</w:t>
      </w:r>
      <w:r>
        <w:rPr>
          <w:rFonts w:ascii="Times New Roman" w:hAnsi="Times New Roman" w:eastAsia="宋体"/>
          <w:color w:val="auto"/>
          <w:szCs w:val="21"/>
        </w:rPr>
        <w:t>00</w:t>
      </w:r>
      <w:r>
        <w:rPr>
          <w:rFonts w:hint="eastAsia" w:ascii="Times New Roman" w:hAnsi="Times New Roman" w:eastAsia="宋体"/>
          <w:color w:val="auto"/>
          <w:szCs w:val="21"/>
        </w:rPr>
        <w:t>mm立方体抗压强度标准值划分。所以，本规程定义超高性能混凝土立方体抗压强度标准值是指按标准方法制作、养护的边长为1</w:t>
      </w:r>
      <w:r>
        <w:rPr>
          <w:rFonts w:ascii="Times New Roman" w:hAnsi="Times New Roman" w:eastAsia="宋体"/>
          <w:color w:val="auto"/>
          <w:szCs w:val="21"/>
        </w:rPr>
        <w:t>00</w:t>
      </w:r>
      <w:r>
        <w:rPr>
          <w:rFonts w:hint="eastAsia" w:ascii="Times New Roman" w:hAnsi="Times New Roman" w:eastAsia="宋体"/>
          <w:color w:val="auto"/>
          <w:szCs w:val="21"/>
        </w:rPr>
        <w:t>mm立方体试件，在规定试验龄期以标准试验方法测得的具有9</w:t>
      </w:r>
      <w:r>
        <w:rPr>
          <w:rFonts w:ascii="Times New Roman" w:hAnsi="Times New Roman" w:eastAsia="宋体"/>
          <w:color w:val="auto"/>
          <w:szCs w:val="21"/>
        </w:rPr>
        <w:t>5</w:t>
      </w:r>
      <w:r>
        <w:rPr>
          <w:rFonts w:hint="eastAsia" w:ascii="Times New Roman" w:hAnsi="Times New Roman" w:eastAsia="宋体"/>
          <w:color w:val="auto"/>
          <w:szCs w:val="21"/>
        </w:rPr>
        <w:t>%保证率的抗压强度值。高</w:t>
      </w:r>
      <w:bookmarkStart w:id="182" w:name="_GoBack"/>
      <w:bookmarkEnd w:id="182"/>
      <w:r>
        <w:rPr>
          <w:rFonts w:hint="eastAsia" w:ascii="Times New Roman" w:hAnsi="Times New Roman" w:eastAsia="宋体"/>
          <w:color w:val="auto"/>
          <w:szCs w:val="21"/>
        </w:rPr>
        <w:t>温蒸汽养护下的超高性能混凝土试验龄期为7d。养护结束后的试件应在符合现行行业标准《混凝土物理力学性能试验方法标准》G</w:t>
      </w:r>
      <w:r>
        <w:rPr>
          <w:rFonts w:ascii="Times New Roman" w:hAnsi="Times New Roman" w:eastAsia="宋体"/>
          <w:color w:val="auto"/>
          <w:szCs w:val="21"/>
        </w:rPr>
        <w:t>B/T 50081</w:t>
      </w:r>
      <w:r>
        <w:rPr>
          <w:rFonts w:hint="eastAsia" w:ascii="Times New Roman" w:hAnsi="Times New Roman" w:eastAsia="宋体"/>
          <w:color w:val="auto"/>
          <w:szCs w:val="21"/>
        </w:rPr>
        <w:t>规定的试验环境下存放至试验龄期。超高性能混凝土梁结构作为承重结构，超高性能混凝土的强度等级不应低于U</w:t>
      </w:r>
      <w:r>
        <w:rPr>
          <w:rFonts w:ascii="Times New Roman" w:hAnsi="Times New Roman" w:eastAsia="宋体"/>
          <w:color w:val="auto"/>
          <w:szCs w:val="21"/>
        </w:rPr>
        <w:t>C120</w:t>
      </w:r>
      <w:r>
        <w:rPr>
          <w:rFonts w:hint="eastAsia" w:ascii="Times New Roman" w:hAnsi="Times New Roman" w:eastAsia="宋体"/>
          <w:color w:val="auto"/>
          <w:szCs w:val="21"/>
        </w:rPr>
        <w:t>。在《活性粉末混凝土》G</w:t>
      </w:r>
      <w:r>
        <w:rPr>
          <w:rFonts w:ascii="Times New Roman" w:hAnsi="Times New Roman" w:eastAsia="宋体"/>
          <w:color w:val="auto"/>
          <w:szCs w:val="21"/>
        </w:rPr>
        <w:t>B/T 31387</w:t>
      </w:r>
      <w:r>
        <w:rPr>
          <w:rFonts w:hint="eastAsia" w:ascii="Times New Roman" w:hAnsi="Times New Roman" w:eastAsia="宋体"/>
          <w:color w:val="auto"/>
          <w:szCs w:val="21"/>
        </w:rPr>
        <w:t>强度等级划分的基础上，结合桥涵结构实际应用需求确定本规程超高性能混凝土强度等级划分。</w:t>
      </w:r>
    </w:p>
    <w:p w14:paraId="7D8DBEC8">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4.1.3</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根据国内外已有试验结果，掺入钢纤维的超高性能混凝土初裂强度（弹性极限抗拉强度）一般在5~</w:t>
      </w:r>
      <w:r>
        <w:rPr>
          <w:rFonts w:ascii="Times New Roman" w:hAnsi="Times New Roman" w:eastAsia="宋体"/>
          <w:color w:val="auto"/>
          <w:szCs w:val="21"/>
        </w:rPr>
        <w:t>12MP</w:t>
      </w:r>
      <w:r>
        <w:rPr>
          <w:rFonts w:hint="eastAsia" w:ascii="Times New Roman" w:hAnsi="Times New Roman" w:eastAsia="宋体"/>
          <w:color w:val="auto"/>
          <w:szCs w:val="21"/>
        </w:rPr>
        <w:t>a，主要由超高性能混凝土基体性质决定，而超高性能混凝土极限抗拉强度与钢纤维性质（掺量、类型、长径比）等密切相关。对于同一抗压性能分级，超高性能混凝土可有多个极限抗拉强度取值。为此，本规范的超高性能混凝土轴心抗拉强度按哑铃形轴拉试验的超高性能混凝土初裂强度（弹性极限抗拉强度）标准值划分。因此，本规程定义超高性能混凝土轴心抗拉强度标准值是指按标准方法制作、养护的哑铃形试件（附录A所示），在规定试验龄期以标准试验方法测得的具有9</w:t>
      </w:r>
      <w:r>
        <w:rPr>
          <w:rFonts w:ascii="Times New Roman" w:hAnsi="Times New Roman" w:eastAsia="宋体"/>
          <w:color w:val="auto"/>
          <w:szCs w:val="21"/>
        </w:rPr>
        <w:t>5</w:t>
      </w:r>
      <w:r>
        <w:rPr>
          <w:rFonts w:hint="eastAsia" w:ascii="Times New Roman" w:hAnsi="Times New Roman" w:eastAsia="宋体"/>
          <w:color w:val="auto"/>
          <w:szCs w:val="21"/>
        </w:rPr>
        <w:t>%保证率的弹性极限抗拉强度值。超高性能混凝土轴心抗拉强度等级划分为U</w:t>
      </w:r>
      <w:r>
        <w:rPr>
          <w:rFonts w:ascii="Times New Roman" w:hAnsi="Times New Roman" w:eastAsia="宋体"/>
          <w:color w:val="auto"/>
          <w:szCs w:val="21"/>
        </w:rPr>
        <w:t>T6</w:t>
      </w:r>
      <w:r>
        <w:rPr>
          <w:rFonts w:hint="eastAsia" w:ascii="Times New Roman" w:hAnsi="Times New Roman" w:eastAsia="宋体"/>
          <w:color w:val="auto"/>
          <w:szCs w:val="21"/>
        </w:rPr>
        <w:t>、</w:t>
      </w:r>
      <w:r>
        <w:rPr>
          <w:rFonts w:ascii="Times New Roman" w:hAnsi="Times New Roman" w:eastAsia="宋体"/>
          <w:color w:val="auto"/>
          <w:szCs w:val="21"/>
        </w:rPr>
        <w:t>UT7</w:t>
      </w:r>
      <w:r>
        <w:rPr>
          <w:rFonts w:hint="eastAsia" w:ascii="Times New Roman" w:hAnsi="Times New Roman" w:eastAsia="宋体"/>
          <w:color w:val="auto"/>
          <w:szCs w:val="21"/>
        </w:rPr>
        <w:t>、</w:t>
      </w:r>
      <w:r>
        <w:rPr>
          <w:rFonts w:ascii="Times New Roman" w:hAnsi="Times New Roman" w:eastAsia="宋体"/>
          <w:color w:val="auto"/>
          <w:szCs w:val="21"/>
        </w:rPr>
        <w:t>UT8</w:t>
      </w:r>
      <w:r>
        <w:rPr>
          <w:rFonts w:hint="eastAsia" w:ascii="Times New Roman" w:hAnsi="Times New Roman" w:eastAsia="宋体"/>
          <w:color w:val="auto"/>
          <w:szCs w:val="21"/>
        </w:rPr>
        <w:t>、</w:t>
      </w:r>
      <w:r>
        <w:rPr>
          <w:rFonts w:ascii="Times New Roman" w:hAnsi="Times New Roman" w:eastAsia="宋体"/>
          <w:color w:val="auto"/>
          <w:szCs w:val="21"/>
        </w:rPr>
        <w:t>UT9</w:t>
      </w:r>
      <w:r>
        <w:rPr>
          <w:rFonts w:hint="eastAsia" w:ascii="Times New Roman" w:hAnsi="Times New Roman" w:eastAsia="宋体"/>
          <w:color w:val="auto"/>
          <w:szCs w:val="21"/>
        </w:rPr>
        <w:t>四级，大体可以覆盖超高性能混凝土对不同抗拉性能的应用需求。</w:t>
      </w:r>
    </w:p>
    <w:p w14:paraId="41DD0677">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4.1.4</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抗拉性能是超高性能混凝土的关键技术性能指标。用弹性极限抗拉强度</w:t>
      </w:r>
      <m:oMath>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te</m:t>
            </m:r>
            <m:ctrlPr>
              <w:rPr>
                <w:rFonts w:ascii="Cambria Math" w:hAnsi="Cambria Math"/>
                <w:color w:val="auto"/>
              </w:rPr>
            </m:ctrlPr>
          </m:sub>
        </m:sSub>
      </m:oMath>
      <w:r>
        <w:rPr>
          <w:rFonts w:hint="eastAsia" w:ascii="Times New Roman" w:hAnsi="Times New Roman" w:eastAsia="宋体"/>
          <w:color w:val="auto"/>
          <w:szCs w:val="21"/>
        </w:rPr>
        <w:t>、极限抗拉强度</w:t>
      </w:r>
      <m:oMath>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t</m:t>
            </m:r>
            <m:r>
              <m:rPr/>
              <w:rPr>
                <w:rFonts w:hint="eastAsia" w:ascii="Cambria Math" w:hAnsi="Cambria Math"/>
                <w:color w:val="auto"/>
              </w:rPr>
              <m:t>u</m:t>
            </m:r>
            <m:ctrlPr>
              <w:rPr>
                <w:rFonts w:ascii="Cambria Math" w:hAnsi="Cambria Math"/>
                <w:color w:val="auto"/>
              </w:rPr>
            </m:ctrlPr>
          </m:sub>
        </m:sSub>
      </m:oMath>
      <w:r>
        <w:rPr>
          <w:rFonts w:hint="eastAsia" w:ascii="Times New Roman" w:hAnsi="Times New Roman" w:eastAsia="宋体"/>
          <w:color w:val="auto"/>
          <w:szCs w:val="21"/>
        </w:rPr>
        <w:t>和极限拉应变</w:t>
      </w:r>
      <m:oMath>
        <m:sSub>
          <m:sSubPr>
            <m:ctrlPr>
              <w:rPr>
                <w:rFonts w:ascii="Cambria Math" w:hAnsi="Cambria Math"/>
                <w:color w:val="auto"/>
              </w:rPr>
            </m:ctrlPr>
          </m:sSubPr>
          <m:e>
            <m:r>
              <m:rPr/>
              <w:rPr>
                <w:rFonts w:ascii="Cambria Math" w:hAnsi="Cambria Math"/>
                <w:color w:val="auto"/>
              </w:rPr>
              <m:t>ε</m:t>
            </m:r>
            <m:ctrlPr>
              <w:rPr>
                <w:rFonts w:ascii="Cambria Math" w:hAnsi="Cambria Math"/>
                <w:color w:val="auto"/>
              </w:rPr>
            </m:ctrlPr>
          </m:e>
          <m:sub>
            <m:r>
              <m:rPr/>
              <w:rPr>
                <w:rFonts w:hint="eastAsia" w:ascii="Cambria Math" w:hAnsi="Cambria Math"/>
                <w:color w:val="auto"/>
              </w:rPr>
              <m:t>tu</m:t>
            </m:r>
            <m:ctrlPr>
              <w:rPr>
                <w:rFonts w:ascii="Cambria Math" w:hAnsi="Cambria Math"/>
                <w:color w:val="auto"/>
              </w:rPr>
            </m:ctrlPr>
          </m:sub>
        </m:sSub>
      </m:oMath>
      <w:r>
        <w:rPr>
          <w:rFonts w:hint="eastAsia" w:ascii="Times New Roman" w:hAnsi="Times New Roman" w:eastAsia="宋体"/>
          <w:color w:val="auto"/>
          <w:szCs w:val="21"/>
        </w:rPr>
        <w:t>三个参数表征，并用极限抗拉强度与弹性极限抗拉强度比值</w:t>
      </w:r>
      <m:oMath>
        <m:f>
          <m:fPr>
            <m:type m:val="lin"/>
            <m:ctrlPr>
              <w:rPr>
                <w:rFonts w:ascii="Cambria Math" w:hAnsi="Cambria Math"/>
                <w:color w:val="auto"/>
              </w:rPr>
            </m:ctrlPr>
          </m:fPr>
          <m:num>
            <m:sSub>
              <m:sSubPr>
                <m:ctrlPr>
                  <w:rPr>
                    <w:rFonts w:ascii="Cambria Math" w:hAnsi="Cambria Math"/>
                    <w:i/>
                    <w:color w:val="auto"/>
                  </w:rPr>
                </m:ctrlPr>
              </m:sSubPr>
              <m:e>
                <m:r>
                  <m:rPr/>
                  <w:rPr>
                    <w:rFonts w:hint="eastAsia" w:ascii="Cambria Math" w:hAnsi="Cambria Math"/>
                    <w:color w:val="auto"/>
                  </w:rPr>
                  <m:t>f</m:t>
                </m:r>
                <m:ctrlPr>
                  <w:rPr>
                    <w:rFonts w:ascii="Cambria Math" w:hAnsi="Cambria Math"/>
                    <w:i/>
                    <w:color w:val="auto"/>
                  </w:rPr>
                </m:ctrlPr>
              </m:e>
              <m:sub>
                <m:r>
                  <m:rPr/>
                  <w:rPr>
                    <w:rFonts w:hint="eastAsia" w:ascii="Cambria Math" w:hAnsi="Cambria Math"/>
                    <w:color w:val="auto"/>
                  </w:rPr>
                  <m:t>tu</m:t>
                </m:r>
                <m:ctrlPr>
                  <w:rPr>
                    <w:rFonts w:ascii="Cambria Math" w:hAnsi="Cambria Math"/>
                    <w:i/>
                    <w:color w:val="auto"/>
                  </w:rPr>
                </m:ctrlPr>
              </m:sub>
            </m:sSub>
            <m:ctrlPr>
              <w:rPr>
                <w:rFonts w:ascii="Cambria Math" w:hAnsi="Cambria Math"/>
                <w:color w:val="auto"/>
              </w:rPr>
            </m:ctrlPr>
          </m:num>
          <m:den>
            <m:sSub>
              <m:sSubPr>
                <m:ctrlPr>
                  <w:rPr>
                    <w:rFonts w:ascii="Cambria Math" w:hAnsi="Cambria Math"/>
                    <w:i/>
                    <w:color w:val="auto"/>
                  </w:rPr>
                </m:ctrlPr>
              </m:sSubPr>
              <m:e>
                <m:r>
                  <m:rPr/>
                  <w:rPr>
                    <w:rFonts w:hint="eastAsia" w:ascii="Cambria Math" w:hAnsi="Cambria Math"/>
                    <w:color w:val="auto"/>
                  </w:rPr>
                  <m:t>f</m:t>
                </m:r>
                <m:ctrlPr>
                  <w:rPr>
                    <w:rFonts w:ascii="Cambria Math" w:hAnsi="Cambria Math"/>
                    <w:i/>
                    <w:color w:val="auto"/>
                  </w:rPr>
                </m:ctrlPr>
              </m:e>
              <m:sub>
                <m:r>
                  <m:rPr/>
                  <w:rPr>
                    <w:rFonts w:hint="eastAsia" w:ascii="Cambria Math" w:hAnsi="Cambria Math"/>
                    <w:color w:val="auto"/>
                  </w:rPr>
                  <m:t>te</m:t>
                </m:r>
                <m:ctrlPr>
                  <w:rPr>
                    <w:rFonts w:ascii="Cambria Math" w:hAnsi="Cambria Math"/>
                    <w:i/>
                    <w:color w:val="auto"/>
                  </w:rPr>
                </m:ctrlPr>
              </m:sub>
            </m:sSub>
            <m:ctrlPr>
              <w:rPr>
                <w:rFonts w:ascii="Cambria Math" w:hAnsi="Cambria Math"/>
                <w:color w:val="auto"/>
              </w:rPr>
            </m:ctrlPr>
          </m:den>
        </m:f>
      </m:oMath>
      <w:r>
        <w:rPr>
          <w:rFonts w:hint="eastAsia" w:ascii="Times New Roman" w:hAnsi="Times New Roman" w:eastAsia="宋体"/>
          <w:color w:val="auto"/>
          <w:szCs w:val="21"/>
        </w:rPr>
        <w:t>来表征超高性能混凝土拉伸应变软化与应变硬化水平。</w:t>
      </w:r>
    </w:p>
    <w:p w14:paraId="574DD294">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4.1.5</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结合现行国家标准《活性粉末混凝土》G</w:t>
      </w:r>
      <w:r>
        <w:rPr>
          <w:rFonts w:ascii="Times New Roman" w:hAnsi="Times New Roman" w:eastAsia="宋体"/>
          <w:color w:val="auto"/>
          <w:szCs w:val="21"/>
        </w:rPr>
        <w:t>B/T 31387</w:t>
      </w:r>
      <w:r>
        <w:rPr>
          <w:rFonts w:hint="eastAsia" w:ascii="Times New Roman" w:hAnsi="Times New Roman" w:eastAsia="宋体"/>
          <w:color w:val="auto"/>
          <w:szCs w:val="21"/>
        </w:rPr>
        <w:t>规定，超高性能混凝土弯拉强度等级根据4</w:t>
      </w:r>
      <w:r>
        <w:rPr>
          <w:rFonts w:ascii="Times New Roman" w:hAnsi="Times New Roman" w:eastAsia="宋体"/>
          <w:color w:val="auto"/>
          <w:szCs w:val="21"/>
        </w:rPr>
        <w:t>00</w:t>
      </w:r>
      <w:r>
        <w:rPr>
          <w:rFonts w:hint="eastAsia" w:ascii="Times New Roman" w:hAnsi="Times New Roman" w:eastAsia="宋体"/>
          <w:color w:val="auto"/>
          <w:szCs w:val="21"/>
        </w:rPr>
        <w:t>mm×</w:t>
      </w:r>
      <w:r>
        <w:rPr>
          <w:rFonts w:ascii="Times New Roman" w:hAnsi="Times New Roman" w:eastAsia="宋体"/>
          <w:color w:val="auto"/>
          <w:szCs w:val="21"/>
        </w:rPr>
        <w:t>100</w:t>
      </w:r>
      <w:r>
        <w:rPr>
          <w:rFonts w:hint="eastAsia" w:ascii="Times New Roman" w:hAnsi="Times New Roman" w:eastAsia="宋体"/>
          <w:color w:val="auto"/>
          <w:szCs w:val="21"/>
        </w:rPr>
        <w:t>mm×</w:t>
      </w:r>
      <w:r>
        <w:rPr>
          <w:rFonts w:ascii="Times New Roman" w:hAnsi="Times New Roman" w:eastAsia="宋体"/>
          <w:color w:val="auto"/>
          <w:szCs w:val="21"/>
        </w:rPr>
        <w:t>100</w:t>
      </w:r>
      <w:r>
        <w:rPr>
          <w:rFonts w:hint="eastAsia" w:ascii="Times New Roman" w:hAnsi="Times New Roman" w:eastAsia="宋体"/>
          <w:color w:val="auto"/>
          <w:szCs w:val="21"/>
        </w:rPr>
        <w:t>mm棱柱体弯拉强度标准值划分。本规程定义超高性能混凝土弯拉强度标准值是指按标准方法制作、养护的棱柱体试件，在规定试验龄期以标准试验方法测得的具有9</w:t>
      </w:r>
      <w:r>
        <w:rPr>
          <w:rFonts w:ascii="Times New Roman" w:hAnsi="Times New Roman" w:eastAsia="宋体"/>
          <w:color w:val="auto"/>
          <w:szCs w:val="21"/>
        </w:rPr>
        <w:t>5</w:t>
      </w:r>
      <w:r>
        <w:rPr>
          <w:rFonts w:hint="eastAsia" w:ascii="Times New Roman" w:hAnsi="Times New Roman" w:eastAsia="宋体"/>
          <w:color w:val="auto"/>
          <w:szCs w:val="21"/>
        </w:rPr>
        <w:t>%保证率的弯拉强度值。结合国内超高性能混凝土工程经验，将超高性能混凝土弯拉强度划分为U</w:t>
      </w:r>
      <w:r>
        <w:rPr>
          <w:rFonts w:ascii="Times New Roman" w:hAnsi="Times New Roman" w:eastAsia="宋体"/>
          <w:color w:val="auto"/>
          <w:szCs w:val="21"/>
        </w:rPr>
        <w:t>F22</w:t>
      </w:r>
      <w:r>
        <w:rPr>
          <w:rFonts w:hint="eastAsia" w:ascii="Times New Roman" w:hAnsi="Times New Roman" w:eastAsia="宋体"/>
          <w:color w:val="auto"/>
          <w:szCs w:val="21"/>
        </w:rPr>
        <w:t>、</w:t>
      </w:r>
      <w:r>
        <w:rPr>
          <w:rFonts w:ascii="Times New Roman" w:hAnsi="Times New Roman" w:eastAsia="宋体"/>
          <w:color w:val="auto"/>
          <w:szCs w:val="21"/>
        </w:rPr>
        <w:t>UF25</w:t>
      </w:r>
      <w:r>
        <w:rPr>
          <w:rFonts w:hint="eastAsia" w:ascii="Times New Roman" w:hAnsi="Times New Roman" w:eastAsia="宋体"/>
          <w:color w:val="auto"/>
          <w:szCs w:val="21"/>
        </w:rPr>
        <w:t>、</w:t>
      </w:r>
      <w:r>
        <w:rPr>
          <w:rFonts w:ascii="Times New Roman" w:hAnsi="Times New Roman" w:eastAsia="宋体"/>
          <w:color w:val="auto"/>
          <w:szCs w:val="21"/>
        </w:rPr>
        <w:t>UF28</w:t>
      </w:r>
      <w:r>
        <w:rPr>
          <w:rFonts w:hint="eastAsia" w:ascii="Times New Roman" w:hAnsi="Times New Roman" w:eastAsia="宋体"/>
          <w:color w:val="auto"/>
          <w:szCs w:val="21"/>
        </w:rPr>
        <w:t>、</w:t>
      </w:r>
      <w:r>
        <w:rPr>
          <w:rFonts w:ascii="Times New Roman" w:hAnsi="Times New Roman" w:eastAsia="宋体"/>
          <w:color w:val="auto"/>
          <w:szCs w:val="21"/>
        </w:rPr>
        <w:t>UF30</w:t>
      </w:r>
      <w:r>
        <w:rPr>
          <w:rFonts w:hint="eastAsia" w:ascii="Times New Roman" w:hAnsi="Times New Roman" w:eastAsia="宋体"/>
          <w:color w:val="auto"/>
          <w:szCs w:val="21"/>
        </w:rPr>
        <w:t>四级。大体可以覆盖超高性能混凝土梁构件对不同受弯韧性的要求。一般而言，超高性能混凝土轴拉试验较为复杂、要求更高，弯拉强度试验较为简便。为便于超高性能混凝土质量控制和检验，采用弯拉强度进行超高性能混凝土的交货检验更具有操作性。超高性能混凝土的轴心抗拉强度与弯拉强度有一定相关性，为便于设计，结合试验结果和相关分析，以本规程表4</w:t>
      </w:r>
      <w:r>
        <w:rPr>
          <w:rFonts w:ascii="Times New Roman" w:hAnsi="Times New Roman" w:eastAsia="宋体"/>
          <w:color w:val="auto"/>
          <w:szCs w:val="21"/>
        </w:rPr>
        <w:t>.1.4</w:t>
      </w:r>
      <w:r>
        <w:rPr>
          <w:rFonts w:hint="eastAsia" w:ascii="Times New Roman" w:hAnsi="Times New Roman" w:eastAsia="宋体"/>
          <w:color w:val="auto"/>
          <w:szCs w:val="21"/>
        </w:rPr>
        <w:t>的轴拉性能为基础，表1给出了不同轴拉性能对应的最低弯拉强度以供参考和选用。</w:t>
      </w:r>
    </w:p>
    <w:p w14:paraId="5F945F51">
      <w:pPr>
        <w:spacing w:line="360" w:lineRule="auto"/>
        <w:jc w:val="center"/>
        <w:rPr>
          <w:rFonts w:hint="eastAsia" w:eastAsia="黑体" w:asciiTheme="majorHAnsi" w:hAnsiTheme="majorHAnsi" w:cstheme="majorBidi"/>
          <w:color w:val="auto"/>
          <w:sz w:val="18"/>
          <w:szCs w:val="20"/>
        </w:rPr>
      </w:pPr>
      <w:r>
        <w:rPr>
          <w:rFonts w:hint="eastAsia" w:eastAsia="黑体" w:asciiTheme="majorHAnsi" w:hAnsiTheme="majorHAnsi" w:cstheme="majorBidi"/>
          <w:color w:val="auto"/>
          <w:sz w:val="18"/>
          <w:szCs w:val="20"/>
        </w:rPr>
        <w:t>表1</w:t>
      </w:r>
      <w:r>
        <w:rPr>
          <w:rFonts w:eastAsia="黑体" w:asciiTheme="majorHAnsi" w:hAnsiTheme="majorHAnsi" w:cstheme="majorBidi"/>
          <w:color w:val="auto"/>
          <w:sz w:val="18"/>
          <w:szCs w:val="20"/>
        </w:rPr>
        <w:t xml:space="preserve"> </w:t>
      </w:r>
      <w:r>
        <w:rPr>
          <w:rFonts w:hint="eastAsia" w:eastAsia="黑体" w:asciiTheme="majorHAnsi" w:hAnsiTheme="majorHAnsi" w:cstheme="majorBidi"/>
          <w:color w:val="auto"/>
          <w:sz w:val="18"/>
          <w:szCs w:val="20"/>
        </w:rPr>
        <w:t>弯拉强度选用表</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6"/>
        <w:gridCol w:w="1476"/>
        <w:gridCol w:w="1476"/>
        <w:gridCol w:w="1476"/>
        <w:gridCol w:w="1478"/>
      </w:tblGrid>
      <w:tr w14:paraId="1B8B2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pct"/>
            <w:tcBorders>
              <w:tl2br w:val="single" w:color="auto" w:sz="2" w:space="0"/>
            </w:tcBorders>
            <w:vAlign w:val="bottom"/>
          </w:tcPr>
          <w:p w14:paraId="5A198150">
            <w:pPr>
              <w:spacing w:line="360" w:lineRule="auto"/>
              <w:jc w:val="right"/>
              <w:rPr>
                <w:rFonts w:ascii="Times New Roman" w:hAnsi="Times New Roman" w:eastAsia="宋体"/>
                <w:color w:val="auto"/>
                <w:sz w:val="18"/>
                <w:szCs w:val="18"/>
              </w:rPr>
            </w:pPr>
            <w:r>
              <w:rPr>
                <w:rFonts w:hint="eastAsia" w:ascii="Times New Roman" w:hAnsi="Times New Roman" w:eastAsia="宋体"/>
                <w:color w:val="auto"/>
                <w:sz w:val="18"/>
                <w:szCs w:val="18"/>
              </w:rPr>
              <w:t>轴拉强度等级</w:t>
            </w:r>
          </w:p>
          <w:p w14:paraId="1F82C091">
            <w:pPr>
              <w:spacing w:line="360" w:lineRule="auto"/>
              <w:rPr>
                <w:rFonts w:ascii="Times New Roman" w:hAnsi="Times New Roman" w:eastAsia="宋体"/>
                <w:color w:val="auto"/>
                <w:sz w:val="18"/>
                <w:szCs w:val="18"/>
              </w:rPr>
            </w:pPr>
            <w:r>
              <w:rPr>
                <w:rFonts w:hint="eastAsia" w:ascii="Times New Roman" w:hAnsi="Times New Roman" w:eastAsia="宋体"/>
                <w:color w:val="auto"/>
                <w:sz w:val="18"/>
                <w:szCs w:val="18"/>
              </w:rPr>
              <w:t>轴拉性能等级</w:t>
            </w:r>
          </w:p>
        </w:tc>
        <w:tc>
          <w:tcPr>
            <w:tcW w:w="866" w:type="pct"/>
            <w:vAlign w:val="center"/>
          </w:tcPr>
          <w:p w14:paraId="762240BB">
            <w:pPr>
              <w:spacing w:line="360" w:lineRule="auto"/>
              <w:jc w:val="center"/>
              <w:rPr>
                <w:rFonts w:ascii="Times New Roman" w:hAnsi="Times New Roman" w:eastAsia="宋体"/>
                <w:color w:val="auto"/>
                <w:sz w:val="18"/>
                <w:szCs w:val="18"/>
              </w:rPr>
            </w:pPr>
            <w:r>
              <w:rPr>
                <w:rFonts w:ascii="Times New Roman" w:hAnsi="Times New Roman" w:eastAsia="宋体"/>
                <w:color w:val="auto"/>
                <w:sz w:val="18"/>
                <w:szCs w:val="18"/>
              </w:rPr>
              <w:t>UT6</w:t>
            </w:r>
          </w:p>
        </w:tc>
        <w:tc>
          <w:tcPr>
            <w:tcW w:w="866" w:type="pct"/>
            <w:vAlign w:val="center"/>
          </w:tcPr>
          <w:p w14:paraId="1B1A3FC5">
            <w:pPr>
              <w:spacing w:line="360" w:lineRule="auto"/>
              <w:jc w:val="center"/>
              <w:rPr>
                <w:rFonts w:ascii="Times New Roman" w:hAnsi="Times New Roman" w:eastAsia="宋体"/>
                <w:color w:val="auto"/>
                <w:sz w:val="18"/>
                <w:szCs w:val="18"/>
              </w:rPr>
            </w:pPr>
            <w:r>
              <w:rPr>
                <w:rFonts w:ascii="Times New Roman" w:hAnsi="Times New Roman" w:eastAsia="宋体"/>
                <w:color w:val="auto"/>
                <w:sz w:val="18"/>
                <w:szCs w:val="18"/>
              </w:rPr>
              <w:t>UT7</w:t>
            </w:r>
          </w:p>
        </w:tc>
        <w:tc>
          <w:tcPr>
            <w:tcW w:w="866" w:type="pct"/>
            <w:vAlign w:val="center"/>
          </w:tcPr>
          <w:p w14:paraId="590D2987">
            <w:pPr>
              <w:spacing w:line="360" w:lineRule="auto"/>
              <w:jc w:val="center"/>
              <w:rPr>
                <w:rFonts w:ascii="Times New Roman" w:hAnsi="Times New Roman" w:eastAsia="宋体"/>
                <w:color w:val="auto"/>
                <w:sz w:val="18"/>
                <w:szCs w:val="18"/>
              </w:rPr>
            </w:pPr>
            <w:r>
              <w:rPr>
                <w:rFonts w:ascii="Times New Roman" w:hAnsi="Times New Roman" w:eastAsia="宋体"/>
                <w:color w:val="auto"/>
                <w:sz w:val="18"/>
                <w:szCs w:val="18"/>
              </w:rPr>
              <w:t>UT8</w:t>
            </w:r>
          </w:p>
        </w:tc>
        <w:tc>
          <w:tcPr>
            <w:tcW w:w="867" w:type="pct"/>
            <w:vAlign w:val="center"/>
          </w:tcPr>
          <w:p w14:paraId="68FF0C63">
            <w:pPr>
              <w:spacing w:line="360" w:lineRule="auto"/>
              <w:jc w:val="center"/>
              <w:rPr>
                <w:rFonts w:ascii="Times New Roman" w:hAnsi="Times New Roman" w:eastAsia="宋体"/>
                <w:color w:val="auto"/>
                <w:sz w:val="18"/>
                <w:szCs w:val="18"/>
              </w:rPr>
            </w:pPr>
            <w:r>
              <w:rPr>
                <w:rFonts w:ascii="Times New Roman" w:hAnsi="Times New Roman" w:eastAsia="宋体"/>
                <w:color w:val="auto"/>
                <w:sz w:val="18"/>
                <w:szCs w:val="18"/>
              </w:rPr>
              <w:t>UT9</w:t>
            </w:r>
          </w:p>
        </w:tc>
      </w:tr>
      <w:tr w14:paraId="3517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pct"/>
            <w:vAlign w:val="center"/>
          </w:tcPr>
          <w:p w14:paraId="4410C450">
            <w:pPr>
              <w:spacing w:line="360" w:lineRule="auto"/>
              <w:jc w:val="center"/>
              <w:rPr>
                <w:rFonts w:ascii="Times New Roman" w:hAnsi="Times New Roman" w:eastAsia="宋体"/>
                <w:color w:val="auto"/>
                <w:sz w:val="18"/>
                <w:szCs w:val="18"/>
              </w:rPr>
            </w:pPr>
            <w:r>
              <w:rPr>
                <w:rFonts w:hint="eastAsia" w:ascii="Times New Roman" w:hAnsi="Times New Roman" w:eastAsia="宋体"/>
                <w:color w:val="auto"/>
                <w:sz w:val="18"/>
                <w:szCs w:val="18"/>
              </w:rPr>
              <w:t>应变软化型</w:t>
            </w:r>
          </w:p>
        </w:tc>
        <w:tc>
          <w:tcPr>
            <w:tcW w:w="866" w:type="pct"/>
            <w:vAlign w:val="center"/>
          </w:tcPr>
          <w:p w14:paraId="52480F19">
            <w:pPr>
              <w:spacing w:line="360" w:lineRule="auto"/>
              <w:jc w:val="center"/>
              <w:rPr>
                <w:rFonts w:ascii="Times New Roman" w:hAnsi="Times New Roman" w:eastAsia="宋体"/>
                <w:color w:val="auto"/>
                <w:sz w:val="18"/>
                <w:szCs w:val="18"/>
              </w:rPr>
            </w:pPr>
            <w:r>
              <w:rPr>
                <w:rFonts w:hint="eastAsia" w:ascii="Times New Roman" w:hAnsi="Times New Roman" w:eastAsia="宋体"/>
                <w:color w:val="auto"/>
                <w:sz w:val="18"/>
                <w:szCs w:val="18"/>
              </w:rPr>
              <w:t>≥U</w:t>
            </w:r>
            <w:r>
              <w:rPr>
                <w:rFonts w:ascii="Times New Roman" w:hAnsi="Times New Roman" w:eastAsia="宋体"/>
                <w:color w:val="auto"/>
                <w:sz w:val="18"/>
                <w:szCs w:val="18"/>
              </w:rPr>
              <w:t>F22</w:t>
            </w:r>
          </w:p>
        </w:tc>
        <w:tc>
          <w:tcPr>
            <w:tcW w:w="866" w:type="pct"/>
            <w:vAlign w:val="center"/>
          </w:tcPr>
          <w:p w14:paraId="31780A59">
            <w:pPr>
              <w:spacing w:line="360" w:lineRule="auto"/>
              <w:jc w:val="center"/>
              <w:rPr>
                <w:rFonts w:ascii="Times New Roman" w:hAnsi="Times New Roman" w:eastAsia="宋体"/>
                <w:color w:val="auto"/>
                <w:sz w:val="18"/>
                <w:szCs w:val="18"/>
              </w:rPr>
            </w:pPr>
            <w:r>
              <w:rPr>
                <w:rFonts w:hint="eastAsia" w:ascii="Times New Roman" w:hAnsi="Times New Roman" w:eastAsia="宋体"/>
                <w:color w:val="auto"/>
                <w:sz w:val="18"/>
                <w:szCs w:val="18"/>
              </w:rPr>
              <w:t>≥U</w:t>
            </w:r>
            <w:r>
              <w:rPr>
                <w:rFonts w:ascii="Times New Roman" w:hAnsi="Times New Roman" w:eastAsia="宋体"/>
                <w:color w:val="auto"/>
                <w:sz w:val="18"/>
                <w:szCs w:val="18"/>
              </w:rPr>
              <w:t>F22</w:t>
            </w:r>
          </w:p>
        </w:tc>
        <w:tc>
          <w:tcPr>
            <w:tcW w:w="866" w:type="pct"/>
            <w:vAlign w:val="center"/>
          </w:tcPr>
          <w:p w14:paraId="6531D11F">
            <w:pPr>
              <w:spacing w:line="360" w:lineRule="auto"/>
              <w:jc w:val="center"/>
              <w:rPr>
                <w:rFonts w:ascii="Times New Roman" w:hAnsi="Times New Roman" w:eastAsia="宋体"/>
                <w:color w:val="auto"/>
                <w:sz w:val="18"/>
                <w:szCs w:val="18"/>
              </w:rPr>
            </w:pPr>
            <w:r>
              <w:rPr>
                <w:rFonts w:hint="eastAsia" w:ascii="Times New Roman" w:hAnsi="Times New Roman" w:eastAsia="宋体"/>
                <w:color w:val="auto"/>
                <w:sz w:val="18"/>
                <w:szCs w:val="18"/>
              </w:rPr>
              <w:t>≥U</w:t>
            </w:r>
            <w:r>
              <w:rPr>
                <w:rFonts w:ascii="Times New Roman" w:hAnsi="Times New Roman" w:eastAsia="宋体"/>
                <w:color w:val="auto"/>
                <w:sz w:val="18"/>
                <w:szCs w:val="18"/>
              </w:rPr>
              <w:t>F22</w:t>
            </w:r>
          </w:p>
        </w:tc>
        <w:tc>
          <w:tcPr>
            <w:tcW w:w="867" w:type="pct"/>
            <w:vAlign w:val="center"/>
          </w:tcPr>
          <w:p w14:paraId="43307578">
            <w:pPr>
              <w:spacing w:line="360" w:lineRule="auto"/>
              <w:jc w:val="center"/>
              <w:rPr>
                <w:rFonts w:ascii="Times New Roman" w:hAnsi="Times New Roman" w:eastAsia="宋体"/>
                <w:color w:val="auto"/>
                <w:sz w:val="18"/>
                <w:szCs w:val="18"/>
              </w:rPr>
            </w:pPr>
            <w:r>
              <w:rPr>
                <w:rFonts w:hint="eastAsia" w:ascii="Times New Roman" w:hAnsi="Times New Roman" w:eastAsia="宋体"/>
                <w:color w:val="auto"/>
                <w:sz w:val="18"/>
                <w:szCs w:val="18"/>
              </w:rPr>
              <w:t>≥U</w:t>
            </w:r>
            <w:r>
              <w:rPr>
                <w:rFonts w:ascii="Times New Roman" w:hAnsi="Times New Roman" w:eastAsia="宋体"/>
                <w:color w:val="auto"/>
                <w:sz w:val="18"/>
                <w:szCs w:val="18"/>
              </w:rPr>
              <w:t>F22</w:t>
            </w:r>
          </w:p>
        </w:tc>
      </w:tr>
      <w:tr w14:paraId="2BEC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pct"/>
            <w:vAlign w:val="center"/>
          </w:tcPr>
          <w:p w14:paraId="5870539F">
            <w:pPr>
              <w:spacing w:line="360" w:lineRule="auto"/>
              <w:jc w:val="center"/>
              <w:rPr>
                <w:rFonts w:ascii="Times New Roman" w:hAnsi="Times New Roman" w:eastAsia="宋体"/>
                <w:color w:val="auto"/>
                <w:sz w:val="18"/>
                <w:szCs w:val="18"/>
              </w:rPr>
            </w:pPr>
            <w:r>
              <w:rPr>
                <w:rFonts w:hint="eastAsia" w:ascii="Times New Roman" w:hAnsi="Times New Roman" w:eastAsia="宋体"/>
                <w:color w:val="auto"/>
                <w:sz w:val="18"/>
                <w:szCs w:val="18"/>
              </w:rPr>
              <w:t>低应变硬化型</w:t>
            </w:r>
          </w:p>
        </w:tc>
        <w:tc>
          <w:tcPr>
            <w:tcW w:w="866" w:type="pct"/>
            <w:vAlign w:val="center"/>
          </w:tcPr>
          <w:p w14:paraId="6844D174">
            <w:pPr>
              <w:spacing w:line="360" w:lineRule="auto"/>
              <w:jc w:val="center"/>
              <w:rPr>
                <w:rFonts w:ascii="Times New Roman" w:hAnsi="Times New Roman" w:eastAsia="宋体"/>
                <w:color w:val="auto"/>
                <w:sz w:val="18"/>
                <w:szCs w:val="18"/>
              </w:rPr>
            </w:pPr>
            <w:r>
              <w:rPr>
                <w:rFonts w:hint="eastAsia" w:ascii="Times New Roman" w:hAnsi="Times New Roman" w:eastAsia="宋体"/>
                <w:color w:val="auto"/>
                <w:sz w:val="18"/>
                <w:szCs w:val="18"/>
              </w:rPr>
              <w:t>≥U</w:t>
            </w:r>
            <w:r>
              <w:rPr>
                <w:rFonts w:ascii="Times New Roman" w:hAnsi="Times New Roman" w:eastAsia="宋体"/>
                <w:color w:val="auto"/>
                <w:sz w:val="18"/>
                <w:szCs w:val="18"/>
              </w:rPr>
              <w:t>F22</w:t>
            </w:r>
          </w:p>
        </w:tc>
        <w:tc>
          <w:tcPr>
            <w:tcW w:w="866" w:type="pct"/>
            <w:vAlign w:val="center"/>
          </w:tcPr>
          <w:p w14:paraId="33242F0D">
            <w:pPr>
              <w:spacing w:line="360" w:lineRule="auto"/>
              <w:jc w:val="center"/>
              <w:rPr>
                <w:rFonts w:ascii="Times New Roman" w:hAnsi="Times New Roman" w:eastAsia="宋体"/>
                <w:color w:val="auto"/>
                <w:sz w:val="18"/>
                <w:szCs w:val="18"/>
              </w:rPr>
            </w:pPr>
            <w:r>
              <w:rPr>
                <w:rFonts w:hint="eastAsia" w:ascii="Times New Roman" w:hAnsi="Times New Roman" w:eastAsia="宋体"/>
                <w:color w:val="auto"/>
                <w:sz w:val="18"/>
                <w:szCs w:val="18"/>
              </w:rPr>
              <w:t>≥U</w:t>
            </w:r>
            <w:r>
              <w:rPr>
                <w:rFonts w:ascii="Times New Roman" w:hAnsi="Times New Roman" w:eastAsia="宋体"/>
                <w:color w:val="auto"/>
                <w:sz w:val="18"/>
                <w:szCs w:val="18"/>
              </w:rPr>
              <w:t>F22</w:t>
            </w:r>
          </w:p>
        </w:tc>
        <w:tc>
          <w:tcPr>
            <w:tcW w:w="866" w:type="pct"/>
            <w:vAlign w:val="center"/>
          </w:tcPr>
          <w:p w14:paraId="0E2DCC62">
            <w:pPr>
              <w:spacing w:line="360" w:lineRule="auto"/>
              <w:jc w:val="center"/>
              <w:rPr>
                <w:rFonts w:ascii="Times New Roman" w:hAnsi="Times New Roman" w:eastAsia="宋体"/>
                <w:color w:val="auto"/>
                <w:sz w:val="18"/>
                <w:szCs w:val="18"/>
              </w:rPr>
            </w:pPr>
            <w:r>
              <w:rPr>
                <w:rFonts w:hint="eastAsia" w:ascii="Times New Roman" w:hAnsi="Times New Roman" w:eastAsia="宋体"/>
                <w:color w:val="auto"/>
                <w:sz w:val="18"/>
                <w:szCs w:val="18"/>
              </w:rPr>
              <w:t>≥U</w:t>
            </w:r>
            <w:r>
              <w:rPr>
                <w:rFonts w:ascii="Times New Roman" w:hAnsi="Times New Roman" w:eastAsia="宋体"/>
                <w:color w:val="auto"/>
                <w:sz w:val="18"/>
                <w:szCs w:val="18"/>
              </w:rPr>
              <w:t>F25</w:t>
            </w:r>
          </w:p>
        </w:tc>
        <w:tc>
          <w:tcPr>
            <w:tcW w:w="867" w:type="pct"/>
            <w:vAlign w:val="center"/>
          </w:tcPr>
          <w:p w14:paraId="0E068A18">
            <w:pPr>
              <w:spacing w:line="360" w:lineRule="auto"/>
              <w:jc w:val="center"/>
              <w:rPr>
                <w:rFonts w:ascii="Times New Roman" w:hAnsi="Times New Roman" w:eastAsia="宋体"/>
                <w:color w:val="auto"/>
                <w:sz w:val="18"/>
                <w:szCs w:val="18"/>
              </w:rPr>
            </w:pPr>
            <w:r>
              <w:rPr>
                <w:rFonts w:hint="eastAsia" w:ascii="Times New Roman" w:hAnsi="Times New Roman" w:eastAsia="宋体"/>
                <w:color w:val="auto"/>
                <w:sz w:val="18"/>
                <w:szCs w:val="18"/>
              </w:rPr>
              <w:t>≥U</w:t>
            </w:r>
            <w:r>
              <w:rPr>
                <w:rFonts w:ascii="Times New Roman" w:hAnsi="Times New Roman" w:eastAsia="宋体"/>
                <w:color w:val="auto"/>
                <w:sz w:val="18"/>
                <w:szCs w:val="18"/>
              </w:rPr>
              <w:t>F25</w:t>
            </w:r>
          </w:p>
        </w:tc>
      </w:tr>
      <w:tr w14:paraId="59B01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pct"/>
            <w:vAlign w:val="center"/>
          </w:tcPr>
          <w:p w14:paraId="2B1AE582">
            <w:pPr>
              <w:spacing w:line="360" w:lineRule="auto"/>
              <w:jc w:val="center"/>
              <w:rPr>
                <w:rFonts w:ascii="Times New Roman" w:hAnsi="Times New Roman" w:eastAsia="宋体"/>
                <w:color w:val="auto"/>
                <w:sz w:val="18"/>
                <w:szCs w:val="18"/>
              </w:rPr>
            </w:pPr>
            <w:r>
              <w:rPr>
                <w:rFonts w:hint="eastAsia" w:ascii="Times New Roman" w:hAnsi="Times New Roman" w:eastAsia="宋体"/>
                <w:color w:val="auto"/>
                <w:sz w:val="18"/>
                <w:szCs w:val="18"/>
              </w:rPr>
              <w:t>高应变硬化型</w:t>
            </w:r>
          </w:p>
        </w:tc>
        <w:tc>
          <w:tcPr>
            <w:tcW w:w="866" w:type="pct"/>
            <w:vAlign w:val="center"/>
          </w:tcPr>
          <w:p w14:paraId="41E364CC">
            <w:pPr>
              <w:spacing w:line="360" w:lineRule="auto"/>
              <w:jc w:val="center"/>
              <w:rPr>
                <w:rFonts w:ascii="Times New Roman" w:hAnsi="Times New Roman" w:eastAsia="宋体"/>
                <w:color w:val="auto"/>
                <w:sz w:val="18"/>
                <w:szCs w:val="18"/>
              </w:rPr>
            </w:pPr>
            <w:r>
              <w:rPr>
                <w:rFonts w:hint="eastAsia" w:ascii="Times New Roman" w:hAnsi="Times New Roman" w:eastAsia="宋体"/>
                <w:color w:val="auto"/>
                <w:sz w:val="18"/>
                <w:szCs w:val="18"/>
              </w:rPr>
              <w:t>≥U</w:t>
            </w:r>
            <w:r>
              <w:rPr>
                <w:rFonts w:ascii="Times New Roman" w:hAnsi="Times New Roman" w:eastAsia="宋体"/>
                <w:color w:val="auto"/>
                <w:sz w:val="18"/>
                <w:szCs w:val="18"/>
              </w:rPr>
              <w:t>F22</w:t>
            </w:r>
          </w:p>
        </w:tc>
        <w:tc>
          <w:tcPr>
            <w:tcW w:w="866" w:type="pct"/>
            <w:vAlign w:val="center"/>
          </w:tcPr>
          <w:p w14:paraId="4B9EC545">
            <w:pPr>
              <w:spacing w:line="360" w:lineRule="auto"/>
              <w:jc w:val="center"/>
              <w:rPr>
                <w:rFonts w:ascii="Times New Roman" w:hAnsi="Times New Roman" w:eastAsia="宋体"/>
                <w:color w:val="auto"/>
                <w:sz w:val="18"/>
                <w:szCs w:val="18"/>
              </w:rPr>
            </w:pPr>
            <w:r>
              <w:rPr>
                <w:rFonts w:hint="eastAsia" w:ascii="Times New Roman" w:hAnsi="Times New Roman" w:eastAsia="宋体"/>
                <w:color w:val="auto"/>
                <w:sz w:val="18"/>
                <w:szCs w:val="18"/>
              </w:rPr>
              <w:t>≥U</w:t>
            </w:r>
            <w:r>
              <w:rPr>
                <w:rFonts w:ascii="Times New Roman" w:hAnsi="Times New Roman" w:eastAsia="宋体"/>
                <w:color w:val="auto"/>
                <w:sz w:val="18"/>
                <w:szCs w:val="18"/>
              </w:rPr>
              <w:t>F25</w:t>
            </w:r>
          </w:p>
        </w:tc>
        <w:tc>
          <w:tcPr>
            <w:tcW w:w="866" w:type="pct"/>
            <w:vAlign w:val="center"/>
          </w:tcPr>
          <w:p w14:paraId="2502B5C5">
            <w:pPr>
              <w:spacing w:line="360" w:lineRule="auto"/>
              <w:jc w:val="center"/>
              <w:rPr>
                <w:rFonts w:ascii="Times New Roman" w:hAnsi="Times New Roman" w:eastAsia="宋体"/>
                <w:color w:val="auto"/>
                <w:sz w:val="18"/>
                <w:szCs w:val="18"/>
              </w:rPr>
            </w:pPr>
            <w:r>
              <w:rPr>
                <w:rFonts w:hint="eastAsia" w:ascii="Times New Roman" w:hAnsi="Times New Roman" w:eastAsia="宋体"/>
                <w:color w:val="auto"/>
                <w:sz w:val="18"/>
                <w:szCs w:val="18"/>
              </w:rPr>
              <w:t>≥U</w:t>
            </w:r>
            <w:r>
              <w:rPr>
                <w:rFonts w:ascii="Times New Roman" w:hAnsi="Times New Roman" w:eastAsia="宋体"/>
                <w:color w:val="auto"/>
                <w:sz w:val="18"/>
                <w:szCs w:val="18"/>
              </w:rPr>
              <w:t>F25</w:t>
            </w:r>
          </w:p>
        </w:tc>
        <w:tc>
          <w:tcPr>
            <w:tcW w:w="867" w:type="pct"/>
            <w:vAlign w:val="center"/>
          </w:tcPr>
          <w:p w14:paraId="740407E7">
            <w:pPr>
              <w:spacing w:line="360" w:lineRule="auto"/>
              <w:jc w:val="center"/>
              <w:rPr>
                <w:rFonts w:ascii="Times New Roman" w:hAnsi="Times New Roman" w:eastAsia="宋体"/>
                <w:color w:val="auto"/>
                <w:sz w:val="18"/>
                <w:szCs w:val="18"/>
              </w:rPr>
            </w:pPr>
            <w:r>
              <w:rPr>
                <w:rFonts w:hint="eastAsia" w:ascii="Times New Roman" w:hAnsi="Times New Roman" w:eastAsia="宋体"/>
                <w:color w:val="auto"/>
                <w:sz w:val="18"/>
                <w:szCs w:val="18"/>
              </w:rPr>
              <w:t>≥U</w:t>
            </w:r>
            <w:r>
              <w:rPr>
                <w:rFonts w:ascii="Times New Roman" w:hAnsi="Times New Roman" w:eastAsia="宋体"/>
                <w:color w:val="auto"/>
                <w:sz w:val="18"/>
                <w:szCs w:val="18"/>
              </w:rPr>
              <w:t>F28</w:t>
            </w:r>
          </w:p>
        </w:tc>
      </w:tr>
    </w:tbl>
    <w:p w14:paraId="52A5845B">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4.1.6</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国内外的相关研究表明，纤维取向对超高性能混凝土抗拉力学性能有显著的影响，尤其是对超高性能混凝土裂后抗拉性能。在浇筑过程中混凝土的流动可能使得纤维按流动方向排列，受纤维取向的影响，裂后强度</w:t>
      </w:r>
      <m:oMath>
        <m:sSub>
          <m:sSubPr>
            <m:ctrlPr>
              <w:rPr>
                <w:rFonts w:ascii="Cambria Math" w:hAnsi="Cambria Math"/>
                <w:color w:val="auto"/>
              </w:rPr>
            </m:ctrlPr>
          </m:sSubPr>
          <m:e>
            <m:r>
              <m:rPr/>
              <w:rPr>
                <w:rFonts w:ascii="Cambria Math" w:hAnsi="Cambria Math"/>
                <w:color w:val="auto"/>
              </w:rPr>
              <m:t>σ</m:t>
            </m:r>
            <m:ctrlPr>
              <w:rPr>
                <w:rFonts w:ascii="Cambria Math" w:hAnsi="Cambria Math"/>
                <w:color w:val="auto"/>
              </w:rPr>
            </m:ctrlPr>
          </m:e>
          <m:sub>
            <m:r>
              <m:rPr/>
              <w:rPr>
                <w:rFonts w:hint="eastAsia" w:ascii="Cambria Math" w:hAnsi="Cambria Math"/>
                <w:color w:val="auto"/>
              </w:rPr>
              <m:t>f</m:t>
            </m:r>
            <m:ctrlPr>
              <w:rPr>
                <w:rFonts w:ascii="Cambria Math" w:hAnsi="Cambria Math"/>
                <w:color w:val="auto"/>
              </w:rPr>
            </m:ctrlPr>
          </m:sub>
        </m:sSub>
        <m:d>
          <m:dPr>
            <m:ctrlPr>
              <w:rPr>
                <w:rFonts w:ascii="Cambria Math" w:hAnsi="Cambria Math"/>
                <w:i/>
                <w:color w:val="auto"/>
              </w:rPr>
            </m:ctrlPr>
          </m:dPr>
          <m:e>
            <m:r>
              <m:rPr/>
              <w:rPr>
                <w:rFonts w:hint="eastAsia" w:ascii="Cambria Math" w:hAnsi="Cambria Math"/>
                <w:color w:val="auto"/>
              </w:rPr>
              <m:t>w</m:t>
            </m:r>
            <m:ctrlPr>
              <w:rPr>
                <w:rFonts w:ascii="Cambria Math" w:hAnsi="Cambria Math"/>
                <w:i/>
                <w:color w:val="auto"/>
              </w:rPr>
            </m:ctrlPr>
          </m:e>
        </m:d>
      </m:oMath>
      <w:r>
        <w:rPr>
          <w:rFonts w:hint="eastAsia" w:ascii="Times New Roman" w:hAnsi="Times New Roman" w:eastAsia="宋体"/>
          <w:color w:val="auto"/>
          <w:szCs w:val="21"/>
        </w:rPr>
        <w:t>与浇筑过程密切相关。在距离模板不大于纤维长度的范围内，靠近模板的纤维会趋向平行模板排列；构件厚度越接近纤维长度，纤维平面分布的趋势对抗拉强度的影响越大。理论模型中假设超高性能混凝土结构内纤维呈空间随机分布，认为材料的受拉特性各向同性；但是实际结构中纤维的分布和取向受很多因素影响，表现出受拉各向异性；因此，用纤维取向系数K反应这种受拉各向异性特征。</w:t>
      </w:r>
    </w:p>
    <w:p w14:paraId="32D38B33">
      <w:pPr>
        <w:spacing w:line="360" w:lineRule="auto"/>
        <w:ind w:firstLine="420"/>
        <w:rPr>
          <w:rFonts w:ascii="Times New Roman" w:hAnsi="Times New Roman" w:eastAsia="宋体"/>
          <w:color w:val="auto"/>
          <w:szCs w:val="21"/>
        </w:rPr>
      </w:pPr>
      <w:r>
        <w:rPr>
          <w:rFonts w:hint="eastAsia" w:ascii="Times New Roman" w:hAnsi="Times New Roman" w:eastAsia="宋体"/>
          <w:color w:val="auto"/>
          <w:szCs w:val="21"/>
        </w:rPr>
        <w:t>为了考虑纤维取向对超高性能混凝土抗拉性能的影响，本条文规定引入纤维取向系数K对超高性能混凝土力学性能进行折减，根据已有研究成果，取整体纤维取向系数</w:t>
      </w:r>
      <m:oMath>
        <m:sSub>
          <m:sSubPr>
            <m:ctrlPr>
              <w:rPr>
                <w:rFonts w:ascii="Cambria Math" w:hAnsi="Cambria Math"/>
                <w:color w:val="auto"/>
              </w:rPr>
            </m:ctrlPr>
          </m:sSubPr>
          <m:e>
            <m:r>
              <m:rPr/>
              <w:rPr>
                <w:rFonts w:ascii="Cambria Math" w:hAnsi="Cambria Math"/>
                <w:color w:val="auto"/>
              </w:rPr>
              <m:t>K</m:t>
            </m:r>
            <m:ctrlPr>
              <w:rPr>
                <w:rFonts w:ascii="Cambria Math" w:hAnsi="Cambria Math"/>
                <w:color w:val="auto"/>
              </w:rPr>
            </m:ctrlPr>
          </m:e>
          <m:sub>
            <m:r>
              <m:rPr/>
              <w:rPr>
                <w:rFonts w:hint="eastAsia" w:ascii="Cambria Math" w:hAnsi="Cambria Math"/>
                <w:color w:val="auto"/>
              </w:rPr>
              <m:t>global</m:t>
            </m:r>
            <m:ctrlPr>
              <w:rPr>
                <w:rFonts w:ascii="Cambria Math" w:hAnsi="Cambria Math"/>
                <w:color w:val="auto"/>
              </w:rPr>
            </m:ctrlPr>
          </m:sub>
        </m:sSub>
      </m:oMath>
      <w:r>
        <w:rPr>
          <w:rFonts w:hint="eastAsia" w:ascii="Times New Roman" w:hAnsi="Times New Roman" w:eastAsia="宋体"/>
          <w:color w:val="auto"/>
          <w:szCs w:val="21"/>
        </w:rPr>
        <w:t>为1</w:t>
      </w:r>
      <w:r>
        <w:rPr>
          <w:rFonts w:ascii="Times New Roman" w:hAnsi="Times New Roman" w:eastAsia="宋体"/>
          <w:color w:val="auto"/>
          <w:szCs w:val="21"/>
        </w:rPr>
        <w:t>.25</w:t>
      </w:r>
      <w:r>
        <w:rPr>
          <w:rFonts w:hint="eastAsia" w:ascii="Times New Roman" w:hAnsi="Times New Roman" w:eastAsia="宋体"/>
          <w:color w:val="auto"/>
          <w:szCs w:val="21"/>
        </w:rPr>
        <w:t>，局部纤维取向系数</w:t>
      </w:r>
      <m:oMath>
        <m:sSub>
          <m:sSubPr>
            <m:ctrlPr>
              <w:rPr>
                <w:rFonts w:ascii="Cambria Math" w:hAnsi="Cambria Math"/>
                <w:color w:val="auto"/>
              </w:rPr>
            </m:ctrlPr>
          </m:sSubPr>
          <m:e>
            <m:r>
              <m:rPr/>
              <w:rPr>
                <w:rFonts w:ascii="Cambria Math" w:hAnsi="Cambria Math"/>
                <w:color w:val="auto"/>
              </w:rPr>
              <m:t>K</m:t>
            </m:r>
            <m:ctrlPr>
              <w:rPr>
                <w:rFonts w:ascii="Cambria Math" w:hAnsi="Cambria Math"/>
                <w:color w:val="auto"/>
              </w:rPr>
            </m:ctrlPr>
          </m:e>
          <m:sub>
            <m:r>
              <m:rPr/>
              <w:rPr>
                <w:rFonts w:hint="eastAsia" w:ascii="Cambria Math" w:hAnsi="Cambria Math"/>
                <w:color w:val="auto"/>
              </w:rPr>
              <m:t>lobal</m:t>
            </m:r>
            <m:ctrlPr>
              <w:rPr>
                <w:rFonts w:ascii="Cambria Math" w:hAnsi="Cambria Math"/>
                <w:color w:val="auto"/>
              </w:rPr>
            </m:ctrlPr>
          </m:sub>
        </m:sSub>
      </m:oMath>
      <w:r>
        <w:rPr>
          <w:rFonts w:hint="eastAsia" w:ascii="Times New Roman" w:hAnsi="Times New Roman" w:eastAsia="宋体"/>
          <w:color w:val="auto"/>
          <w:szCs w:val="21"/>
        </w:rPr>
        <w:t>为1</w:t>
      </w:r>
      <w:r>
        <w:rPr>
          <w:rFonts w:ascii="Times New Roman" w:hAnsi="Times New Roman" w:eastAsia="宋体"/>
          <w:color w:val="auto"/>
          <w:szCs w:val="21"/>
        </w:rPr>
        <w:t>.75</w:t>
      </w:r>
      <w:r>
        <w:rPr>
          <w:rFonts w:hint="eastAsia" w:ascii="Times New Roman" w:hAnsi="Times New Roman" w:eastAsia="宋体"/>
          <w:color w:val="auto"/>
          <w:szCs w:val="21"/>
        </w:rPr>
        <w:t>。局部纤维取向系数适用于局部效应</w:t>
      </w:r>
      <w:r>
        <w:rPr>
          <w:rFonts w:hint="eastAsia" w:ascii="Times New Roman" w:hAnsi="Times New Roman" w:eastAsia="宋体"/>
          <w:color w:val="auto"/>
          <w:szCs w:val="21"/>
          <w:lang w:eastAsia="zh-CN"/>
        </w:rPr>
        <w:t>分析</w:t>
      </w:r>
      <w:r>
        <w:rPr>
          <w:rFonts w:hint="eastAsia" w:ascii="Times New Roman" w:hAnsi="Times New Roman" w:eastAsia="宋体"/>
          <w:color w:val="auto"/>
          <w:szCs w:val="21"/>
        </w:rPr>
        <w:t>（如桥面板冲切等问题），整体纤维取向系数适用于整体效应</w:t>
      </w:r>
      <w:r>
        <w:rPr>
          <w:rFonts w:hint="eastAsia" w:ascii="Times New Roman" w:hAnsi="Times New Roman" w:eastAsia="宋体"/>
          <w:color w:val="auto"/>
          <w:szCs w:val="21"/>
          <w:lang w:eastAsia="zh-CN"/>
        </w:rPr>
        <w:t>分析</w:t>
      </w:r>
      <w:r>
        <w:rPr>
          <w:rFonts w:hint="eastAsia" w:ascii="Times New Roman" w:hAnsi="Times New Roman" w:eastAsia="宋体"/>
          <w:color w:val="auto"/>
          <w:szCs w:val="21"/>
        </w:rPr>
        <w:t>（如梁的抗弯、抗剪强度等问题）。</w:t>
      </w:r>
    </w:p>
    <w:p w14:paraId="788FEBD4">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4.1.7</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超高性能混凝土轴心强度的标准值和设计值，现说明如下：</w:t>
      </w:r>
    </w:p>
    <w:p w14:paraId="44572F15">
      <w:pPr>
        <w:spacing w:line="360" w:lineRule="auto"/>
        <w:ind w:firstLine="420"/>
        <w:rPr>
          <w:rFonts w:ascii="Times New Roman" w:hAnsi="Times New Roman" w:eastAsia="宋体"/>
          <w:color w:val="auto"/>
          <w:szCs w:val="21"/>
        </w:rPr>
      </w:pPr>
      <w:r>
        <w:rPr>
          <w:rFonts w:hint="eastAsia" w:ascii="Times New Roman" w:hAnsi="Times New Roman" w:eastAsia="宋体"/>
          <w:b/>
          <w:color w:val="auto"/>
          <w:szCs w:val="21"/>
        </w:rPr>
        <w:t xml:space="preserve">1 </w:t>
      </w:r>
      <w:r>
        <w:rPr>
          <w:rFonts w:hint="eastAsia" w:ascii="Times New Roman" w:hAnsi="Times New Roman" w:eastAsia="宋体"/>
          <w:color w:val="auto"/>
          <w:szCs w:val="21"/>
        </w:rPr>
        <w:t>轴心抗压标准值：根据《公路钢筋混凝土及预应力混凝土桥涵设计规范》J</w:t>
      </w:r>
      <w:r>
        <w:rPr>
          <w:rFonts w:ascii="Times New Roman" w:hAnsi="Times New Roman" w:eastAsia="宋体"/>
          <w:color w:val="auto"/>
          <w:szCs w:val="21"/>
        </w:rPr>
        <w:t>TG 3362</w:t>
      </w:r>
      <w:r>
        <w:rPr>
          <w:rFonts w:hint="eastAsia" w:ascii="Times New Roman" w:hAnsi="Times New Roman" w:eastAsia="宋体"/>
          <w:color w:val="auto"/>
          <w:szCs w:val="21"/>
        </w:rPr>
        <w:t>，轴心抗压强度标准值为棱柱体抗压强度，记为</w:t>
      </w:r>
      <m:oMath>
        <m:sSub>
          <m:sSubPr>
            <m:ctrlPr>
              <w:rPr>
                <w:rFonts w:ascii="Cambria Math" w:hAnsi="Cambria Math"/>
                <w:color w:val="auto"/>
              </w:rPr>
            </m:ctrlPr>
          </m:sSubPr>
          <m:e>
            <m:r>
              <m:rPr/>
              <w:rPr>
                <w:rFonts w:hint="eastAsia" w:ascii="Cambria Math" w:hAnsi="Cambria Math"/>
                <w:color w:val="auto"/>
              </w:rPr>
              <m:t>f</m:t>
            </m:r>
            <m:ctrlPr>
              <w:rPr>
                <w:rFonts w:ascii="Cambria Math" w:hAnsi="Cambria Math"/>
                <w:color w:val="auto"/>
              </w:rPr>
            </m:ctrlPr>
          </m:e>
          <m:sub>
            <m:r>
              <m:rPr/>
              <w:rPr>
                <w:rFonts w:hint="eastAsia" w:ascii="Cambria Math" w:hAnsi="Cambria Math"/>
                <w:color w:val="auto"/>
              </w:rPr>
              <m:t>ck</m:t>
            </m:r>
            <m:ctrlPr>
              <w:rPr>
                <w:rFonts w:ascii="Cambria Math" w:hAnsi="Cambria Math"/>
                <w:color w:val="auto"/>
              </w:rPr>
            </m:ctrlPr>
          </m:sub>
        </m:sSub>
      </m:oMath>
      <w:r>
        <w:rPr>
          <w:rFonts w:hint="eastAsia" w:ascii="Times New Roman" w:hAnsi="Times New Roman" w:eastAsia="宋体"/>
          <w:color w:val="auto"/>
          <w:szCs w:val="21"/>
        </w:rPr>
        <w:t>，其与混凝土强度等级（立方体抗压强度标准值）的关系为</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1"/>
        <w:gridCol w:w="2840"/>
        <w:gridCol w:w="2841"/>
      </w:tblGrid>
      <w:tr w14:paraId="1F256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7" w:type="pct"/>
            <w:vAlign w:val="center"/>
          </w:tcPr>
          <w:p w14:paraId="5FB61743">
            <w:pPr>
              <w:spacing w:line="360" w:lineRule="auto"/>
              <w:rPr>
                <w:rFonts w:hint="eastAsia" w:ascii="等线" w:hAnsi="等线" w:eastAsia="等线" w:cs="Times New Roman"/>
                <w:color w:val="auto"/>
                <w:szCs w:val="21"/>
              </w:rPr>
            </w:pPr>
          </w:p>
        </w:tc>
        <w:tc>
          <w:tcPr>
            <w:tcW w:w="1666" w:type="pct"/>
            <w:vAlign w:val="center"/>
          </w:tcPr>
          <w:p w14:paraId="67A74EFD">
            <w:pPr>
              <w:spacing w:line="360" w:lineRule="auto"/>
              <w:jc w:val="center"/>
              <w:rPr>
                <w:rFonts w:ascii="Times New Roman" w:hAnsi="Times New Roman" w:eastAsia="宋体"/>
                <w:color w:val="auto"/>
                <w:szCs w:val="21"/>
              </w:rPr>
            </w:pPr>
            <m:oMathPara>
              <m:oMath>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hint="eastAsia" w:ascii="Cambria Math" w:hAnsi="Cambria Math"/>
                        <w:color w:val="auto"/>
                      </w:rPr>
                      <m:t>ck</m:t>
                    </m:r>
                    <m:ctrlPr>
                      <w:rPr>
                        <w:rFonts w:ascii="Cambria Math" w:hAnsi="Cambria Math"/>
                        <w:color w:val="auto"/>
                      </w:rPr>
                    </m:ctrlPr>
                  </m:sub>
                </m:sSub>
                <m:r>
                  <m:rPr/>
                  <w:rPr>
                    <w:rFonts w:hint="eastAsia" w:ascii="Cambria Math" w:hAnsi="Cambria Math"/>
                    <w:color w:val="auto"/>
                  </w:rPr>
                  <m:t>=</m:t>
                </m:r>
                <m:r>
                  <m:rPr/>
                  <w:rPr>
                    <w:rFonts w:ascii="Cambria Math" w:hAnsi="Cambria Math"/>
                    <w:color w:val="auto"/>
                  </w:rPr>
                  <m:t>0.88α</m:t>
                </m:r>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cu,k</m:t>
                    </m:r>
                    <m:ctrlPr>
                      <w:rPr>
                        <w:rFonts w:ascii="Cambria Math" w:hAnsi="Cambria Math"/>
                        <w:i/>
                        <w:color w:val="auto"/>
                      </w:rPr>
                    </m:ctrlPr>
                  </m:sub>
                </m:sSub>
              </m:oMath>
            </m:oMathPara>
          </w:p>
        </w:tc>
        <w:tc>
          <w:tcPr>
            <w:tcW w:w="1667" w:type="pct"/>
            <w:vAlign w:val="center"/>
          </w:tcPr>
          <w:p w14:paraId="188E1E19">
            <w:pPr>
              <w:spacing w:line="360" w:lineRule="auto"/>
              <w:jc w:val="right"/>
              <w:rPr>
                <w:rFonts w:ascii="Times New Roman" w:hAnsi="Times New Roman" w:eastAsia="宋体"/>
                <w:color w:val="auto"/>
                <w:szCs w:val="21"/>
              </w:rPr>
            </w:pPr>
            <w:r>
              <w:rPr>
                <w:rFonts w:ascii="Times New Roman" w:hAnsi="Times New Roman" w:eastAsia="宋体"/>
                <w:color w:val="auto"/>
                <w:szCs w:val="21"/>
              </w:rPr>
              <w:t>(1)</w:t>
            </w:r>
          </w:p>
        </w:tc>
      </w:tr>
    </w:tbl>
    <w:p w14:paraId="789D8247">
      <w:pPr>
        <w:spacing w:line="360" w:lineRule="auto"/>
        <w:ind w:firstLine="420"/>
        <w:rPr>
          <w:rFonts w:ascii="Times New Roman" w:hAnsi="Times New Roman" w:eastAsia="宋体"/>
          <w:color w:val="auto"/>
          <w:szCs w:val="21"/>
        </w:rPr>
      </w:pPr>
      <w:r>
        <w:rPr>
          <w:rFonts w:hint="eastAsia" w:ascii="Times New Roman" w:hAnsi="Times New Roman" w:eastAsia="宋体"/>
          <w:color w:val="auto"/>
          <w:szCs w:val="21"/>
        </w:rPr>
        <w:t>式中系数</w:t>
      </w:r>
      <w:r>
        <w:rPr>
          <w:rFonts w:ascii="Times New Roman" w:hAnsi="Times New Roman" w:eastAsia="宋体" w:cs="Times New Roman"/>
          <w:color w:val="auto"/>
          <w:szCs w:val="21"/>
        </w:rPr>
        <w:t>α</w:t>
      </w:r>
      <w:r>
        <w:rPr>
          <w:rFonts w:hint="eastAsia" w:ascii="Times New Roman" w:hAnsi="Times New Roman" w:eastAsia="宋体"/>
          <w:color w:val="auto"/>
          <w:szCs w:val="21"/>
        </w:rPr>
        <w:t>为棱柱体抗压强度与立方体抗压强度的比值，与混凝土的强度等级有关，C</w:t>
      </w:r>
      <w:r>
        <w:rPr>
          <w:rFonts w:ascii="Times New Roman" w:hAnsi="Times New Roman" w:eastAsia="宋体"/>
          <w:color w:val="auto"/>
          <w:szCs w:val="21"/>
        </w:rPr>
        <w:t>50</w:t>
      </w:r>
      <w:r>
        <w:rPr>
          <w:rFonts w:hint="eastAsia" w:ascii="Times New Roman" w:hAnsi="Times New Roman" w:eastAsia="宋体"/>
          <w:color w:val="auto"/>
          <w:szCs w:val="21"/>
        </w:rPr>
        <w:t>以下混凝土取为0</w:t>
      </w:r>
      <w:r>
        <w:rPr>
          <w:rFonts w:ascii="Times New Roman" w:hAnsi="Times New Roman" w:eastAsia="宋体"/>
          <w:color w:val="auto"/>
          <w:szCs w:val="21"/>
        </w:rPr>
        <w:t>.76</w:t>
      </w:r>
      <w:r>
        <w:rPr>
          <w:rFonts w:hint="eastAsia" w:ascii="Times New Roman" w:hAnsi="Times New Roman" w:eastAsia="宋体"/>
          <w:color w:val="auto"/>
          <w:szCs w:val="21"/>
        </w:rPr>
        <w:t>；C</w:t>
      </w:r>
      <w:r>
        <w:rPr>
          <w:rFonts w:ascii="Times New Roman" w:hAnsi="Times New Roman" w:eastAsia="宋体"/>
          <w:color w:val="auto"/>
          <w:szCs w:val="21"/>
        </w:rPr>
        <w:t>55</w:t>
      </w:r>
      <w:r>
        <w:rPr>
          <w:rFonts w:hint="eastAsia" w:ascii="Times New Roman" w:hAnsi="Times New Roman" w:eastAsia="宋体"/>
          <w:color w:val="auto"/>
          <w:szCs w:val="21"/>
        </w:rPr>
        <w:t>~</w:t>
      </w:r>
      <w:r>
        <w:rPr>
          <w:rFonts w:ascii="Times New Roman" w:hAnsi="Times New Roman" w:eastAsia="宋体"/>
          <w:color w:val="auto"/>
          <w:szCs w:val="21"/>
        </w:rPr>
        <w:t>C80</w:t>
      </w:r>
      <w:r>
        <w:rPr>
          <w:rFonts w:hint="eastAsia" w:ascii="Times New Roman" w:hAnsi="Times New Roman" w:eastAsia="宋体"/>
          <w:color w:val="auto"/>
          <w:szCs w:val="21"/>
        </w:rPr>
        <w:t>取为0</w:t>
      </w:r>
      <w:r>
        <w:rPr>
          <w:rFonts w:ascii="Times New Roman" w:hAnsi="Times New Roman" w:eastAsia="宋体"/>
          <w:color w:val="auto"/>
          <w:szCs w:val="21"/>
        </w:rPr>
        <w:t>.78</w:t>
      </w:r>
      <w:r>
        <w:rPr>
          <w:rFonts w:hint="eastAsia" w:ascii="Times New Roman" w:hAnsi="Times New Roman" w:eastAsia="宋体"/>
          <w:color w:val="auto"/>
          <w:szCs w:val="21"/>
        </w:rPr>
        <w:t>~</w:t>
      </w:r>
      <w:r>
        <w:rPr>
          <w:rFonts w:ascii="Times New Roman" w:hAnsi="Times New Roman" w:eastAsia="宋体"/>
          <w:color w:val="auto"/>
          <w:szCs w:val="21"/>
        </w:rPr>
        <w:t>0.82</w:t>
      </w:r>
      <w:r>
        <w:rPr>
          <w:rFonts w:hint="eastAsia" w:ascii="Times New Roman" w:hAnsi="Times New Roman" w:eastAsia="宋体"/>
          <w:color w:val="auto"/>
          <w:szCs w:val="21"/>
        </w:rPr>
        <w:t>。湖南大学统计了国内外总计1</w:t>
      </w:r>
      <w:r>
        <w:rPr>
          <w:rFonts w:ascii="Times New Roman" w:hAnsi="Times New Roman" w:eastAsia="宋体"/>
          <w:color w:val="auto"/>
          <w:szCs w:val="21"/>
        </w:rPr>
        <w:t>42</w:t>
      </w:r>
      <w:r>
        <w:rPr>
          <w:rFonts w:hint="eastAsia" w:ascii="Times New Roman" w:hAnsi="Times New Roman" w:eastAsia="宋体"/>
          <w:color w:val="auto"/>
          <w:szCs w:val="21"/>
        </w:rPr>
        <w:t>组强度范围在7</w:t>
      </w:r>
      <w:r>
        <w:rPr>
          <w:rFonts w:ascii="Times New Roman" w:hAnsi="Times New Roman" w:eastAsia="宋体"/>
          <w:color w:val="auto"/>
          <w:szCs w:val="21"/>
        </w:rPr>
        <w:t>7MP</w:t>
      </w:r>
      <w:r>
        <w:rPr>
          <w:rFonts w:hint="eastAsia" w:ascii="Times New Roman" w:hAnsi="Times New Roman" w:eastAsia="宋体"/>
          <w:color w:val="auto"/>
          <w:szCs w:val="21"/>
        </w:rPr>
        <w:t>a~</w:t>
      </w:r>
      <w:r>
        <w:rPr>
          <w:rFonts w:ascii="Times New Roman" w:hAnsi="Times New Roman" w:eastAsia="宋体"/>
          <w:color w:val="auto"/>
          <w:szCs w:val="21"/>
        </w:rPr>
        <w:t>189MP</w:t>
      </w:r>
      <w:r>
        <w:rPr>
          <w:rFonts w:hint="eastAsia" w:ascii="Times New Roman" w:hAnsi="Times New Roman" w:eastAsia="宋体"/>
          <w:color w:val="auto"/>
          <w:szCs w:val="21"/>
        </w:rPr>
        <w:t>a范围内的超高性能混凝土立方体抗压强度和棱柱体抗压强度试验结果，结果表明超高性能混凝土棱柱体抗压强度和立方体抗压强度的比值约在0</w:t>
      </w:r>
      <w:r>
        <w:rPr>
          <w:rFonts w:ascii="Times New Roman" w:hAnsi="Times New Roman" w:eastAsia="宋体"/>
          <w:color w:val="auto"/>
          <w:szCs w:val="21"/>
        </w:rPr>
        <w:t>.76</w:t>
      </w:r>
      <w:r>
        <w:rPr>
          <w:rFonts w:hint="eastAsia" w:ascii="Times New Roman" w:hAnsi="Times New Roman" w:eastAsia="宋体"/>
          <w:color w:val="auto"/>
          <w:szCs w:val="21"/>
        </w:rPr>
        <w:t>~</w:t>
      </w:r>
      <w:r>
        <w:rPr>
          <w:rFonts w:ascii="Times New Roman" w:hAnsi="Times New Roman" w:eastAsia="宋体"/>
          <w:color w:val="auto"/>
          <w:szCs w:val="21"/>
        </w:rPr>
        <w:t>1.01</w:t>
      </w:r>
      <w:r>
        <w:rPr>
          <w:rFonts w:hint="eastAsia" w:ascii="Times New Roman" w:hAnsi="Times New Roman" w:eastAsia="宋体"/>
          <w:color w:val="auto"/>
          <w:szCs w:val="21"/>
        </w:rPr>
        <w:t>间，平均值为0</w:t>
      </w:r>
      <w:r>
        <w:rPr>
          <w:rFonts w:ascii="Times New Roman" w:hAnsi="Times New Roman" w:eastAsia="宋体"/>
          <w:color w:val="auto"/>
          <w:szCs w:val="21"/>
        </w:rPr>
        <w:t>.890</w:t>
      </w:r>
      <w:r>
        <w:rPr>
          <w:rFonts w:hint="eastAsia" w:ascii="Times New Roman" w:hAnsi="Times New Roman" w:eastAsia="宋体"/>
          <w:color w:val="auto"/>
          <w:szCs w:val="21"/>
        </w:rPr>
        <w:t>，标准差为0</w:t>
      </w:r>
      <w:r>
        <w:rPr>
          <w:rFonts w:ascii="Times New Roman" w:hAnsi="Times New Roman" w:eastAsia="宋体"/>
          <w:color w:val="auto"/>
          <w:szCs w:val="21"/>
        </w:rPr>
        <w:t>.055</w:t>
      </w:r>
      <w:r>
        <w:rPr>
          <w:rFonts w:hint="eastAsia" w:ascii="Times New Roman" w:hAnsi="Times New Roman" w:eastAsia="宋体"/>
          <w:color w:val="auto"/>
          <w:szCs w:val="21"/>
        </w:rPr>
        <w:t>，9</w:t>
      </w:r>
      <w:r>
        <w:rPr>
          <w:rFonts w:ascii="Times New Roman" w:hAnsi="Times New Roman" w:eastAsia="宋体"/>
          <w:color w:val="auto"/>
          <w:szCs w:val="21"/>
        </w:rPr>
        <w:t>5</w:t>
      </w:r>
      <w:r>
        <w:rPr>
          <w:rFonts w:hint="eastAsia" w:ascii="Times New Roman" w:hAnsi="Times New Roman" w:eastAsia="宋体"/>
          <w:color w:val="auto"/>
          <w:szCs w:val="21"/>
        </w:rPr>
        <w:t>%保证率的数值为0</w:t>
      </w:r>
      <w:r>
        <w:rPr>
          <w:rFonts w:ascii="Times New Roman" w:hAnsi="Times New Roman" w:eastAsia="宋体"/>
          <w:color w:val="auto"/>
          <w:szCs w:val="21"/>
        </w:rPr>
        <w:t>.800</w:t>
      </w:r>
      <w:r>
        <w:rPr>
          <w:rFonts w:hint="eastAsia" w:ascii="Times New Roman" w:hAnsi="Times New Roman" w:eastAsia="宋体"/>
          <w:color w:val="auto"/>
          <w:szCs w:val="21"/>
        </w:rPr>
        <w:t>，因此本规程取</w:t>
      </w:r>
      <m:oMath>
        <m:r>
          <m:rPr>
            <m:sty m:val="p"/>
          </m:rPr>
          <w:rPr>
            <w:rFonts w:ascii="Cambria Math" w:hAnsi="Cambria Math"/>
            <w:color w:val="auto"/>
          </w:rPr>
          <m:t>α</m:t>
        </m:r>
        <m:r>
          <m:rPr>
            <m:sty m:val="p"/>
          </m:rPr>
          <w:rPr>
            <w:rFonts w:hint="eastAsia" w:ascii="Cambria Math" w:hAnsi="Cambria Math"/>
            <w:color w:val="auto"/>
          </w:rPr>
          <m:t>=</m:t>
        </m:r>
        <m:r>
          <m:rPr>
            <m:sty m:val="p"/>
          </m:rPr>
          <w:rPr>
            <w:rFonts w:ascii="Cambria Math" w:hAnsi="Cambria Math"/>
            <w:color w:val="auto"/>
          </w:rPr>
          <m:t>0.80</m:t>
        </m:r>
      </m:oMath>
      <w:r>
        <w:rPr>
          <w:rFonts w:hint="eastAsia" w:ascii="Times New Roman" w:hAnsi="Times New Roman" w:eastAsia="宋体"/>
          <w:color w:val="auto"/>
          <w:szCs w:val="21"/>
        </w:rPr>
        <w:t>。同时，由于超高性能混凝土中掺有钢纤维，超高性能混凝土的受压脆性得到显著改善，可不考虑脆性折减系数。</w:t>
      </w:r>
    </w:p>
    <w:p w14:paraId="4D9BE81C">
      <w:pPr>
        <w:spacing w:line="360" w:lineRule="auto"/>
        <w:ind w:firstLine="420"/>
        <w:rPr>
          <w:rFonts w:ascii="Times New Roman" w:hAnsi="Times New Roman" w:eastAsia="宋体"/>
          <w:color w:val="auto"/>
          <w:szCs w:val="21"/>
        </w:rPr>
      </w:pPr>
      <w:r>
        <w:rPr>
          <w:rFonts w:hint="eastAsia" w:ascii="Times New Roman" w:hAnsi="Times New Roman" w:eastAsia="黑体" w:cs="Times New Roman"/>
          <w:b/>
          <w:bCs/>
          <w:color w:val="auto"/>
          <w:szCs w:val="24"/>
        </w:rPr>
        <w:t>2</w:t>
      </w:r>
      <w:r>
        <w:rPr>
          <w:rFonts w:hint="eastAsia" w:ascii="Times New Roman" w:hAnsi="Times New Roman" w:eastAsia="宋体"/>
          <w:b/>
          <w:color w:val="auto"/>
          <w:szCs w:val="21"/>
        </w:rPr>
        <w:t xml:space="preserve"> </w:t>
      </w:r>
      <w:r>
        <w:rPr>
          <w:rFonts w:hint="eastAsia" w:ascii="Times New Roman" w:hAnsi="Times New Roman" w:eastAsia="宋体"/>
          <w:color w:val="auto"/>
          <w:szCs w:val="21"/>
        </w:rPr>
        <w:t>轴心抗压强度设计值：考虑材料分项系数的抗压强度设计值，记为</w:t>
      </w:r>
      <m:oMath>
        <m:sSub>
          <m:sSubPr>
            <m:ctrlPr>
              <w:rPr>
                <w:rFonts w:ascii="Cambria Math" w:hAnsi="Cambria Math"/>
                <w:color w:val="auto"/>
              </w:rPr>
            </m:ctrlPr>
          </m:sSubPr>
          <m:e>
            <m:r>
              <m:rPr/>
              <w:rPr>
                <w:rFonts w:hint="eastAsia" w:ascii="Cambria Math" w:hAnsi="Cambria Math"/>
                <w:color w:val="auto"/>
              </w:rPr>
              <m:t>f</m:t>
            </m:r>
            <m:ctrlPr>
              <w:rPr>
                <w:rFonts w:ascii="Cambria Math" w:hAnsi="Cambria Math"/>
                <w:color w:val="auto"/>
              </w:rPr>
            </m:ctrlPr>
          </m:e>
          <m:sub>
            <m:r>
              <m:rPr/>
              <w:rPr>
                <w:rFonts w:hint="eastAsia" w:ascii="Cambria Math" w:hAnsi="Cambria Math"/>
                <w:color w:val="auto"/>
              </w:rPr>
              <m:t>cd</m:t>
            </m:r>
            <m:ctrlPr>
              <w:rPr>
                <w:rFonts w:ascii="Cambria Math" w:hAnsi="Cambria Math"/>
                <w:color w:val="auto"/>
              </w:rPr>
            </m:ctrlPr>
          </m:sub>
        </m:sSub>
      </m:oMath>
      <w:r>
        <w:rPr>
          <w:rFonts w:hint="eastAsia" w:ascii="Times New Roman" w:hAnsi="Times New Roman" w:eastAsia="宋体"/>
          <w:color w:val="auto"/>
          <w:szCs w:val="21"/>
        </w:rPr>
        <w:t>，用于构件设计。对于混凝土材料，材料分析系数取</w:t>
      </w:r>
      <m:oMath>
        <m:r>
          <m:rPr>
            <m:sty m:val="p"/>
          </m:rPr>
          <w:rPr>
            <w:rFonts w:ascii="Cambria Math" w:hAnsi="Cambria Math"/>
            <w:color w:val="auto"/>
          </w:rPr>
          <m:t>γ</m:t>
        </m:r>
        <m:r>
          <m:rPr>
            <m:sty m:val="p"/>
          </m:rPr>
          <w:rPr>
            <w:rFonts w:hint="eastAsia" w:ascii="Cambria Math" w:hAnsi="Cambria Math"/>
            <w:color w:val="auto"/>
          </w:rPr>
          <m:t>=</m:t>
        </m:r>
        <m:r>
          <m:rPr>
            <m:sty m:val="p"/>
          </m:rPr>
          <w:rPr>
            <w:rFonts w:ascii="Cambria Math" w:hAnsi="Cambria Math"/>
            <w:color w:val="auto"/>
          </w:rPr>
          <m:t>1.45</m:t>
        </m:r>
      </m:oMath>
      <w:r>
        <w:rPr>
          <w:rFonts w:hint="eastAsia" w:ascii="Times New Roman" w:hAnsi="Times New Roman" w:eastAsia="宋体"/>
          <w:color w:val="auto"/>
          <w:szCs w:val="21"/>
        </w:rPr>
        <w:t>，因此轴心抗压强度设计值为：</w:t>
      </w:r>
      <m:oMath>
        <m:sSub>
          <m:sSubPr>
            <m:ctrlPr>
              <w:rPr>
                <w:rFonts w:ascii="Cambria Math" w:hAnsi="Cambria Math"/>
                <w:color w:val="auto"/>
              </w:rPr>
            </m:ctrlPr>
          </m:sSubPr>
          <m:e>
            <m:r>
              <m:rPr/>
              <w:rPr>
                <w:rFonts w:hint="eastAsia" w:ascii="Cambria Math" w:hAnsi="Cambria Math"/>
                <w:color w:val="auto"/>
              </w:rPr>
              <m:t>f</m:t>
            </m:r>
            <m:ctrlPr>
              <w:rPr>
                <w:rFonts w:ascii="Cambria Math" w:hAnsi="Cambria Math"/>
                <w:color w:val="auto"/>
              </w:rPr>
            </m:ctrlPr>
          </m:e>
          <m:sub>
            <m:r>
              <m:rPr/>
              <w:rPr>
                <w:rFonts w:ascii="Cambria Math" w:hAnsi="Cambria Math"/>
                <w:color w:val="auto"/>
              </w:rPr>
              <m:t>cd</m:t>
            </m:r>
            <m:ctrlPr>
              <w:rPr>
                <w:rFonts w:ascii="Cambria Math" w:hAnsi="Cambria Math"/>
                <w:color w:val="auto"/>
              </w:rPr>
            </m:ctrlPr>
          </m:sub>
        </m:sSub>
        <m:r>
          <m:rPr/>
          <w:rPr>
            <w:rFonts w:ascii="Cambria Math" w:hAnsi="Cambria Math"/>
            <w:color w:val="auto"/>
          </w:rPr>
          <m:t>=0.88×0.80×</m:t>
        </m:r>
        <m:f>
          <m:fPr>
            <m:type m:val="lin"/>
            <m:ctrlPr>
              <w:rPr>
                <w:rFonts w:ascii="Cambria Math" w:hAnsi="Cambria Math"/>
                <w:i/>
                <w:color w:val="auto"/>
              </w:rPr>
            </m:ctrlPr>
          </m:fPr>
          <m:num>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cu,k</m:t>
                </m:r>
                <m:ctrlPr>
                  <w:rPr>
                    <w:rFonts w:ascii="Cambria Math" w:hAnsi="Cambria Math"/>
                    <w:i/>
                    <w:color w:val="auto"/>
                  </w:rPr>
                </m:ctrlPr>
              </m:sub>
            </m:sSub>
            <m:ctrlPr>
              <w:rPr>
                <w:rFonts w:ascii="Cambria Math" w:hAnsi="Cambria Math"/>
                <w:i/>
                <w:color w:val="auto"/>
              </w:rPr>
            </m:ctrlPr>
          </m:num>
          <m:den>
            <m:r>
              <m:rPr/>
              <w:rPr>
                <w:rFonts w:ascii="Cambria Math" w:hAnsi="Cambria Math"/>
                <w:color w:val="auto"/>
              </w:rPr>
              <m:t>1.45</m:t>
            </m:r>
            <m:ctrlPr>
              <w:rPr>
                <w:rFonts w:ascii="Cambria Math" w:hAnsi="Cambria Math"/>
                <w:i/>
                <w:color w:val="auto"/>
              </w:rPr>
            </m:ctrlPr>
          </m:den>
        </m:f>
      </m:oMath>
      <w:r>
        <w:rPr>
          <w:rFonts w:hint="eastAsia" w:ascii="Times New Roman" w:hAnsi="Times New Roman" w:eastAsia="宋体"/>
          <w:color w:val="auto"/>
          <w:szCs w:val="21"/>
        </w:rPr>
        <w:t>。</w:t>
      </w:r>
    </w:p>
    <w:p w14:paraId="71245FFF">
      <w:pPr>
        <w:spacing w:line="360" w:lineRule="auto"/>
        <w:ind w:firstLine="420"/>
        <w:rPr>
          <w:rFonts w:ascii="Times New Roman" w:hAnsi="Times New Roman" w:eastAsia="宋体"/>
          <w:color w:val="auto"/>
          <w:szCs w:val="21"/>
        </w:rPr>
      </w:pPr>
      <w:r>
        <w:rPr>
          <w:rFonts w:hint="eastAsia" w:ascii="Times New Roman" w:hAnsi="Times New Roman" w:eastAsia="宋体"/>
          <w:b/>
          <w:color w:val="auto"/>
          <w:szCs w:val="21"/>
        </w:rPr>
        <w:t xml:space="preserve">3 </w:t>
      </w:r>
      <w:r>
        <w:rPr>
          <w:rFonts w:hint="eastAsia" w:ascii="Times New Roman" w:hAnsi="Times New Roman" w:eastAsia="宋体"/>
          <w:color w:val="auto"/>
          <w:szCs w:val="21"/>
        </w:rPr>
        <w:t>轴心抗拉强度标准值：根据轴心抗拉强度等级划分，依次取6</w:t>
      </w:r>
      <w:r>
        <w:rPr>
          <w:rFonts w:ascii="Times New Roman" w:hAnsi="Times New Roman" w:eastAsia="宋体"/>
          <w:color w:val="auto"/>
          <w:szCs w:val="21"/>
        </w:rPr>
        <w:t>MP</w:t>
      </w:r>
      <w:r>
        <w:rPr>
          <w:rFonts w:hint="eastAsia" w:ascii="Times New Roman" w:hAnsi="Times New Roman" w:eastAsia="宋体"/>
          <w:color w:val="auto"/>
          <w:szCs w:val="21"/>
        </w:rPr>
        <w:t>a、7</w:t>
      </w:r>
      <w:r>
        <w:rPr>
          <w:rFonts w:ascii="Times New Roman" w:hAnsi="Times New Roman" w:eastAsia="宋体"/>
          <w:color w:val="auto"/>
          <w:szCs w:val="21"/>
        </w:rPr>
        <w:t>MP</w:t>
      </w:r>
      <w:r>
        <w:rPr>
          <w:rFonts w:hint="eastAsia" w:ascii="Times New Roman" w:hAnsi="Times New Roman" w:eastAsia="宋体"/>
          <w:color w:val="auto"/>
          <w:szCs w:val="21"/>
        </w:rPr>
        <w:t>a、8</w:t>
      </w:r>
      <w:r>
        <w:rPr>
          <w:rFonts w:ascii="Times New Roman" w:hAnsi="Times New Roman" w:eastAsia="宋体"/>
          <w:color w:val="auto"/>
          <w:szCs w:val="21"/>
        </w:rPr>
        <w:t>MP</w:t>
      </w:r>
      <w:r>
        <w:rPr>
          <w:rFonts w:hint="eastAsia" w:ascii="Times New Roman" w:hAnsi="Times New Roman" w:eastAsia="宋体"/>
          <w:color w:val="auto"/>
          <w:szCs w:val="21"/>
        </w:rPr>
        <w:t>a和9</w:t>
      </w:r>
      <w:r>
        <w:rPr>
          <w:rFonts w:ascii="Times New Roman" w:hAnsi="Times New Roman" w:eastAsia="宋体"/>
          <w:color w:val="auto"/>
          <w:szCs w:val="21"/>
        </w:rPr>
        <w:t>MP</w:t>
      </w:r>
      <w:r>
        <w:rPr>
          <w:rFonts w:hint="eastAsia" w:ascii="Times New Roman" w:hAnsi="Times New Roman" w:eastAsia="宋体"/>
          <w:color w:val="auto"/>
          <w:szCs w:val="21"/>
        </w:rPr>
        <w:t>a。</w:t>
      </w:r>
    </w:p>
    <w:p w14:paraId="1B83B412">
      <w:pPr>
        <w:spacing w:line="360" w:lineRule="auto"/>
        <w:ind w:firstLine="420"/>
        <w:rPr>
          <w:rFonts w:ascii="Times New Roman" w:hAnsi="Times New Roman" w:eastAsia="宋体"/>
          <w:color w:val="auto"/>
          <w:szCs w:val="21"/>
        </w:rPr>
      </w:pPr>
      <w:r>
        <w:rPr>
          <w:rFonts w:hint="eastAsia" w:ascii="Times New Roman" w:hAnsi="Times New Roman" w:eastAsia="黑体" w:cs="Times New Roman"/>
          <w:b/>
          <w:bCs/>
          <w:color w:val="auto"/>
          <w:szCs w:val="24"/>
        </w:rPr>
        <w:t>4</w:t>
      </w:r>
      <w:r>
        <w:rPr>
          <w:rFonts w:hint="eastAsia" w:ascii="Times New Roman" w:hAnsi="Times New Roman" w:eastAsia="宋体"/>
          <w:b/>
          <w:color w:val="auto"/>
          <w:szCs w:val="21"/>
        </w:rPr>
        <w:t xml:space="preserve"> </w:t>
      </w:r>
      <w:r>
        <w:rPr>
          <w:rFonts w:hint="eastAsia" w:ascii="Times New Roman" w:hAnsi="Times New Roman" w:eastAsia="宋体"/>
          <w:color w:val="auto"/>
          <w:szCs w:val="21"/>
        </w:rPr>
        <w:t>轴心抗拉强度设计值：考虑材料分项系数和纤维取向系数K的抗拉强度设计值，记为</w:t>
      </w:r>
      <m:oMath>
        <m:sSub>
          <m:sSubPr>
            <m:ctrlPr>
              <w:rPr>
                <w:rFonts w:ascii="Cambria Math" w:hAnsi="Cambria Math"/>
                <w:color w:val="auto"/>
              </w:rPr>
            </m:ctrlPr>
          </m:sSubPr>
          <m:e>
            <m:r>
              <m:rPr/>
              <w:rPr>
                <w:rFonts w:hint="eastAsia" w:ascii="Cambria Math" w:hAnsi="Cambria Math"/>
                <w:color w:val="auto"/>
              </w:rPr>
              <m:t>f</m:t>
            </m:r>
            <m:ctrlPr>
              <w:rPr>
                <w:rFonts w:ascii="Cambria Math" w:hAnsi="Cambria Math"/>
                <w:color w:val="auto"/>
              </w:rPr>
            </m:ctrlPr>
          </m:e>
          <m:sub>
            <m:r>
              <m:rPr/>
              <w:rPr>
                <w:rFonts w:hint="eastAsia" w:ascii="Cambria Math" w:hAnsi="Cambria Math"/>
                <w:color w:val="auto"/>
              </w:rPr>
              <m:t>td</m:t>
            </m:r>
            <m:ctrlPr>
              <w:rPr>
                <w:rFonts w:ascii="Cambria Math" w:hAnsi="Cambria Math"/>
                <w:color w:val="auto"/>
              </w:rPr>
            </m:ctrlPr>
          </m:sub>
        </m:sSub>
      </m:oMath>
      <w:r>
        <w:rPr>
          <w:rFonts w:hint="eastAsia" w:ascii="Times New Roman" w:hAnsi="Times New Roman" w:eastAsia="宋体"/>
          <w:color w:val="auto"/>
          <w:szCs w:val="21"/>
        </w:rPr>
        <w:t>，用于构件承载能力极限状态设计。对于混凝土材料，材料分析系数取</w:t>
      </w:r>
      <m:oMath>
        <m:r>
          <m:rPr>
            <m:sty m:val="p"/>
          </m:rPr>
          <w:rPr>
            <w:rFonts w:ascii="Cambria Math" w:hAnsi="Cambria Math"/>
            <w:color w:val="auto"/>
          </w:rPr>
          <m:t>γ</m:t>
        </m:r>
        <m:r>
          <m:rPr>
            <m:sty m:val="p"/>
          </m:rPr>
          <w:rPr>
            <w:rFonts w:hint="eastAsia" w:ascii="Cambria Math" w:hAnsi="Cambria Math"/>
            <w:color w:val="auto"/>
          </w:rPr>
          <m:t>=</m:t>
        </m:r>
        <m:r>
          <m:rPr>
            <m:sty m:val="p"/>
          </m:rPr>
          <w:rPr>
            <w:rFonts w:ascii="Cambria Math" w:hAnsi="Cambria Math"/>
            <w:color w:val="auto"/>
          </w:rPr>
          <m:t>1.45</m:t>
        </m:r>
      </m:oMath>
      <w:r>
        <w:rPr>
          <w:rFonts w:hint="eastAsia" w:ascii="Times New Roman" w:hAnsi="Times New Roman" w:eastAsia="宋体"/>
          <w:color w:val="auto"/>
          <w:szCs w:val="21"/>
        </w:rPr>
        <w:t>，因此承载能力极限状态轴心抗拉强度设计值为：</w:t>
      </w:r>
      <m:oMath>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td</m:t>
            </m:r>
            <m:ctrlPr>
              <w:rPr>
                <w:rFonts w:ascii="Cambria Math" w:hAnsi="Cambria Math"/>
                <w:color w:val="auto"/>
              </w:rPr>
            </m:ctrlPr>
          </m:sub>
        </m:sSub>
        <m:r>
          <m:rPr/>
          <w:rPr>
            <w:rFonts w:ascii="Cambria Math" w:hAnsi="Cambria Math"/>
            <w:color w:val="auto"/>
          </w:rPr>
          <m:t>=</m:t>
        </m:r>
        <m:f>
          <m:fPr>
            <m:type m:val="lin"/>
            <m:ctrlPr>
              <w:rPr>
                <w:rFonts w:ascii="Cambria Math" w:hAnsi="Cambria Math"/>
                <w:i/>
                <w:color w:val="auto"/>
              </w:rPr>
            </m:ctrlPr>
          </m:fPr>
          <m:num>
            <m:f>
              <m:fPr>
                <m:type m:val="lin"/>
                <m:ctrlPr>
                  <w:rPr>
                    <w:rFonts w:ascii="Cambria Math" w:hAnsi="Cambria Math"/>
                    <w:i/>
                    <w:color w:val="auto"/>
                  </w:rPr>
                </m:ctrlPr>
              </m:fPr>
              <m:num>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tk</m:t>
                    </m:r>
                    <m:ctrlPr>
                      <w:rPr>
                        <w:rFonts w:ascii="Cambria Math" w:hAnsi="Cambria Math"/>
                        <w:i/>
                        <w:color w:val="auto"/>
                      </w:rPr>
                    </m:ctrlPr>
                  </m:sub>
                </m:sSub>
                <m:ctrlPr>
                  <w:rPr>
                    <w:rFonts w:ascii="Cambria Math" w:hAnsi="Cambria Math"/>
                    <w:i/>
                    <w:color w:val="auto"/>
                  </w:rPr>
                </m:ctrlPr>
              </m:num>
              <m:den>
                <m:r>
                  <m:rPr/>
                  <w:rPr>
                    <w:rFonts w:ascii="Cambria Math" w:hAnsi="Cambria Math"/>
                    <w:color w:val="auto"/>
                  </w:rPr>
                  <m:t>1.45</m:t>
                </m:r>
                <m:ctrlPr>
                  <w:rPr>
                    <w:rFonts w:ascii="Cambria Math" w:hAnsi="Cambria Math"/>
                    <w:i/>
                    <w:color w:val="auto"/>
                  </w:rPr>
                </m:ctrlPr>
              </m:den>
            </m:f>
            <m:ctrlPr>
              <w:rPr>
                <w:rFonts w:ascii="Cambria Math" w:hAnsi="Cambria Math"/>
                <w:i/>
                <w:color w:val="auto"/>
              </w:rPr>
            </m:ctrlPr>
          </m:num>
          <m:den>
            <m:r>
              <m:rPr/>
              <w:rPr>
                <w:rFonts w:ascii="Cambria Math" w:hAnsi="Cambria Math"/>
                <w:color w:val="auto"/>
              </w:rPr>
              <m:t>K</m:t>
            </m:r>
            <m:ctrlPr>
              <w:rPr>
                <w:rFonts w:ascii="Cambria Math" w:hAnsi="Cambria Math"/>
                <w:i/>
                <w:color w:val="auto"/>
              </w:rPr>
            </m:ctrlPr>
          </m:den>
        </m:f>
      </m:oMath>
      <w:r>
        <w:rPr>
          <w:rFonts w:ascii="Times New Roman" w:hAnsi="Times New Roman" w:eastAsia="宋体"/>
          <w:color w:val="auto"/>
          <w:szCs w:val="21"/>
        </w:rPr>
        <w:t>。</w:t>
      </w:r>
    </w:p>
    <w:p w14:paraId="269FE8E3">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4.1.8</w:t>
      </w:r>
      <w:r>
        <w:rPr>
          <w:rFonts w:ascii="Times New Roman" w:hAnsi="Times New Roman" w:eastAsia="黑体" w:cs="Times New Roman"/>
          <w:b/>
          <w:bCs/>
          <w:color w:val="auto"/>
          <w:sz w:val="24"/>
          <w:szCs w:val="24"/>
        </w:rPr>
        <w:t xml:space="preserve">  </w:t>
      </w:r>
      <w:r>
        <w:rPr>
          <w:rFonts w:ascii="Times New Roman" w:hAnsi="Times New Roman" w:eastAsia="宋体"/>
          <w:color w:val="auto"/>
          <w:szCs w:val="21"/>
        </w:rPr>
        <w:t>本条文规定的超高性能混凝土弹性模量试件尺寸参考国家标准《活性粉末混凝土》</w:t>
      </w:r>
      <w:r>
        <w:rPr>
          <w:rFonts w:hint="eastAsia" w:ascii="Times New Roman" w:hAnsi="Times New Roman" w:eastAsia="宋体"/>
          <w:color w:val="auto"/>
          <w:szCs w:val="21"/>
        </w:rPr>
        <w:t>G</w:t>
      </w:r>
      <w:r>
        <w:rPr>
          <w:rFonts w:ascii="Times New Roman" w:hAnsi="Times New Roman" w:eastAsia="宋体"/>
          <w:color w:val="auto"/>
          <w:szCs w:val="21"/>
        </w:rPr>
        <w:t>B/T 31387的相关条文。据统计国内总计</w:t>
      </w:r>
      <w:r>
        <w:rPr>
          <w:rFonts w:hint="eastAsia" w:ascii="Times New Roman" w:hAnsi="Times New Roman" w:eastAsia="宋体"/>
          <w:color w:val="auto"/>
          <w:szCs w:val="21"/>
        </w:rPr>
        <w:t>2</w:t>
      </w:r>
      <w:r>
        <w:rPr>
          <w:rFonts w:ascii="Times New Roman" w:hAnsi="Times New Roman" w:eastAsia="宋体"/>
          <w:color w:val="auto"/>
          <w:szCs w:val="21"/>
        </w:rPr>
        <w:t>80组超高性能混凝土立方体抗压强度和弹性模量试验结果，强度范围在</w:t>
      </w:r>
      <w:r>
        <w:rPr>
          <w:rFonts w:hint="eastAsia" w:ascii="Times New Roman" w:hAnsi="Times New Roman" w:eastAsia="宋体"/>
          <w:color w:val="auto"/>
          <w:szCs w:val="21"/>
        </w:rPr>
        <w:t>1</w:t>
      </w:r>
      <w:r>
        <w:rPr>
          <w:rFonts w:ascii="Times New Roman" w:hAnsi="Times New Roman" w:eastAsia="宋体"/>
          <w:color w:val="auto"/>
          <w:szCs w:val="21"/>
        </w:rPr>
        <w:t>00MPa~205MPa之间，弹性模量范围在32.9GPa~58.1GPa之间，采用最小二乘法回归得到如下公式。当无试验资料时，超高性能混凝土弹性模量可根据如下公式计算取值。</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1"/>
        <w:gridCol w:w="2840"/>
        <w:gridCol w:w="2841"/>
      </w:tblGrid>
      <w:tr w14:paraId="406A7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7" w:type="pct"/>
            <w:vAlign w:val="center"/>
          </w:tcPr>
          <w:p w14:paraId="5FB617D7">
            <w:pPr>
              <w:spacing w:line="360" w:lineRule="auto"/>
              <w:rPr>
                <w:rFonts w:hint="eastAsia" w:ascii="等线" w:hAnsi="等线" w:eastAsia="等线" w:cs="Times New Roman"/>
                <w:color w:val="auto"/>
                <w:szCs w:val="21"/>
              </w:rPr>
            </w:pPr>
          </w:p>
        </w:tc>
        <w:tc>
          <w:tcPr>
            <w:tcW w:w="1666" w:type="pct"/>
            <w:vAlign w:val="center"/>
          </w:tcPr>
          <w:p w14:paraId="67BD88F7">
            <w:pPr>
              <w:spacing w:line="360" w:lineRule="auto"/>
              <w:jc w:val="center"/>
              <w:rPr>
                <w:rFonts w:ascii="Times New Roman" w:hAnsi="Times New Roman" w:eastAsia="宋体"/>
                <w:color w:val="auto"/>
                <w:szCs w:val="21"/>
              </w:rPr>
            </w:pPr>
            <m:oMathPara>
              <m:oMath>
                <m:sSub>
                  <m:sSubPr>
                    <m:ctrlPr>
                      <w:rPr>
                        <w:rFonts w:ascii="Cambria Math" w:hAnsi="Cambria Math"/>
                        <w:color w:val="auto"/>
                      </w:rPr>
                    </m:ctrlPr>
                  </m:sSubPr>
                  <m:e>
                    <m:r>
                      <m:rPr/>
                      <w:rPr>
                        <w:rFonts w:ascii="Cambria Math" w:hAnsi="Cambria Math"/>
                        <w:color w:val="auto"/>
                      </w:rPr>
                      <m:t>E</m:t>
                    </m:r>
                    <m:ctrlPr>
                      <w:rPr>
                        <w:rFonts w:ascii="Cambria Math" w:hAnsi="Cambria Math"/>
                        <w:color w:val="auto"/>
                      </w:rPr>
                    </m:ctrlPr>
                  </m:e>
                  <m:sub>
                    <m:r>
                      <m:rPr/>
                      <w:rPr>
                        <w:rFonts w:ascii="Cambria Math" w:hAnsi="Cambria Math"/>
                        <w:color w:val="auto"/>
                      </w:rPr>
                      <m:t>C</m:t>
                    </m:r>
                    <m:ctrlPr>
                      <w:rPr>
                        <w:rFonts w:ascii="Cambria Math" w:hAnsi="Cambria Math"/>
                        <w:color w:val="auto"/>
                      </w:rPr>
                    </m:ctrlPr>
                  </m:sub>
                </m:sSub>
                <m:r>
                  <m:rPr/>
                  <w:rPr>
                    <w:rFonts w:hint="eastAsia" w:ascii="Cambria Math" w:hAnsi="Cambria Math"/>
                    <w:color w:val="auto"/>
                  </w:rPr>
                  <m:t>=</m:t>
                </m:r>
                <m:f>
                  <m:fPr>
                    <m:ctrlPr>
                      <w:rPr>
                        <w:rFonts w:ascii="Cambria Math" w:hAnsi="Cambria Math"/>
                        <w:i/>
                        <w:color w:val="auto"/>
                      </w:rPr>
                    </m:ctrlPr>
                  </m:fPr>
                  <m:num>
                    <m:sSup>
                      <m:sSupPr>
                        <m:ctrlPr>
                          <w:rPr>
                            <w:rFonts w:ascii="Cambria Math" w:hAnsi="Cambria Math"/>
                            <w:i/>
                            <w:color w:val="auto"/>
                          </w:rPr>
                        </m:ctrlPr>
                      </m:sSupPr>
                      <m:e>
                        <m:r>
                          <m:rPr/>
                          <w:rPr>
                            <w:rFonts w:ascii="Cambria Math" w:hAnsi="Cambria Math"/>
                            <w:color w:val="auto"/>
                          </w:rPr>
                          <m:t>10</m:t>
                        </m:r>
                        <m:ctrlPr>
                          <w:rPr>
                            <w:rFonts w:ascii="Cambria Math" w:hAnsi="Cambria Math"/>
                            <w:i/>
                            <w:color w:val="auto"/>
                          </w:rPr>
                        </m:ctrlPr>
                      </m:e>
                      <m:sup>
                        <m:r>
                          <m:rPr/>
                          <w:rPr>
                            <w:rFonts w:ascii="Cambria Math" w:hAnsi="Cambria Math"/>
                            <w:color w:val="auto"/>
                          </w:rPr>
                          <m:t>5</m:t>
                        </m:r>
                        <m:ctrlPr>
                          <w:rPr>
                            <w:rFonts w:ascii="Cambria Math" w:hAnsi="Cambria Math"/>
                            <w:i/>
                            <w:color w:val="auto"/>
                          </w:rPr>
                        </m:ctrlPr>
                      </m:sup>
                    </m:sSup>
                    <m:ctrlPr>
                      <w:rPr>
                        <w:rFonts w:ascii="Cambria Math" w:hAnsi="Cambria Math"/>
                        <w:i/>
                        <w:color w:val="auto"/>
                      </w:rPr>
                    </m:ctrlPr>
                  </m:num>
                  <m:den>
                    <m:r>
                      <m:rPr/>
                      <w:rPr>
                        <w:rFonts w:ascii="Cambria Math" w:hAnsi="Cambria Math"/>
                        <w:color w:val="auto"/>
                      </w:rPr>
                      <m:t>1.5+</m:t>
                    </m:r>
                    <m:f>
                      <m:fPr>
                        <m:ctrlPr>
                          <w:rPr>
                            <w:rFonts w:ascii="Cambria Math" w:hAnsi="Cambria Math"/>
                            <w:i/>
                            <w:color w:val="auto"/>
                          </w:rPr>
                        </m:ctrlPr>
                      </m:fPr>
                      <m:num>
                        <m:r>
                          <m:rPr/>
                          <w:rPr>
                            <w:rFonts w:ascii="Cambria Math" w:hAnsi="Cambria Math"/>
                            <w:color w:val="auto"/>
                          </w:rPr>
                          <m:t>106.1</m:t>
                        </m:r>
                        <m:ctrlPr>
                          <w:rPr>
                            <w:rFonts w:ascii="Cambria Math" w:hAnsi="Cambria Math"/>
                            <w:i/>
                            <w:color w:val="auto"/>
                          </w:rPr>
                        </m:ctrlPr>
                      </m:num>
                      <m:den>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cu,k</m:t>
                            </m:r>
                            <m:ctrlPr>
                              <w:rPr>
                                <w:rFonts w:ascii="Cambria Math" w:hAnsi="Cambria Math"/>
                                <w:i/>
                                <w:color w:val="auto"/>
                              </w:rPr>
                            </m:ctrlPr>
                          </m:sub>
                        </m:sSub>
                        <m:ctrlPr>
                          <w:rPr>
                            <w:rFonts w:ascii="Cambria Math" w:hAnsi="Cambria Math"/>
                            <w:i/>
                            <w:color w:val="auto"/>
                          </w:rPr>
                        </m:ctrlPr>
                      </m:den>
                    </m:f>
                    <m:ctrlPr>
                      <w:rPr>
                        <w:rFonts w:ascii="Cambria Math" w:hAnsi="Cambria Math"/>
                        <w:i/>
                        <w:color w:val="auto"/>
                      </w:rPr>
                    </m:ctrlPr>
                  </m:den>
                </m:f>
                <m:d>
                  <m:dPr>
                    <m:ctrlPr>
                      <w:rPr>
                        <w:rFonts w:ascii="Cambria Math" w:hAnsi="Cambria Math"/>
                        <w:i/>
                        <w:color w:val="auto"/>
                      </w:rPr>
                    </m:ctrlPr>
                  </m:dPr>
                  <m:e>
                    <m:r>
                      <m:rPr/>
                      <w:rPr>
                        <w:rFonts w:ascii="Cambria Math" w:hAnsi="Cambria Math"/>
                        <w:color w:val="auto"/>
                      </w:rPr>
                      <m:t>MPa</m:t>
                    </m:r>
                    <m:ctrlPr>
                      <w:rPr>
                        <w:rFonts w:ascii="Cambria Math" w:hAnsi="Cambria Math"/>
                        <w:i/>
                        <w:color w:val="auto"/>
                      </w:rPr>
                    </m:ctrlPr>
                  </m:e>
                </m:d>
              </m:oMath>
            </m:oMathPara>
          </w:p>
        </w:tc>
        <w:tc>
          <w:tcPr>
            <w:tcW w:w="1667" w:type="pct"/>
            <w:vAlign w:val="center"/>
          </w:tcPr>
          <w:p w14:paraId="6D3C6137">
            <w:pPr>
              <w:spacing w:line="360" w:lineRule="auto"/>
              <w:jc w:val="right"/>
              <w:rPr>
                <w:rFonts w:ascii="Times New Roman" w:hAnsi="Times New Roman" w:eastAsia="宋体"/>
                <w:color w:val="auto"/>
                <w:szCs w:val="21"/>
              </w:rPr>
            </w:pPr>
            <w:r>
              <w:rPr>
                <w:rFonts w:ascii="Times New Roman" w:hAnsi="Times New Roman" w:eastAsia="宋体"/>
                <w:color w:val="auto"/>
                <w:szCs w:val="21"/>
              </w:rPr>
              <w:t>(2)</w:t>
            </w:r>
          </w:p>
        </w:tc>
      </w:tr>
    </w:tbl>
    <w:p w14:paraId="7F0D2224">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4.1.9</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常规的配筋混凝土结构容重常取2</w:t>
      </w:r>
      <w:r>
        <w:rPr>
          <w:rFonts w:ascii="Times New Roman" w:hAnsi="Times New Roman" w:eastAsia="宋体"/>
          <w:color w:val="auto"/>
          <w:szCs w:val="21"/>
        </w:rPr>
        <w:t>5</w:t>
      </w:r>
      <w:r>
        <w:rPr>
          <w:rFonts w:hint="eastAsia" w:ascii="Times New Roman" w:hAnsi="Times New Roman" w:eastAsia="宋体"/>
          <w:color w:val="auto"/>
          <w:szCs w:val="21"/>
        </w:rPr>
        <w:t>k</w:t>
      </w:r>
      <w:r>
        <w:rPr>
          <w:rFonts w:ascii="Times New Roman" w:hAnsi="Times New Roman" w:eastAsia="宋体"/>
          <w:color w:val="auto"/>
          <w:szCs w:val="21"/>
        </w:rPr>
        <w:t>N/</w:t>
      </w:r>
      <w:r>
        <w:rPr>
          <w:rFonts w:hint="eastAsia" w:ascii="Times New Roman" w:hAnsi="Times New Roman" w:eastAsia="宋体"/>
          <w:color w:val="auto"/>
          <w:szCs w:val="21"/>
        </w:rPr>
        <w:t>m³~2</w:t>
      </w:r>
      <w:r>
        <w:rPr>
          <w:rFonts w:ascii="Times New Roman" w:hAnsi="Times New Roman" w:eastAsia="宋体"/>
          <w:color w:val="auto"/>
          <w:szCs w:val="21"/>
        </w:rPr>
        <w:t>6</w:t>
      </w:r>
      <w:r>
        <w:rPr>
          <w:rFonts w:hint="eastAsia" w:ascii="Times New Roman" w:hAnsi="Times New Roman" w:eastAsia="宋体"/>
          <w:color w:val="auto"/>
          <w:szCs w:val="21"/>
        </w:rPr>
        <w:t>k</w:t>
      </w:r>
      <w:r>
        <w:rPr>
          <w:rFonts w:ascii="Times New Roman" w:hAnsi="Times New Roman" w:eastAsia="宋体"/>
          <w:color w:val="auto"/>
          <w:szCs w:val="21"/>
        </w:rPr>
        <w:t>N/</w:t>
      </w:r>
      <w:r>
        <w:rPr>
          <w:rFonts w:hint="eastAsia" w:ascii="Times New Roman" w:hAnsi="Times New Roman" w:eastAsia="宋体"/>
          <w:color w:val="auto"/>
          <w:szCs w:val="21"/>
        </w:rPr>
        <w:t>m³，而超高性能混凝土中一般掺入了2</w:t>
      </w:r>
      <w:r>
        <w:rPr>
          <w:rFonts w:ascii="Times New Roman" w:hAnsi="Times New Roman" w:eastAsia="宋体"/>
          <w:color w:val="auto"/>
          <w:szCs w:val="21"/>
        </w:rPr>
        <w:t>.0</w:t>
      </w:r>
      <w:r>
        <w:rPr>
          <w:rFonts w:hint="eastAsia" w:ascii="Times New Roman" w:hAnsi="Times New Roman" w:eastAsia="宋体"/>
          <w:color w:val="auto"/>
          <w:szCs w:val="21"/>
        </w:rPr>
        <w:t>%~3.0%的钢纤维，配筋超高性能混凝土的重度取值大致介于2</w:t>
      </w:r>
      <w:r>
        <w:rPr>
          <w:rFonts w:ascii="Times New Roman" w:hAnsi="Times New Roman" w:eastAsia="宋体"/>
          <w:color w:val="auto"/>
          <w:szCs w:val="21"/>
        </w:rPr>
        <w:t>7</w:t>
      </w:r>
      <w:r>
        <w:rPr>
          <w:rFonts w:hint="eastAsia" w:ascii="Times New Roman" w:hAnsi="Times New Roman" w:eastAsia="宋体"/>
          <w:color w:val="auto"/>
          <w:szCs w:val="21"/>
        </w:rPr>
        <w:t>k</w:t>
      </w:r>
      <w:r>
        <w:rPr>
          <w:rFonts w:ascii="Times New Roman" w:hAnsi="Times New Roman" w:eastAsia="宋体"/>
          <w:color w:val="auto"/>
          <w:szCs w:val="21"/>
        </w:rPr>
        <w:t>N/</w:t>
      </w:r>
      <w:r>
        <w:rPr>
          <w:rFonts w:hint="eastAsia" w:ascii="Times New Roman" w:hAnsi="Times New Roman" w:eastAsia="宋体"/>
          <w:color w:val="auto"/>
          <w:szCs w:val="21"/>
        </w:rPr>
        <w:t>m³~2</w:t>
      </w:r>
      <w:r>
        <w:rPr>
          <w:rFonts w:ascii="Times New Roman" w:hAnsi="Times New Roman" w:eastAsia="宋体"/>
          <w:color w:val="auto"/>
          <w:szCs w:val="21"/>
        </w:rPr>
        <w:t>9</w:t>
      </w:r>
      <w:r>
        <w:rPr>
          <w:rFonts w:hint="eastAsia" w:ascii="Times New Roman" w:hAnsi="Times New Roman" w:eastAsia="宋体"/>
          <w:color w:val="auto"/>
          <w:szCs w:val="21"/>
        </w:rPr>
        <w:t>k</w:t>
      </w:r>
      <w:r>
        <w:rPr>
          <w:rFonts w:ascii="Times New Roman" w:hAnsi="Times New Roman" w:eastAsia="宋体"/>
          <w:color w:val="auto"/>
          <w:szCs w:val="21"/>
        </w:rPr>
        <w:t>N/</w:t>
      </w:r>
      <w:r>
        <w:rPr>
          <w:rFonts w:hint="eastAsia" w:ascii="Times New Roman" w:hAnsi="Times New Roman" w:eastAsia="宋体"/>
          <w:color w:val="auto"/>
          <w:szCs w:val="21"/>
        </w:rPr>
        <w:t>m³之间，因此本规程建议计算时取值不宜小于2</w:t>
      </w:r>
      <w:r>
        <w:rPr>
          <w:rFonts w:ascii="Times New Roman" w:hAnsi="Times New Roman" w:eastAsia="宋体"/>
          <w:color w:val="auto"/>
          <w:szCs w:val="21"/>
        </w:rPr>
        <w:t>7</w:t>
      </w:r>
      <w:r>
        <w:rPr>
          <w:rFonts w:hint="eastAsia" w:ascii="Times New Roman" w:hAnsi="Times New Roman" w:eastAsia="宋体"/>
          <w:color w:val="auto"/>
          <w:szCs w:val="21"/>
        </w:rPr>
        <w:t>k</w:t>
      </w:r>
      <w:r>
        <w:rPr>
          <w:rFonts w:ascii="Times New Roman" w:hAnsi="Times New Roman" w:eastAsia="宋体"/>
          <w:color w:val="auto"/>
          <w:szCs w:val="21"/>
        </w:rPr>
        <w:t>N/</w:t>
      </w:r>
      <w:r>
        <w:rPr>
          <w:rFonts w:hint="eastAsia" w:ascii="Times New Roman" w:hAnsi="Times New Roman" w:eastAsia="宋体"/>
          <w:color w:val="auto"/>
          <w:szCs w:val="21"/>
        </w:rPr>
        <w:t>m³。</w:t>
      </w:r>
    </w:p>
    <w:p w14:paraId="35E3B1F2">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4.1.10</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根据已有研究成果，本规程超高性能混凝土泊松比取0</w:t>
      </w:r>
      <w:r>
        <w:rPr>
          <w:rFonts w:ascii="Times New Roman" w:hAnsi="Times New Roman" w:eastAsia="宋体"/>
          <w:color w:val="auto"/>
          <w:szCs w:val="21"/>
        </w:rPr>
        <w:t>.2</w:t>
      </w:r>
      <w:r>
        <w:rPr>
          <w:rFonts w:hint="eastAsia" w:ascii="Times New Roman" w:hAnsi="Times New Roman" w:eastAsia="宋体"/>
          <w:color w:val="auto"/>
          <w:szCs w:val="21"/>
        </w:rPr>
        <w:t>。一般认为，超高性能混凝土材料温度线膨胀系数大的水泥基材料含量高，线膨胀系数小的粗骨料含量低或不含，故其线膨胀系数应高于普通混凝土</w:t>
      </w:r>
      <m:oMath>
        <m:d>
          <m:dPr>
            <m:ctrlPr>
              <w:rPr>
                <w:rFonts w:ascii="Cambria Math" w:hAnsi="Cambria Math"/>
                <w:color w:val="auto"/>
              </w:rPr>
            </m:ctrlPr>
          </m:dPr>
          <m:e>
            <m:r>
              <m:rPr/>
              <w:rPr>
                <w:rFonts w:ascii="Cambria Math" w:hAnsi="Cambria Math"/>
                <w:color w:val="auto"/>
              </w:rPr>
              <m:t>1.0×</m:t>
            </m:r>
            <m:sSup>
              <m:sSupPr>
                <m:ctrlPr>
                  <w:rPr>
                    <w:rFonts w:ascii="Cambria Math" w:hAnsi="Cambria Math"/>
                    <w:i/>
                    <w:color w:val="auto"/>
                  </w:rPr>
                </m:ctrlPr>
              </m:sSupPr>
              <m:e>
                <m:r>
                  <m:rPr/>
                  <w:rPr>
                    <w:rFonts w:ascii="Cambria Math" w:hAnsi="Cambria Math"/>
                    <w:color w:val="auto"/>
                  </w:rPr>
                  <m:t>10</m:t>
                </m:r>
                <m:ctrlPr>
                  <w:rPr>
                    <w:rFonts w:ascii="Cambria Math" w:hAnsi="Cambria Math"/>
                    <w:i/>
                    <w:color w:val="auto"/>
                  </w:rPr>
                </m:ctrlPr>
              </m:e>
              <m:sup>
                <m:r>
                  <m:rPr/>
                  <w:rPr>
                    <w:rFonts w:ascii="Cambria Math" w:hAnsi="Cambria Math"/>
                    <w:color w:val="auto"/>
                  </w:rPr>
                  <m:t>−5</m:t>
                </m:r>
                <m:ctrlPr>
                  <w:rPr>
                    <w:rFonts w:ascii="Cambria Math" w:hAnsi="Cambria Math"/>
                    <w:i/>
                    <w:color w:val="auto"/>
                  </w:rPr>
                </m:ctrlPr>
              </m:sup>
            </m:sSup>
            <m:r>
              <m:rPr/>
              <w:rPr>
                <w:rFonts w:ascii="Cambria Math" w:hAnsi="Cambria Math"/>
                <w:color w:val="auto"/>
              </w:rPr>
              <m:t>/℃</m:t>
            </m:r>
            <m:ctrlPr>
              <w:rPr>
                <w:rFonts w:ascii="Cambria Math" w:hAnsi="Cambria Math"/>
                <w:color w:val="auto"/>
              </w:rPr>
            </m:ctrlPr>
          </m:e>
        </m:d>
      </m:oMath>
      <w:r>
        <w:rPr>
          <w:rFonts w:hint="eastAsia" w:ascii="Times New Roman" w:hAnsi="Times New Roman" w:eastAsia="宋体"/>
          <w:color w:val="auto"/>
          <w:szCs w:val="21"/>
        </w:rPr>
        <w:t>，且低于钢材</w:t>
      </w:r>
      <m:oMath>
        <m:d>
          <m:dPr>
            <m:ctrlPr>
              <w:rPr>
                <w:rFonts w:ascii="Cambria Math" w:hAnsi="Cambria Math"/>
                <w:color w:val="auto"/>
              </w:rPr>
            </m:ctrlPr>
          </m:dPr>
          <m:e>
            <m:r>
              <m:rPr/>
              <w:rPr>
                <w:rFonts w:ascii="Cambria Math" w:hAnsi="Cambria Math"/>
                <w:color w:val="auto"/>
              </w:rPr>
              <m:t>1.2×</m:t>
            </m:r>
            <m:sSup>
              <m:sSupPr>
                <m:ctrlPr>
                  <w:rPr>
                    <w:rFonts w:ascii="Cambria Math" w:hAnsi="Cambria Math"/>
                    <w:i/>
                    <w:color w:val="auto"/>
                  </w:rPr>
                </m:ctrlPr>
              </m:sSupPr>
              <m:e>
                <m:r>
                  <m:rPr/>
                  <w:rPr>
                    <w:rFonts w:ascii="Cambria Math" w:hAnsi="Cambria Math"/>
                    <w:color w:val="auto"/>
                  </w:rPr>
                  <m:t>10</m:t>
                </m:r>
                <m:ctrlPr>
                  <w:rPr>
                    <w:rFonts w:ascii="Cambria Math" w:hAnsi="Cambria Math"/>
                    <w:i/>
                    <w:color w:val="auto"/>
                  </w:rPr>
                </m:ctrlPr>
              </m:e>
              <m:sup>
                <m:r>
                  <m:rPr/>
                  <w:rPr>
                    <w:rFonts w:ascii="Cambria Math" w:hAnsi="Cambria Math"/>
                    <w:color w:val="auto"/>
                  </w:rPr>
                  <m:t>−5</m:t>
                </m:r>
                <m:ctrlPr>
                  <w:rPr>
                    <w:rFonts w:ascii="Cambria Math" w:hAnsi="Cambria Math"/>
                    <w:i/>
                    <w:color w:val="auto"/>
                  </w:rPr>
                </m:ctrlPr>
              </m:sup>
            </m:sSup>
            <m:r>
              <m:rPr/>
              <w:rPr>
                <w:rFonts w:ascii="Cambria Math" w:hAnsi="Cambria Math"/>
                <w:color w:val="auto"/>
              </w:rPr>
              <m:t>/℃</m:t>
            </m:r>
            <m:ctrlPr>
              <w:rPr>
                <w:rFonts w:ascii="Cambria Math" w:hAnsi="Cambria Math"/>
                <w:color w:val="auto"/>
              </w:rPr>
            </m:ctrlPr>
          </m:e>
        </m:d>
      </m:oMath>
      <w:r>
        <w:rPr>
          <w:rFonts w:hint="eastAsia" w:ascii="Times New Roman" w:hAnsi="Times New Roman" w:eastAsia="宋体"/>
          <w:color w:val="auto"/>
          <w:szCs w:val="21"/>
        </w:rPr>
        <w:t>，结合相关试验研究，本规程超高性能混凝土线膨胀系数取</w:t>
      </w:r>
      <m:oMath>
        <m:r>
          <m:rPr/>
          <w:rPr>
            <w:rFonts w:ascii="Cambria Math" w:hAnsi="Cambria Math"/>
            <w:color w:val="auto"/>
          </w:rPr>
          <m:t>1.1×</m:t>
        </m:r>
        <m:sSup>
          <m:sSupPr>
            <m:ctrlPr>
              <w:rPr>
                <w:rFonts w:ascii="Cambria Math" w:hAnsi="Cambria Math"/>
                <w:i/>
                <w:color w:val="auto"/>
              </w:rPr>
            </m:ctrlPr>
          </m:sSupPr>
          <m:e>
            <m:r>
              <m:rPr/>
              <w:rPr>
                <w:rFonts w:ascii="Cambria Math" w:hAnsi="Cambria Math"/>
                <w:color w:val="auto"/>
              </w:rPr>
              <m:t>10</m:t>
            </m:r>
            <m:ctrlPr>
              <w:rPr>
                <w:rFonts w:ascii="Cambria Math" w:hAnsi="Cambria Math"/>
                <w:i/>
                <w:color w:val="auto"/>
              </w:rPr>
            </m:ctrlPr>
          </m:e>
          <m:sup>
            <m:r>
              <m:rPr/>
              <w:rPr>
                <w:rFonts w:ascii="Cambria Math" w:hAnsi="Cambria Math"/>
                <w:color w:val="auto"/>
              </w:rPr>
              <m:t>−5</m:t>
            </m:r>
            <m:ctrlPr>
              <w:rPr>
                <w:rFonts w:ascii="Cambria Math" w:hAnsi="Cambria Math"/>
                <w:i/>
                <w:color w:val="auto"/>
              </w:rPr>
            </m:ctrlPr>
          </m:sup>
        </m:sSup>
        <m:r>
          <m:rPr/>
          <w:rPr>
            <w:rFonts w:ascii="Cambria Math" w:hAnsi="Cambria Math"/>
            <w:color w:val="auto"/>
          </w:rPr>
          <m:t>/℃</m:t>
        </m:r>
      </m:oMath>
      <w:r>
        <w:rPr>
          <w:rFonts w:hint="eastAsia" w:ascii="Times New Roman" w:hAnsi="Times New Roman" w:eastAsia="宋体"/>
          <w:color w:val="auto"/>
          <w:szCs w:val="21"/>
        </w:rPr>
        <w:t>。</w:t>
      </w:r>
    </w:p>
    <w:p w14:paraId="7B2E55EB">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4.1.11</w:t>
      </w:r>
      <w:r>
        <w:rPr>
          <w:rFonts w:ascii="Times New Roman" w:hAnsi="Times New Roman" w:eastAsia="黑体" w:cs="Times New Roman"/>
          <w:b/>
          <w:bCs/>
          <w:color w:val="auto"/>
          <w:sz w:val="24"/>
          <w:szCs w:val="24"/>
        </w:rPr>
        <w:t xml:space="preserve"> </w:t>
      </w:r>
      <w:r>
        <w:rPr>
          <w:rFonts w:ascii="Times New Roman" w:hAnsi="Times New Roman" w:eastAsia="黑体" w:cs="Times New Roman"/>
          <w:b/>
          <w:bCs/>
          <w:color w:val="auto"/>
          <w:sz w:val="24"/>
          <w:szCs w:val="24"/>
          <w:highlight w:val="none"/>
        </w:rPr>
        <w:t xml:space="preserve"> </w:t>
      </w:r>
      <w:r>
        <w:rPr>
          <w:rFonts w:hint="eastAsia" w:ascii="Times New Roman" w:hAnsi="Times New Roman" w:eastAsia="宋体"/>
          <w:color w:val="auto"/>
          <w:szCs w:val="21"/>
          <w:highlight w:val="none"/>
        </w:rPr>
        <w:t>超高性能混凝土结构的板件较薄，且配有普通钢筋，为确保超高性能混凝土板件浇筑密实，本条文规定超高性能混凝土应满足自密实混凝土的要求。</w:t>
      </w:r>
    </w:p>
    <w:p w14:paraId="3BA323BD">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4.1.12</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超高性能混凝土的收缩主要有干燥收缩和自收缩。根据已有研究成果，若养护成型的过程中水分有保证，超高性能混凝土材料的收缩将主要为自收缩。采用9</w:t>
      </w:r>
      <w:r>
        <w:rPr>
          <w:rFonts w:ascii="Times New Roman" w:hAnsi="Times New Roman" w:eastAsia="宋体"/>
          <w:color w:val="auto"/>
          <w:szCs w:val="21"/>
        </w:rPr>
        <w:t>0</w:t>
      </w:r>
      <w:r>
        <w:rPr>
          <w:rFonts w:hint="eastAsia" w:ascii="Times New Roman" w:hAnsi="Times New Roman" w:eastAsia="宋体"/>
          <w:color w:val="auto"/>
          <w:szCs w:val="21"/>
        </w:rPr>
        <w:t>℃的蒸汽养护条件，可近似认为养护结束后将不会产生后期收缩变形。</w:t>
      </w:r>
    </w:p>
    <w:p w14:paraId="7C9EDDCD">
      <w:pPr>
        <w:spacing w:line="360" w:lineRule="auto"/>
        <w:ind w:firstLine="420"/>
        <w:rPr>
          <w:rFonts w:ascii="Times New Roman" w:hAnsi="Times New Roman" w:eastAsia="宋体"/>
          <w:color w:val="auto"/>
          <w:szCs w:val="21"/>
        </w:rPr>
      </w:pPr>
      <w:r>
        <w:rPr>
          <w:rFonts w:hint="eastAsia" w:ascii="Times New Roman" w:hAnsi="Times New Roman" w:eastAsia="宋体"/>
          <w:color w:val="auto"/>
          <w:szCs w:val="21"/>
        </w:rPr>
        <w:t>普通混凝土结构在长期荷载作用下的徐变效应非常明显，而超高性能混凝土材料因基体致密和纤维含量较高，使得其徐变系数远小于普通混凝土和高强混凝土。国内外大量的试验研究表明超高性能混凝土材料的徐变主要受养护条件、加载龄期、持荷时间及加载应力水平等的影响。超高性能混凝土材料若未经热养护，则其徐变类似于高性能混凝土；但是，若采用高温蒸汽养护，则其徐变系数将显著降低。</w:t>
      </w:r>
    </w:p>
    <w:p w14:paraId="75B000FF">
      <w:pPr>
        <w:spacing w:before="156" w:beforeLines="50" w:after="156" w:afterLines="50" w:line="480" w:lineRule="auto"/>
        <w:jc w:val="center"/>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4.2</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其他材料</w:t>
      </w:r>
    </w:p>
    <w:p w14:paraId="7C233CD4">
      <w:p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4</w:t>
      </w:r>
      <w:r>
        <w:rPr>
          <w:rFonts w:ascii="Times New Roman" w:hAnsi="Times New Roman" w:eastAsia="黑体" w:cs="Times New Roman"/>
          <w:b/>
          <w:bCs/>
          <w:color w:val="auto"/>
          <w:szCs w:val="24"/>
        </w:rPr>
        <w:t>.2.1</w:t>
      </w:r>
      <w:r>
        <w:rPr>
          <w:rFonts w:hint="eastAsia" w:ascii="Times New Roman" w:hAnsi="Times New Roman" w:eastAsia="黑体" w:cs="Times New Roman"/>
          <w:b/>
          <w:bCs/>
          <w:color w:val="auto"/>
          <w:szCs w:val="24"/>
        </w:rPr>
        <w:t>~4</w:t>
      </w:r>
      <w:r>
        <w:rPr>
          <w:rFonts w:ascii="Times New Roman" w:hAnsi="Times New Roman" w:eastAsia="黑体" w:cs="Times New Roman"/>
          <w:b/>
          <w:bCs/>
          <w:color w:val="auto"/>
          <w:szCs w:val="24"/>
        </w:rPr>
        <w:t>.2.2</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本节关于普通混凝土、普通钢筋的规定与现行行业标准《公路钢筋混凝土及预应力混凝土桥涵设计规范》J</w:t>
      </w:r>
      <w:r>
        <w:rPr>
          <w:rFonts w:ascii="Times New Roman" w:hAnsi="Times New Roman" w:eastAsia="宋体"/>
          <w:color w:val="auto"/>
          <w:szCs w:val="21"/>
        </w:rPr>
        <w:t>TG 3362</w:t>
      </w:r>
      <w:r>
        <w:rPr>
          <w:rFonts w:hint="eastAsia" w:ascii="Times New Roman" w:hAnsi="Times New Roman" w:eastAsia="宋体"/>
          <w:color w:val="auto"/>
          <w:szCs w:val="21"/>
        </w:rPr>
        <w:t>一致。</w:t>
      </w:r>
    </w:p>
    <w:p w14:paraId="6EE19D81">
      <w:pPr>
        <w:pageBreakBefore/>
        <w:numPr>
          <w:ilvl w:val="2"/>
          <w:numId w:val="0"/>
        </w:numPr>
        <w:spacing w:line="480" w:lineRule="auto"/>
        <w:jc w:val="center"/>
        <w:outlineLvl w:val="2"/>
        <w:rPr>
          <w:rFonts w:ascii="Times New Roman" w:hAnsi="Times New Roman" w:eastAsia="宋体"/>
          <w:b/>
          <w:color w:val="auto"/>
          <w:sz w:val="28"/>
          <w:szCs w:val="28"/>
        </w:rPr>
      </w:pPr>
      <w:r>
        <w:rPr>
          <w:rFonts w:ascii="Times New Roman" w:hAnsi="Times New Roman" w:eastAsia="宋体"/>
          <w:b/>
          <w:color w:val="auto"/>
          <w:sz w:val="28"/>
          <w:szCs w:val="28"/>
        </w:rPr>
        <w:t>5</w:t>
      </w:r>
      <w:r>
        <w:rPr>
          <w:rFonts w:hint="eastAsia" w:ascii="Times New Roman" w:hAnsi="Times New Roman" w:eastAsia="宋体"/>
          <w:b/>
          <w:color w:val="auto"/>
          <w:sz w:val="28"/>
          <w:szCs w:val="28"/>
        </w:rPr>
        <w:t xml:space="preserve">  持久状况承载能力极限状态计算</w:t>
      </w:r>
    </w:p>
    <w:p w14:paraId="60644DE1">
      <w:pPr>
        <w:spacing w:before="156" w:beforeLines="50" w:after="156" w:afterLines="50" w:line="480" w:lineRule="auto"/>
        <w:jc w:val="center"/>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5.1</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一般规定</w:t>
      </w:r>
    </w:p>
    <w:p w14:paraId="030C9FDC">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5.1.1</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本条文按现行行业标准《公路钢筋混凝土及预应力混凝土桥涵设计规范》JTG 3362 和《城市桥梁设计规范》CJJ 11相关条文确定。</w:t>
      </w:r>
    </w:p>
    <w:p w14:paraId="165D7CB6">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5.1.2</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根据已有研究成果中关于超高性能混凝土设计受压应力-应变曲线的规定，普遍采用简化的双折线模型和三折线模型。综合考虑，本规程采用双折线模型。其中峰值压应变</w:t>
      </w:r>
      <m:oMath>
        <m:sSub>
          <m:sSubPr>
            <m:ctrlPr>
              <w:rPr>
                <w:rFonts w:ascii="Cambria Math" w:hAnsi="Cambria Math"/>
                <w:color w:val="auto"/>
              </w:rPr>
            </m:ctrlPr>
          </m:sSubPr>
          <m:e>
            <m:r>
              <m:rPr/>
              <w:rPr>
                <w:rFonts w:ascii="Cambria Math" w:hAnsi="Cambria Math"/>
                <w:color w:val="auto"/>
              </w:rPr>
              <m:t>ε</m:t>
            </m:r>
            <m:ctrlPr>
              <w:rPr>
                <w:rFonts w:ascii="Cambria Math" w:hAnsi="Cambria Math"/>
                <w:color w:val="auto"/>
              </w:rPr>
            </m:ctrlPr>
          </m:e>
          <m:sub>
            <m:r>
              <m:rPr/>
              <w:rPr>
                <w:rFonts w:ascii="Cambria Math" w:hAnsi="Cambria Math"/>
                <w:color w:val="auto"/>
              </w:rPr>
              <m:t>0</m:t>
            </m:r>
            <m:ctrlPr>
              <w:rPr>
                <w:rFonts w:ascii="Cambria Math" w:hAnsi="Cambria Math"/>
                <w:color w:val="auto"/>
              </w:rPr>
            </m:ctrlPr>
          </m:sub>
        </m:sSub>
        <m:r>
          <m:rPr/>
          <w:rPr>
            <w:rFonts w:hint="eastAsia" w:ascii="Cambria Math" w:hAnsi="Cambria Math"/>
            <w:color w:val="auto"/>
          </w:rPr>
          <m:t>=</m:t>
        </m:r>
        <m:f>
          <m:fPr>
            <m:type m:val="lin"/>
            <m:ctrlPr>
              <w:rPr>
                <w:rFonts w:ascii="Cambria Math" w:hAnsi="Cambria Math"/>
                <w:i/>
                <w:color w:val="auto"/>
              </w:rPr>
            </m:ctrlPr>
          </m:fPr>
          <m:num>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cd</m:t>
                </m:r>
                <m:ctrlPr>
                  <w:rPr>
                    <w:rFonts w:ascii="Cambria Math" w:hAnsi="Cambria Math"/>
                    <w:i/>
                    <w:color w:val="auto"/>
                  </w:rPr>
                </m:ctrlPr>
              </m:sub>
            </m:sSub>
            <m:ctrlPr>
              <w:rPr>
                <w:rFonts w:ascii="Cambria Math" w:hAnsi="Cambria Math"/>
                <w:i/>
                <w:color w:val="auto"/>
              </w:rPr>
            </m:ctrlPr>
          </m:num>
          <m:den>
            <m:sSub>
              <m:sSubPr>
                <m:ctrlPr>
                  <w:rPr>
                    <w:rFonts w:ascii="Cambria Math" w:hAnsi="Cambria Math"/>
                    <w:i/>
                    <w:color w:val="auto"/>
                  </w:rPr>
                </m:ctrlPr>
              </m:sSubPr>
              <m:e>
                <m:r>
                  <m:rPr/>
                  <w:rPr>
                    <w:rFonts w:ascii="Cambria Math" w:hAnsi="Cambria Math"/>
                    <w:color w:val="auto"/>
                  </w:rPr>
                  <m:t>E</m:t>
                </m:r>
                <m:ctrlPr>
                  <w:rPr>
                    <w:rFonts w:ascii="Cambria Math" w:hAnsi="Cambria Math"/>
                    <w:i/>
                    <w:color w:val="auto"/>
                  </w:rPr>
                </m:ctrlPr>
              </m:e>
              <m:sub>
                <m:r>
                  <m:rPr/>
                  <w:rPr>
                    <w:rFonts w:ascii="Cambria Math" w:hAnsi="Cambria Math"/>
                    <w:color w:val="auto"/>
                  </w:rPr>
                  <m:t>u</m:t>
                </m:r>
                <m:ctrlPr>
                  <w:rPr>
                    <w:rFonts w:ascii="Cambria Math" w:hAnsi="Cambria Math"/>
                    <w:i/>
                    <w:color w:val="auto"/>
                  </w:rPr>
                </m:ctrlPr>
              </m:sub>
            </m:sSub>
            <m:ctrlPr>
              <w:rPr>
                <w:rFonts w:ascii="Cambria Math" w:hAnsi="Cambria Math"/>
                <w:i/>
                <w:color w:val="auto"/>
              </w:rPr>
            </m:ctrlPr>
          </m:den>
        </m:f>
      </m:oMath>
      <w:r>
        <w:rPr>
          <w:rFonts w:hint="eastAsia" w:ascii="Times New Roman" w:hAnsi="Times New Roman" w:eastAsia="宋体"/>
          <w:color w:val="auto"/>
          <w:szCs w:val="21"/>
        </w:rPr>
        <w:t>，极限压应变</w:t>
      </w:r>
      <m:oMath>
        <m:sSub>
          <m:sSubPr>
            <m:ctrlPr>
              <w:rPr>
                <w:rFonts w:ascii="Cambria Math" w:hAnsi="Cambria Math"/>
                <w:color w:val="auto"/>
              </w:rPr>
            </m:ctrlPr>
          </m:sSubPr>
          <m:e>
            <m:r>
              <m:rPr/>
              <w:rPr>
                <w:rFonts w:ascii="Cambria Math" w:hAnsi="Cambria Math"/>
                <w:color w:val="auto"/>
              </w:rPr>
              <m:t>ε</m:t>
            </m:r>
            <m:ctrlPr>
              <w:rPr>
                <w:rFonts w:ascii="Cambria Math" w:hAnsi="Cambria Math"/>
                <w:color w:val="auto"/>
              </w:rPr>
            </m:ctrlPr>
          </m:e>
          <m:sub>
            <m:r>
              <m:rPr/>
              <w:rPr>
                <w:rFonts w:ascii="Cambria Math" w:hAnsi="Cambria Math"/>
                <w:color w:val="auto"/>
              </w:rPr>
              <m:t>cu</m:t>
            </m:r>
            <m:ctrlPr>
              <w:rPr>
                <w:rFonts w:ascii="Cambria Math" w:hAnsi="Cambria Math"/>
                <w:color w:val="auto"/>
              </w:rPr>
            </m:ctrlPr>
          </m:sub>
        </m:sSub>
      </m:oMath>
      <w:r>
        <w:rPr>
          <w:rFonts w:hint="eastAsia" w:ascii="Times New Roman" w:hAnsi="Times New Roman" w:eastAsia="宋体"/>
          <w:color w:val="auto"/>
          <w:szCs w:val="21"/>
        </w:rPr>
        <w:t>偏安全取0.0034~0.0042。其余假定与《公路钢筋混凝土及预应力混凝土桥涵设计规范》JTG 3362规定相同。</w:t>
      </w:r>
    </w:p>
    <w:p w14:paraId="1B861808">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5.1.3</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受压区普通混凝土矩形应力图高度</w:t>
      </w:r>
      <m:oMath>
        <m:r>
          <m:rPr/>
          <w:rPr>
            <w:rFonts w:ascii="Cambria Math" w:hAnsi="Cambria Math"/>
            <w:color w:val="auto"/>
          </w:rPr>
          <m:t>x</m:t>
        </m:r>
      </m:oMath>
      <w:r>
        <w:rPr>
          <w:rFonts w:hint="eastAsia" w:ascii="Times New Roman" w:hAnsi="Times New Roman" w:eastAsia="宋体"/>
          <w:color w:val="auto"/>
          <w:szCs w:val="21"/>
        </w:rPr>
        <w:t>与实际受压区高度</w:t>
      </w:r>
      <m:oMath>
        <m:sSub>
          <m:sSubPr>
            <m:ctrlPr>
              <w:rPr>
                <w:rFonts w:ascii="Cambria Math" w:hAnsi="Cambria Math"/>
                <w:color w:val="auto"/>
              </w:rPr>
            </m:ctrlPr>
          </m:sSubPr>
          <m:e>
            <m:r>
              <m:rPr/>
              <w:rPr>
                <w:rFonts w:ascii="Cambria Math" w:hAnsi="Cambria Math"/>
                <w:color w:val="auto"/>
              </w:rPr>
              <m:t>x</m:t>
            </m:r>
            <m:ctrlPr>
              <w:rPr>
                <w:rFonts w:ascii="Cambria Math" w:hAnsi="Cambria Math"/>
                <w:color w:val="auto"/>
              </w:rPr>
            </m:ctrlPr>
          </m:e>
          <m:sub>
            <m:r>
              <m:rPr/>
              <w:rPr>
                <w:rFonts w:ascii="Cambria Math" w:hAnsi="Cambria Math"/>
                <w:color w:val="auto"/>
              </w:rPr>
              <m:t>0</m:t>
            </m:r>
            <m:ctrlPr>
              <w:rPr>
                <w:rFonts w:ascii="Cambria Math" w:hAnsi="Cambria Math"/>
                <w:color w:val="auto"/>
              </w:rPr>
            </m:ctrlPr>
          </m:sub>
        </m:sSub>
      </m:oMath>
      <w:r>
        <w:rPr>
          <w:rFonts w:hint="eastAsia" w:ascii="Times New Roman" w:hAnsi="Times New Roman" w:eastAsia="宋体"/>
          <w:color w:val="auto"/>
          <w:szCs w:val="21"/>
        </w:rPr>
        <w:t>的比值</w:t>
      </w:r>
      <m:oMath>
        <m:r>
          <m:rPr/>
          <w:rPr>
            <w:rFonts w:ascii="Cambria Math" w:hAnsi="Cambria Math"/>
            <w:color w:val="auto"/>
          </w:rPr>
          <m:t>β</m:t>
        </m:r>
      </m:oMath>
      <w:r>
        <w:rPr>
          <w:rFonts w:hint="eastAsia" w:ascii="Times New Roman" w:hAnsi="Times New Roman" w:eastAsia="宋体"/>
          <w:color w:val="auto"/>
          <w:szCs w:val="21"/>
        </w:rPr>
        <w:t>，按现行标准《公路钢筋混凝土及预应力混凝土桥涵设计规范》JTG 3362的规定等效为矩形分布，等效前后压应力合力相等和作用点相同的条件。</w:t>
      </w:r>
    </w:p>
    <w:p w14:paraId="0254A115">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5.1.4</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本条文将受拉区超高性能混凝土的应力图简化为等效矩形应力图。极限状态时，受拉区超高性能混凝土可能已进入受拉应变软化阶段，截面受拉边缘附近拉应力较大区域的部分钢纤维可能被拉断或拔出。受拉区超高性能混凝土考虑1倍的抗拉强度参与计算会对超高性能混凝土受弯构件承载力产生过高的估计。已有试验研究和工程经验表明，考虑0.5倍的超高性能混凝土抗拉强度设计值可较好且偏安全地计算超高性能混凝土构件的抗弯承载力。</w:t>
      </w:r>
    </w:p>
    <w:p w14:paraId="03B4629F">
      <w:pPr>
        <w:spacing w:before="156" w:beforeLines="50" w:after="156" w:afterLines="50" w:line="480" w:lineRule="auto"/>
        <w:jc w:val="center"/>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5.2</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梁板正截面抗弯承载力计算</w:t>
      </w:r>
    </w:p>
    <w:p w14:paraId="3A3825E3">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5.2.1</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本条文规定原理与现行行业标准《公路钢筋混凝土及预应力混凝土桥涵设计规范》JTG 3362 规定相同。即按组合式盖板结构的纵向受拉钢筋屈服和受压区混凝土破坏同时发生（界限破坏）的原则确定相对界限受压区高度。</w:t>
      </w:r>
    </w:p>
    <w:p w14:paraId="171241CF">
      <w:p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5</w:t>
      </w:r>
      <w:r>
        <w:rPr>
          <w:rFonts w:ascii="Times New Roman" w:hAnsi="Times New Roman" w:eastAsia="黑体" w:cs="Times New Roman"/>
          <w:b/>
          <w:bCs/>
          <w:color w:val="auto"/>
          <w:szCs w:val="24"/>
        </w:rPr>
        <w:t>.2.2</w:t>
      </w:r>
      <w:r>
        <w:rPr>
          <w:rFonts w:hint="eastAsia" w:ascii="Times New Roman" w:hAnsi="Times New Roman" w:eastAsia="黑体" w:cs="Times New Roman"/>
          <w:b/>
          <w:bCs/>
          <w:color w:val="auto"/>
          <w:szCs w:val="24"/>
        </w:rPr>
        <w:t>~</w:t>
      </w:r>
      <w:r>
        <w:rPr>
          <w:rFonts w:ascii="Times New Roman" w:hAnsi="Times New Roman" w:eastAsia="黑体" w:cs="Times New Roman"/>
          <w:b/>
          <w:bCs/>
          <w:color w:val="auto"/>
          <w:szCs w:val="24"/>
        </w:rPr>
        <w:t>5.2.3</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超高性能混凝土－普通混凝土组合式盖板结构正截面抗弯承载力的表达式是根据本规程第 5.1.2条规定的基本假定及承载力计算的基本要求建立的，式中包含了配筋超高性能混凝土-普通混凝土组合式盖板结构受弯构件的所有设计参数。考虑截面受拉区超高性能混凝土对承载力的贡献是超高性能混凝土-普通混凝土组合式盖板结构受弯构件和普通混凝土受弯构件承载力计算的主要区别。</w:t>
      </w:r>
    </w:p>
    <w:p w14:paraId="32737047">
      <w:pPr>
        <w:spacing w:line="360" w:lineRule="auto"/>
        <w:ind w:firstLine="420" w:firstLineChars="200"/>
        <w:rPr>
          <w:rFonts w:ascii="Times New Roman" w:hAnsi="Times New Roman" w:eastAsia="宋体"/>
          <w:color w:val="auto"/>
          <w:szCs w:val="21"/>
        </w:rPr>
      </w:pPr>
      <w:r>
        <w:rPr>
          <w:rFonts w:hint="eastAsia" w:ascii="Times New Roman" w:hAnsi="Times New Roman" w:eastAsia="宋体"/>
          <w:color w:val="auto"/>
          <w:szCs w:val="21"/>
        </w:rPr>
        <w:t>为防止受弯构件的超筋设计，本规程规定了截面受压区高度的限制条件</w:t>
      </w:r>
      <m:oMath>
        <m:r>
          <m:rPr/>
          <w:rPr>
            <w:rFonts w:hint="eastAsia" w:ascii="Cambria Math" w:hAnsi="Cambria Math"/>
            <w:color w:val="auto"/>
          </w:rPr>
          <m:t>x</m:t>
        </m:r>
        <m:r>
          <m:rPr>
            <m:sty m:val="p"/>
          </m:rPr>
          <w:rPr>
            <w:rFonts w:ascii="Cambria Math" w:hAnsi="Cambria Math"/>
            <w:color w:val="auto"/>
          </w:rPr>
          <m:t>≤</m:t>
        </m:r>
        <m:sSub>
          <m:sSubPr>
            <m:ctrlPr>
              <w:rPr>
                <w:rFonts w:ascii="Cambria Math" w:hAnsi="Cambria Math"/>
                <w:color w:val="auto"/>
              </w:rPr>
            </m:ctrlPr>
          </m:sSubPr>
          <m:e>
            <m:r>
              <m:rPr/>
              <w:rPr>
                <w:rFonts w:ascii="Cambria Math" w:hAnsi="Cambria Math"/>
                <w:color w:val="auto"/>
              </w:rPr>
              <m:t>ξ</m:t>
            </m:r>
            <m:ctrlPr>
              <w:rPr>
                <w:rFonts w:ascii="Cambria Math" w:hAnsi="Cambria Math"/>
                <w:color w:val="auto"/>
              </w:rPr>
            </m:ctrlPr>
          </m:e>
          <m:sub>
            <m:r>
              <m:rPr/>
              <w:rPr>
                <w:rFonts w:ascii="Cambria Math" w:hAnsi="Cambria Math"/>
                <w:color w:val="auto"/>
              </w:rPr>
              <m:t>b</m:t>
            </m:r>
            <m:ctrlPr>
              <w:rPr>
                <w:rFonts w:ascii="Cambria Math" w:hAnsi="Cambria Math"/>
                <w:color w:val="auto"/>
              </w:rPr>
            </m:ctrlPr>
          </m:sub>
        </m:sSub>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oMath>
      <w:r>
        <w:rPr>
          <w:rFonts w:hint="eastAsia" w:ascii="Times New Roman" w:hAnsi="Times New Roman" w:eastAsia="宋体"/>
          <w:color w:val="auto"/>
          <w:szCs w:val="21"/>
        </w:rPr>
        <w:t>，其中相对受压区高度</w:t>
      </w:r>
      <m:oMath>
        <m:sSub>
          <m:sSubPr>
            <m:ctrlPr>
              <w:rPr>
                <w:rFonts w:ascii="Cambria Math" w:hAnsi="Cambria Math"/>
                <w:color w:val="auto"/>
              </w:rPr>
            </m:ctrlPr>
          </m:sSubPr>
          <m:e>
            <m:r>
              <m:rPr/>
              <w:rPr>
                <w:rFonts w:ascii="Cambria Math" w:hAnsi="Cambria Math"/>
                <w:color w:val="auto"/>
              </w:rPr>
              <m:t>ξ</m:t>
            </m:r>
            <m:ctrlPr>
              <w:rPr>
                <w:rFonts w:ascii="Cambria Math" w:hAnsi="Cambria Math"/>
                <w:color w:val="auto"/>
              </w:rPr>
            </m:ctrlPr>
          </m:e>
          <m:sub>
            <m:r>
              <m:rPr/>
              <w:rPr>
                <w:rFonts w:ascii="Cambria Math" w:hAnsi="Cambria Math"/>
                <w:color w:val="auto"/>
              </w:rPr>
              <m:t>b</m:t>
            </m:r>
            <m:ctrlPr>
              <w:rPr>
                <w:rFonts w:ascii="Cambria Math" w:hAnsi="Cambria Math"/>
                <w:color w:val="auto"/>
              </w:rPr>
            </m:ctrlPr>
          </m:sub>
        </m:sSub>
      </m:oMath>
      <w:r>
        <w:rPr>
          <w:rFonts w:hint="eastAsia" w:ascii="Times New Roman" w:hAnsi="Times New Roman" w:eastAsia="宋体"/>
          <w:color w:val="auto"/>
          <w:szCs w:val="21"/>
        </w:rPr>
        <w:t>，通过本规程公式（5.2.1）计算。一般来说，当设计计算的受压区高度不能满足上述要求时，表明受拉区纵向钢筋配置过多或构件高度不足，需要进行调整。实际工程中应尽量避免出现两者接近或相等的情况。</w:t>
      </w:r>
    </w:p>
    <w:p w14:paraId="11A7119D">
      <w:pPr>
        <w:spacing w:line="360" w:lineRule="auto"/>
        <w:ind w:firstLine="420" w:firstLineChars="200"/>
        <w:rPr>
          <w:rFonts w:ascii="Times New Roman" w:hAnsi="Times New Roman" w:eastAsia="宋体"/>
          <w:color w:val="auto"/>
          <w:szCs w:val="21"/>
        </w:rPr>
      </w:pPr>
      <w:r>
        <w:rPr>
          <w:rFonts w:hint="eastAsia" w:ascii="Times New Roman" w:hAnsi="Times New Roman" w:eastAsia="宋体"/>
          <w:color w:val="auto"/>
          <w:szCs w:val="21"/>
        </w:rPr>
        <w:t>在超高性能混凝土-普通混凝土组合式盖板结构受弯构件正截面承载力计算中，截面受压区高度 可按本条提供的公式近似计算。该公式是假定受压区超高性能混凝土的压力点在受压纵向钢筋的合力点上，以该点为矩心取矩建立起来的，可用于一般情况（受压边缘设置一般厚度的保护层）下的承载力计算。</w:t>
      </w:r>
    </w:p>
    <w:p w14:paraId="515B61E4">
      <w:pPr>
        <w:spacing w:before="156" w:beforeLines="50" w:after="156" w:afterLines="50" w:line="480" w:lineRule="auto"/>
        <w:jc w:val="center"/>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5.3</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主梁斜截面抗剪承载力计算</w:t>
      </w:r>
    </w:p>
    <w:p w14:paraId="39C747F6">
      <w:p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5</w:t>
      </w:r>
      <w:r>
        <w:rPr>
          <w:rFonts w:ascii="Times New Roman" w:hAnsi="Times New Roman" w:eastAsia="黑体" w:cs="Times New Roman"/>
          <w:b/>
          <w:bCs/>
          <w:color w:val="auto"/>
          <w:szCs w:val="24"/>
        </w:rPr>
        <w:t>.3.1</w:t>
      </w:r>
      <w:r>
        <w:rPr>
          <w:rFonts w:hint="eastAsia" w:ascii="Times New Roman" w:hAnsi="Times New Roman" w:eastAsia="黑体" w:cs="Times New Roman"/>
          <w:b/>
          <w:bCs/>
          <w:color w:val="auto"/>
          <w:szCs w:val="24"/>
        </w:rPr>
        <w:t>~5</w:t>
      </w:r>
      <w:r>
        <w:rPr>
          <w:rFonts w:ascii="Times New Roman" w:hAnsi="Times New Roman" w:eastAsia="黑体" w:cs="Times New Roman"/>
          <w:b/>
          <w:bCs/>
          <w:color w:val="auto"/>
          <w:szCs w:val="24"/>
        </w:rPr>
        <w:t>.3.</w:t>
      </w:r>
      <w:r>
        <w:rPr>
          <w:rFonts w:hint="eastAsia" w:ascii="Times New Roman" w:hAnsi="Times New Roman" w:eastAsia="黑体" w:cs="Times New Roman"/>
          <w:b/>
          <w:bCs/>
          <w:color w:val="auto"/>
          <w:szCs w:val="24"/>
        </w:rPr>
        <w:t>3</w:t>
      </w:r>
      <w:r>
        <w:rPr>
          <w:rFonts w:ascii="Times New Roman" w:hAnsi="Times New Roman" w:eastAsia="黑体" w:cs="Times New Roman"/>
          <w:b/>
          <w:bCs/>
          <w:color w:val="auto"/>
          <w:sz w:val="24"/>
          <w:szCs w:val="24"/>
        </w:rPr>
        <w:t xml:space="preserve"> </w:t>
      </w:r>
      <w:r>
        <w:rPr>
          <w:rFonts w:ascii="Times New Roman" w:hAnsi="Times New Roman" w:eastAsia="黑体" w:cs="Times New Roman"/>
          <w:b/>
          <w:bCs/>
          <w:color w:val="auto"/>
          <w:sz w:val="24"/>
          <w:szCs w:val="24"/>
          <w:highlight w:val="none"/>
        </w:rPr>
        <w:t xml:space="preserve"> </w:t>
      </w:r>
      <w:r>
        <w:rPr>
          <w:rFonts w:hint="eastAsia" w:ascii="Times New Roman" w:hAnsi="Times New Roman" w:eastAsia="宋体"/>
          <w:color w:val="auto"/>
          <w:szCs w:val="21"/>
          <w:highlight w:val="none"/>
        </w:rPr>
        <w:t>本条文规定了超高性能混凝土抗剪承载能力计算公式</w:t>
      </w:r>
      <w:r>
        <w:rPr>
          <w:rFonts w:hint="eastAsia" w:ascii="Times New Roman" w:hAnsi="Times New Roman" w:eastAsia="宋体"/>
          <w:color w:val="auto"/>
          <w:szCs w:val="21"/>
          <w:highlight w:val="none"/>
          <w:lang w:eastAsia="zh-CN"/>
        </w:rPr>
        <w:t>，</w:t>
      </w:r>
      <w:r>
        <w:rPr>
          <w:rFonts w:hint="eastAsia" w:ascii="Times New Roman" w:hAnsi="Times New Roman" w:eastAsia="宋体"/>
          <w:color w:val="auto"/>
          <w:szCs w:val="21"/>
          <w:highlight w:val="none"/>
          <w:lang w:val="en-US" w:eastAsia="zh-CN"/>
        </w:rPr>
        <w:t>考虑了普通混凝土的抗剪贡献</w:t>
      </w:r>
      <w:r>
        <w:rPr>
          <w:rFonts w:hint="eastAsia" w:ascii="Times New Roman" w:hAnsi="Times New Roman" w:eastAsia="宋体"/>
          <w:color w:val="auto"/>
          <w:szCs w:val="21"/>
          <w:highlight w:val="none"/>
        </w:rPr>
        <w:t>。根据国内外超高性能混凝土梁抗剪性能的相关试验结果，该公式计算结果与试验实测结果吻合较好，本规程建议采用该公式作为超高性能混凝土－普通混凝土组合式盖板结构斜截面抗剪承载能力计算公式。</w:t>
      </w:r>
    </w:p>
    <w:p w14:paraId="2D2083EE">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5.3.4</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现行行业标准《公路钢筋混凝土及预应力混凝土桥涵设计规范》JTG 3362中对抗剪截面尺寸做出限定，主要是为了防止钢筋混凝土梁斜裂缝开展过宽或出现斜压破坏。本条文参考已有研究成果并通过对比，规定了超高性能混凝土-普通混凝土组合式盖板结构抗剪截面尺寸要求。</w:t>
      </w:r>
    </w:p>
    <w:p w14:paraId="4DC5910A">
      <w:pPr>
        <w:numPr>
          <w:ilvl w:val="2"/>
          <w:numId w:val="0"/>
        </w:numPr>
        <w:spacing w:before="156" w:beforeLines="50" w:after="156" w:afterLines="50" w:line="360" w:lineRule="auto"/>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5.4  界面抗剪钢筋承载力计算</w:t>
      </w:r>
    </w:p>
    <w:p w14:paraId="10AF4709">
      <w:pPr>
        <w:numPr>
          <w:ilvl w:val="2"/>
          <w:numId w:val="0"/>
        </w:numPr>
        <w:spacing w:line="360" w:lineRule="auto"/>
        <w:outlineLvl w:val="2"/>
        <w:rPr>
          <w:rFonts w:hint="default" w:ascii="Times New Roman" w:hAnsi="Times New Roman" w:eastAsia="宋体"/>
          <w:color w:val="auto"/>
          <w:szCs w:val="21"/>
          <w:lang w:val="en-US" w:eastAsia="zh-CN"/>
        </w:rPr>
      </w:pPr>
      <w:r>
        <w:rPr>
          <w:rFonts w:ascii="Times New Roman" w:hAnsi="Times New Roman" w:eastAsia="宋体"/>
          <w:b/>
          <w:color w:val="auto"/>
          <w:szCs w:val="21"/>
        </w:rPr>
        <w:t>5</w:t>
      </w:r>
      <w:r>
        <w:rPr>
          <w:rFonts w:hint="eastAsia" w:ascii="Times New Roman" w:hAnsi="Times New Roman" w:eastAsia="宋体"/>
          <w:b/>
          <w:color w:val="auto"/>
          <w:szCs w:val="21"/>
        </w:rPr>
        <w:t xml:space="preserve">.4.1 </w:t>
      </w:r>
      <w:r>
        <w:rPr>
          <w:rFonts w:hint="eastAsia" w:ascii="Times New Roman" w:hAnsi="Times New Roman" w:eastAsia="宋体"/>
          <w:color w:val="auto"/>
          <w:szCs w:val="21"/>
        </w:rPr>
        <w:t>AASHTO LRFD规范认为，UHPC层与NSC层之间的界面抗剪强度主要由界面摩阻力、钢筋抗剪承载力组成，因此取AASHTO LRFD规范中的钢筋屈服分量，近似计算界面抗剪钢筋承载能力</w:t>
      </w:r>
      <w:r>
        <w:rPr>
          <w:rFonts w:hint="eastAsia" w:ascii="Times New Roman" w:hAnsi="Times New Roman" w:eastAsia="宋体"/>
          <w:color w:val="auto"/>
          <w:szCs w:val="21"/>
          <w:lang w:eastAsia="zh-CN"/>
        </w:rPr>
        <w:t>，</w:t>
      </w:r>
      <w:r>
        <w:rPr>
          <w:rFonts w:hint="eastAsia" w:ascii="Times New Roman" w:hAnsi="Times New Roman" w:eastAsia="宋体"/>
          <w:color w:val="auto"/>
          <w:szCs w:val="21"/>
          <w:lang w:val="en-US" w:eastAsia="zh-CN"/>
        </w:rPr>
        <w:t>其中根据</w:t>
      </w:r>
      <w:r>
        <w:rPr>
          <w:rFonts w:hint="eastAsia" w:ascii="Times New Roman" w:hAnsi="Times New Roman" w:eastAsia="宋体"/>
          <w:color w:val="auto"/>
          <w:szCs w:val="21"/>
        </w:rPr>
        <w:t>AASHTO LRFD规范</w:t>
      </w:r>
      <w:r>
        <w:rPr>
          <w:rFonts w:hint="eastAsia" w:ascii="Times New Roman" w:hAnsi="Times New Roman" w:eastAsia="宋体"/>
          <w:color w:val="auto"/>
          <w:szCs w:val="21"/>
          <w:lang w:eastAsia="zh-CN"/>
        </w:rPr>
        <w:t>，</w:t>
      </w:r>
      <w:r>
        <w:rPr>
          <w:rFonts w:hint="eastAsia" w:ascii="Times New Roman" w:hAnsi="Times New Roman" w:eastAsia="宋体"/>
          <w:color w:val="auto"/>
          <w:szCs w:val="21"/>
          <w:lang w:val="en-US" w:eastAsia="zh-CN"/>
        </w:rPr>
        <w:t>界面摩阻系数可取1.4。</w:t>
      </w:r>
    </w:p>
    <w:p w14:paraId="537219F3">
      <w:pPr>
        <w:spacing w:before="156" w:beforeLines="50" w:after="156" w:afterLines="50" w:line="480" w:lineRule="auto"/>
        <w:jc w:val="center"/>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5.5  界面抗剪钢筋数量计算</w:t>
      </w:r>
    </w:p>
    <w:p w14:paraId="5B5A6CF9">
      <w:pPr>
        <w:numPr>
          <w:ilvl w:val="2"/>
          <w:numId w:val="0"/>
        </w:numPr>
        <w:spacing w:line="360" w:lineRule="auto"/>
        <w:outlineLvl w:val="2"/>
        <w:rPr>
          <w:rFonts w:ascii="Times New Roman" w:hAnsi="Times New Roman" w:eastAsia="宋体"/>
          <w:b/>
          <w:bCs/>
          <w:color w:val="auto"/>
          <w:szCs w:val="21"/>
        </w:rPr>
      </w:pPr>
      <w:r>
        <w:rPr>
          <w:rFonts w:hint="eastAsia" w:ascii="Times New Roman" w:hAnsi="Times New Roman" w:eastAsia="宋体"/>
          <w:b/>
          <w:bCs/>
          <w:color w:val="auto"/>
          <w:szCs w:val="21"/>
        </w:rPr>
        <w:t xml:space="preserve">5.5.2 </w:t>
      </w:r>
      <w:r>
        <w:rPr>
          <w:rFonts w:hint="eastAsia" w:ascii="Times New Roman" w:hAnsi="Times New Roman" w:eastAsia="宋体"/>
          <w:color w:val="auto"/>
          <w:szCs w:val="21"/>
        </w:rPr>
        <w:t>AASHTO LRFD规范认为，在钢筋混凝土或预应力混凝土梁桥中，带有现浇板，水平剪切力沿着梁和板之间的界面发展。且基于截面弹性行为的经典材料强度方法已被成功用于确定设计界面剪切力。作为经典材料弹性强度方法的替代方案，可以用图5.5.2所示的自由体图推导出弹性或非弹性行为以及开裂或未开裂截面在强度或极端事件极限状态下的系数化界面剪切力的合理近似值。本规程参照AASHTO LRFD规范计算组合式盖板结构超高性能混凝土与普通混凝土交界面的纵向剪力，在实际计算过程中，仅考虑N</w:t>
      </w:r>
      <w:r>
        <w:rPr>
          <w:rFonts w:hint="eastAsia" w:ascii="Times New Roman" w:hAnsi="Times New Roman" w:eastAsia="宋体"/>
          <w:color w:val="auto"/>
          <w:szCs w:val="21"/>
          <w:lang w:val="en-US" w:eastAsia="zh-CN"/>
        </w:rPr>
        <w:t>S</w:t>
      </w:r>
      <w:r>
        <w:rPr>
          <w:rFonts w:hint="eastAsia" w:ascii="Times New Roman" w:hAnsi="Times New Roman" w:eastAsia="宋体"/>
          <w:color w:val="auto"/>
          <w:szCs w:val="21"/>
        </w:rPr>
        <w:t>C层与UHPC底板之间的截面剪力，不考虑倒</w:t>
      </w:r>
      <w:r>
        <w:rPr>
          <w:rFonts w:ascii="Times New Roman" w:hAnsi="Times New Roman" w:eastAsia="宋体"/>
          <w:color w:val="auto"/>
          <w:szCs w:val="21"/>
        </w:rPr>
        <w:t>“</w:t>
      </w:r>
      <w:r>
        <w:rPr>
          <w:rFonts w:hint="eastAsia" w:ascii="Times New Roman" w:hAnsi="Times New Roman" w:eastAsia="宋体"/>
          <w:color w:val="auto"/>
          <w:szCs w:val="21"/>
        </w:rPr>
        <w:t>T</w:t>
      </w:r>
      <w:r>
        <w:rPr>
          <w:rFonts w:ascii="Times New Roman" w:hAnsi="Times New Roman" w:eastAsia="宋体"/>
          <w:color w:val="auto"/>
          <w:szCs w:val="21"/>
        </w:rPr>
        <w:t>”</w:t>
      </w:r>
      <w:r>
        <w:rPr>
          <w:rFonts w:hint="eastAsia" w:ascii="Times New Roman" w:hAnsi="Times New Roman" w:eastAsia="宋体"/>
          <w:color w:val="auto"/>
          <w:szCs w:val="21"/>
        </w:rPr>
        <w:t>形UHPC层竖向腹板与N</w:t>
      </w:r>
      <w:r>
        <w:rPr>
          <w:rFonts w:hint="eastAsia" w:ascii="Times New Roman" w:hAnsi="Times New Roman" w:eastAsia="宋体"/>
          <w:color w:val="auto"/>
          <w:szCs w:val="21"/>
          <w:lang w:val="en-US" w:eastAsia="zh-CN"/>
        </w:rPr>
        <w:t>S</w:t>
      </w:r>
      <w:r>
        <w:rPr>
          <w:rFonts w:hint="eastAsia" w:ascii="Times New Roman" w:hAnsi="Times New Roman" w:eastAsia="宋体"/>
          <w:color w:val="auto"/>
          <w:szCs w:val="21"/>
        </w:rPr>
        <w:t>C层之间的截面剪力，因此在计算过程中，将盖板简化为矩形截面的UHPC-N</w:t>
      </w:r>
      <w:r>
        <w:rPr>
          <w:rFonts w:hint="eastAsia" w:ascii="Times New Roman" w:hAnsi="Times New Roman" w:eastAsia="宋体"/>
          <w:color w:val="auto"/>
          <w:szCs w:val="21"/>
          <w:lang w:val="en-US" w:eastAsia="zh-CN"/>
        </w:rPr>
        <w:t>S</w:t>
      </w:r>
      <w:r>
        <w:rPr>
          <w:rFonts w:hint="eastAsia" w:ascii="Times New Roman" w:hAnsi="Times New Roman" w:eastAsia="宋体"/>
          <w:color w:val="auto"/>
          <w:szCs w:val="21"/>
        </w:rPr>
        <w:t>C组合梁计算UHPC底板与N</w:t>
      </w:r>
      <w:r>
        <w:rPr>
          <w:rFonts w:hint="eastAsia" w:ascii="Times New Roman" w:hAnsi="Times New Roman" w:eastAsia="宋体"/>
          <w:color w:val="auto"/>
          <w:szCs w:val="21"/>
          <w:lang w:val="en-US" w:eastAsia="zh-CN"/>
        </w:rPr>
        <w:t>S</w:t>
      </w:r>
      <w:r>
        <w:rPr>
          <w:rFonts w:hint="eastAsia" w:ascii="Times New Roman" w:hAnsi="Times New Roman" w:eastAsia="宋体"/>
          <w:color w:val="auto"/>
          <w:szCs w:val="21"/>
        </w:rPr>
        <w:t>C层之间的界面剪力。</w:t>
      </w:r>
    </w:p>
    <w:p w14:paraId="3713634D">
      <w:pPr>
        <w:pageBreakBefore/>
        <w:numPr>
          <w:ilvl w:val="2"/>
          <w:numId w:val="0"/>
        </w:numPr>
        <w:spacing w:line="480" w:lineRule="auto"/>
        <w:jc w:val="center"/>
        <w:outlineLvl w:val="2"/>
        <w:rPr>
          <w:rFonts w:ascii="Times New Roman" w:hAnsi="Times New Roman" w:eastAsia="宋体"/>
          <w:b/>
          <w:color w:val="auto"/>
          <w:sz w:val="28"/>
          <w:szCs w:val="28"/>
        </w:rPr>
      </w:pPr>
      <w:r>
        <w:rPr>
          <w:rFonts w:hint="eastAsia" w:ascii="Times New Roman" w:hAnsi="Times New Roman" w:eastAsia="宋体"/>
          <w:b/>
          <w:color w:val="auto"/>
          <w:sz w:val="28"/>
          <w:szCs w:val="28"/>
        </w:rPr>
        <w:t>6  持久状况正常使用极限状态计算</w:t>
      </w:r>
    </w:p>
    <w:p w14:paraId="7DD54873">
      <w:pPr>
        <w:spacing w:before="156" w:beforeLines="50" w:after="156" w:afterLines="50" w:line="480" w:lineRule="auto"/>
        <w:jc w:val="center"/>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6.1</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一般规定</w:t>
      </w:r>
    </w:p>
    <w:p w14:paraId="7A496EEA">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6.1.1</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本条文与现行行业标准《公路钢筋混凝土及预应力混凝土桥涵设计规范》JTG 3362相关条文规定相同。</w:t>
      </w:r>
    </w:p>
    <w:p w14:paraId="6E31130C">
      <w:pPr>
        <w:spacing w:before="156" w:beforeLines="50" w:after="156" w:afterLines="50" w:line="480" w:lineRule="auto"/>
        <w:jc w:val="center"/>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6.2</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裂缝宽度验算</w:t>
      </w:r>
    </w:p>
    <w:p w14:paraId="6BB49FEE">
      <w:p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6</w:t>
      </w:r>
      <w:r>
        <w:rPr>
          <w:rFonts w:ascii="Times New Roman" w:hAnsi="Times New Roman" w:eastAsia="黑体" w:cs="Times New Roman"/>
          <w:b/>
          <w:bCs/>
          <w:color w:val="auto"/>
          <w:szCs w:val="24"/>
        </w:rPr>
        <w:t>.2.1</w:t>
      </w:r>
      <w:r>
        <w:rPr>
          <w:rFonts w:hint="eastAsia" w:ascii="Times New Roman" w:hAnsi="Times New Roman" w:eastAsia="黑体" w:cs="Times New Roman"/>
          <w:b/>
          <w:bCs/>
          <w:color w:val="auto"/>
          <w:szCs w:val="24"/>
        </w:rPr>
        <w:t>~6</w:t>
      </w:r>
      <w:r>
        <w:rPr>
          <w:rFonts w:ascii="Times New Roman" w:hAnsi="Times New Roman" w:eastAsia="黑体" w:cs="Times New Roman"/>
          <w:b/>
          <w:bCs/>
          <w:color w:val="auto"/>
          <w:szCs w:val="24"/>
        </w:rPr>
        <w:t>.2.2</w:t>
      </w:r>
      <w:r>
        <w:rPr>
          <w:rFonts w:hint="eastAsia" w:ascii="Times New Roman" w:hAnsi="Times New Roman" w:eastAsia="宋体"/>
          <w:b/>
          <w:bCs/>
          <w:color w:val="auto"/>
          <w:szCs w:val="21"/>
        </w:rPr>
        <w:t xml:space="preserve"> </w:t>
      </w:r>
      <w:r>
        <w:rPr>
          <w:rFonts w:hint="eastAsia" w:ascii="Times New Roman" w:hAnsi="Times New Roman" w:eastAsia="宋体"/>
          <w:color w:val="auto"/>
          <w:szCs w:val="21"/>
        </w:rPr>
        <w:t xml:space="preserve"> 钢筋超高性能混凝土-普通混凝土组合式盖板结构设计，应进行裂缝宽度验算。当超高性能混凝土－普通混凝土组合式盖板结构拉应力小于</w:t>
      </w:r>
      <m:oMath>
        <m:f>
          <m:fPr>
            <m:type m:val="lin"/>
            <m:ctrlPr>
              <w:rPr>
                <w:rFonts w:ascii="Cambria Math" w:hAnsi="Cambria Math"/>
                <w:color w:val="auto"/>
              </w:rPr>
            </m:ctrlPr>
          </m:fPr>
          <m:num>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tk</m:t>
                </m:r>
                <m:ctrlPr>
                  <w:rPr>
                    <w:rFonts w:ascii="Cambria Math" w:hAnsi="Cambria Math"/>
                    <w:color w:val="auto"/>
                  </w:rPr>
                </m:ctrlPr>
              </m:sub>
            </m:sSub>
            <m:ctrlPr>
              <w:rPr>
                <w:rFonts w:ascii="Cambria Math" w:hAnsi="Cambria Math"/>
                <w:color w:val="auto"/>
              </w:rPr>
            </m:ctrlPr>
          </m:num>
          <m:den>
            <m:sSub>
              <m:sSubPr>
                <m:ctrlPr>
                  <w:rPr>
                    <w:rFonts w:ascii="Cambria Math" w:hAnsi="Cambria Math"/>
                    <w:i/>
                    <w:color w:val="auto"/>
                  </w:rPr>
                </m:ctrlPr>
              </m:sSubPr>
              <m:e>
                <m:r>
                  <m:rPr/>
                  <w:rPr>
                    <w:rFonts w:ascii="Cambria Math" w:hAnsi="Cambria Math"/>
                    <w:color w:val="auto"/>
                  </w:rPr>
                  <m:t>K</m:t>
                </m:r>
                <m:ctrlPr>
                  <w:rPr>
                    <w:rFonts w:ascii="Cambria Math" w:hAnsi="Cambria Math"/>
                    <w:i/>
                    <w:color w:val="auto"/>
                  </w:rPr>
                </m:ctrlPr>
              </m:e>
              <m:sub>
                <m:r>
                  <m:rPr/>
                  <w:rPr>
                    <w:rFonts w:ascii="Cambria Math" w:hAnsi="Cambria Math"/>
                    <w:color w:val="auto"/>
                  </w:rPr>
                  <m:t>global</m:t>
                </m:r>
                <m:ctrlPr>
                  <w:rPr>
                    <w:rFonts w:ascii="Cambria Math" w:hAnsi="Cambria Math"/>
                    <w:i/>
                    <w:color w:val="auto"/>
                  </w:rPr>
                </m:ctrlPr>
              </m:sub>
            </m:sSub>
            <m:ctrlPr>
              <w:rPr>
                <w:rFonts w:ascii="Cambria Math" w:hAnsi="Cambria Math"/>
                <w:color w:val="auto"/>
              </w:rPr>
            </m:ctrlPr>
          </m:den>
        </m:f>
      </m:oMath>
      <w:r>
        <w:rPr>
          <w:rFonts w:hint="eastAsia" w:ascii="Times New Roman" w:hAnsi="Times New Roman" w:eastAsia="宋体"/>
          <w:color w:val="auto"/>
          <w:szCs w:val="21"/>
        </w:rPr>
        <w:t>时，认为超高性能混凝土基体没有开裂，不用验算组合式盖板结构的超高性能混凝土裂缝宽度；当超高性能混凝土－普通混凝土组合式盖板结构拉应力大于</w:t>
      </w:r>
      <m:oMath>
        <m:f>
          <m:fPr>
            <m:type m:val="lin"/>
            <m:ctrlPr>
              <w:rPr>
                <w:rFonts w:ascii="Cambria Math" w:hAnsi="Cambria Math"/>
                <w:color w:val="auto"/>
              </w:rPr>
            </m:ctrlPr>
          </m:fPr>
          <m:num>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tk</m:t>
                </m:r>
                <m:ctrlPr>
                  <w:rPr>
                    <w:rFonts w:ascii="Cambria Math" w:hAnsi="Cambria Math"/>
                    <w:color w:val="auto"/>
                  </w:rPr>
                </m:ctrlPr>
              </m:sub>
            </m:sSub>
            <m:ctrlPr>
              <w:rPr>
                <w:rFonts w:ascii="Cambria Math" w:hAnsi="Cambria Math"/>
                <w:color w:val="auto"/>
              </w:rPr>
            </m:ctrlPr>
          </m:num>
          <m:den>
            <m:sSub>
              <m:sSubPr>
                <m:ctrlPr>
                  <w:rPr>
                    <w:rFonts w:ascii="Cambria Math" w:hAnsi="Cambria Math"/>
                    <w:i/>
                    <w:color w:val="auto"/>
                  </w:rPr>
                </m:ctrlPr>
              </m:sSubPr>
              <m:e>
                <m:r>
                  <m:rPr/>
                  <w:rPr>
                    <w:rFonts w:ascii="Cambria Math" w:hAnsi="Cambria Math"/>
                    <w:color w:val="auto"/>
                  </w:rPr>
                  <m:t>K</m:t>
                </m:r>
                <m:ctrlPr>
                  <w:rPr>
                    <w:rFonts w:ascii="Cambria Math" w:hAnsi="Cambria Math"/>
                    <w:i/>
                    <w:color w:val="auto"/>
                  </w:rPr>
                </m:ctrlPr>
              </m:e>
              <m:sub>
                <m:r>
                  <m:rPr/>
                  <w:rPr>
                    <w:rFonts w:ascii="Cambria Math" w:hAnsi="Cambria Math"/>
                    <w:color w:val="auto"/>
                  </w:rPr>
                  <m:t>global</m:t>
                </m:r>
                <m:ctrlPr>
                  <w:rPr>
                    <w:rFonts w:ascii="Cambria Math" w:hAnsi="Cambria Math"/>
                    <w:i/>
                    <w:color w:val="auto"/>
                  </w:rPr>
                </m:ctrlPr>
              </m:sub>
            </m:sSub>
            <m:ctrlPr>
              <w:rPr>
                <w:rFonts w:ascii="Cambria Math" w:hAnsi="Cambria Math"/>
                <w:color w:val="auto"/>
              </w:rPr>
            </m:ctrlPr>
          </m:den>
        </m:f>
      </m:oMath>
      <w:r>
        <w:rPr>
          <w:rFonts w:hint="eastAsia" w:ascii="Times New Roman" w:hAnsi="Times New Roman" w:eastAsia="宋体"/>
          <w:color w:val="auto"/>
          <w:szCs w:val="21"/>
        </w:rPr>
        <w:t>时，认为超高性能混凝土基体已开裂，应验算裂缝宽度。</w:t>
      </w:r>
    </w:p>
    <w:p w14:paraId="0B684EF2">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6.2.3</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超高性能混凝土内掺有大量的钢纤维，而钢纤维对其受力性能十分关键。因此超高性能混凝土裂缝宽度验算宜控制表面裂缝从而保证钢纤维的耐久性。本规程在现行行业标准《公路钢筋混凝土及预应力混凝土桥涵设计规范》JTG 3362基础上对非接缝截面裂缝宽度限值偏安全地从严规定，给出了表6.2.3不同环境类别下最低作用等级的钢筋超高性能混凝土最大裂缝宽度限值。为便于工程人员使用，结合现行行业标准《公路工程混凝土结构耐久性设计规范》JTG/T 3310的规定，表2分别给出了不同环境类别、环境作用等级下的钢筋超高性能混凝土部分和普通混凝土部分最大裂缝宽度限值。</w:t>
      </w:r>
    </w:p>
    <w:p w14:paraId="3BA95987">
      <w:pPr>
        <w:keepNext/>
        <w:spacing w:line="360" w:lineRule="auto"/>
        <w:jc w:val="center"/>
        <w:rPr>
          <w:rFonts w:ascii="Times New Roman" w:hAnsi="Times New Roman" w:eastAsia="黑体" w:cs="Times New Roman"/>
          <w:color w:val="auto"/>
          <w:sz w:val="18"/>
          <w:szCs w:val="20"/>
        </w:rPr>
      </w:pPr>
      <w:r>
        <w:rPr>
          <w:rFonts w:ascii="Times New Roman" w:hAnsi="Times New Roman" w:eastAsia="黑体" w:cs="Times New Roman"/>
          <w:color w:val="auto"/>
          <w:sz w:val="18"/>
          <w:szCs w:val="20"/>
        </w:rPr>
        <w:t>表 2 组合式盖板结构最大裂缝宽度限值</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1"/>
        <w:gridCol w:w="2086"/>
        <w:gridCol w:w="2165"/>
        <w:gridCol w:w="2090"/>
      </w:tblGrid>
      <w:tr w14:paraId="2AE2C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vAlign w:val="center"/>
          </w:tcPr>
          <w:p w14:paraId="6ADC720C">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环境类别</w:t>
            </w:r>
          </w:p>
        </w:tc>
        <w:tc>
          <w:tcPr>
            <w:tcW w:w="1224" w:type="pct"/>
            <w:vAlign w:val="center"/>
          </w:tcPr>
          <w:p w14:paraId="261026AE">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环境作用等级</w:t>
            </w:r>
          </w:p>
        </w:tc>
        <w:tc>
          <w:tcPr>
            <w:tcW w:w="1270" w:type="pct"/>
            <w:vAlign w:val="center"/>
          </w:tcPr>
          <w:p w14:paraId="54A89F7A">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超高性能混凝土最大裂缝宽度限值（mm）</w:t>
            </w:r>
          </w:p>
        </w:tc>
        <w:tc>
          <w:tcPr>
            <w:tcW w:w="1226" w:type="pct"/>
            <w:vAlign w:val="center"/>
          </w:tcPr>
          <w:p w14:paraId="63FAE2FC">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普通混凝土最大裂缝宽度限值（mm）</w:t>
            </w:r>
          </w:p>
        </w:tc>
      </w:tr>
      <w:tr w14:paraId="1277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vMerge w:val="restart"/>
            <w:vAlign w:val="center"/>
          </w:tcPr>
          <w:p w14:paraId="599EC03C">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一般环境</w:t>
            </w:r>
          </w:p>
        </w:tc>
        <w:tc>
          <w:tcPr>
            <w:tcW w:w="1224" w:type="pct"/>
            <w:vAlign w:val="center"/>
          </w:tcPr>
          <w:p w14:paraId="3A41A785">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I-A</w:t>
            </w:r>
          </w:p>
        </w:tc>
        <w:tc>
          <w:tcPr>
            <w:tcW w:w="1270" w:type="pct"/>
            <w:vMerge w:val="restart"/>
            <w:vAlign w:val="center"/>
          </w:tcPr>
          <w:p w14:paraId="03C47E79">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0.10</w:t>
            </w:r>
          </w:p>
        </w:tc>
        <w:tc>
          <w:tcPr>
            <w:tcW w:w="1226" w:type="pct"/>
            <w:vMerge w:val="restart"/>
            <w:vAlign w:val="center"/>
          </w:tcPr>
          <w:p w14:paraId="2434A3AD">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0.20</w:t>
            </w:r>
          </w:p>
        </w:tc>
      </w:tr>
      <w:tr w14:paraId="0AD5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vMerge w:val="continue"/>
            <w:vAlign w:val="center"/>
          </w:tcPr>
          <w:p w14:paraId="1EF60A00">
            <w:pPr>
              <w:widowControl/>
              <w:jc w:val="center"/>
              <w:textAlignment w:val="center"/>
              <w:rPr>
                <w:rFonts w:ascii="Times New Roman" w:hAnsi="Times New Roman" w:eastAsia="宋体" w:cs="Times New Roman"/>
                <w:color w:val="auto"/>
                <w:sz w:val="18"/>
                <w:szCs w:val="21"/>
                <w:lang w:bidi="ar"/>
              </w:rPr>
            </w:pPr>
          </w:p>
        </w:tc>
        <w:tc>
          <w:tcPr>
            <w:tcW w:w="1224" w:type="pct"/>
            <w:vAlign w:val="center"/>
          </w:tcPr>
          <w:p w14:paraId="5FEA7312">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I-B</w:t>
            </w:r>
          </w:p>
        </w:tc>
        <w:tc>
          <w:tcPr>
            <w:tcW w:w="1270" w:type="pct"/>
            <w:vMerge w:val="continue"/>
            <w:vAlign w:val="center"/>
          </w:tcPr>
          <w:p w14:paraId="404D67E9">
            <w:pPr>
              <w:widowControl/>
              <w:jc w:val="center"/>
              <w:textAlignment w:val="center"/>
              <w:rPr>
                <w:rFonts w:ascii="Times New Roman" w:hAnsi="Times New Roman" w:eastAsia="宋体" w:cs="Times New Roman"/>
                <w:color w:val="auto"/>
                <w:sz w:val="18"/>
                <w:szCs w:val="21"/>
                <w:lang w:bidi="ar"/>
              </w:rPr>
            </w:pPr>
          </w:p>
        </w:tc>
        <w:tc>
          <w:tcPr>
            <w:tcW w:w="1226" w:type="pct"/>
            <w:vMerge w:val="continue"/>
            <w:vAlign w:val="center"/>
          </w:tcPr>
          <w:p w14:paraId="74981E79">
            <w:pPr>
              <w:widowControl/>
              <w:jc w:val="center"/>
              <w:textAlignment w:val="center"/>
              <w:rPr>
                <w:rFonts w:ascii="Times New Roman" w:hAnsi="Times New Roman" w:eastAsia="宋体" w:cs="Times New Roman"/>
                <w:color w:val="auto"/>
                <w:sz w:val="18"/>
                <w:szCs w:val="21"/>
                <w:lang w:bidi="ar"/>
              </w:rPr>
            </w:pPr>
          </w:p>
        </w:tc>
      </w:tr>
      <w:tr w14:paraId="13EA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vMerge w:val="continue"/>
            <w:vAlign w:val="center"/>
          </w:tcPr>
          <w:p w14:paraId="4D747C21">
            <w:pPr>
              <w:widowControl/>
              <w:jc w:val="center"/>
              <w:textAlignment w:val="center"/>
              <w:rPr>
                <w:rFonts w:ascii="Times New Roman" w:hAnsi="Times New Roman" w:eastAsia="宋体" w:cs="Times New Roman"/>
                <w:color w:val="auto"/>
                <w:sz w:val="18"/>
                <w:szCs w:val="21"/>
                <w:lang w:bidi="ar"/>
              </w:rPr>
            </w:pPr>
          </w:p>
        </w:tc>
        <w:tc>
          <w:tcPr>
            <w:tcW w:w="1224" w:type="pct"/>
            <w:vAlign w:val="center"/>
          </w:tcPr>
          <w:p w14:paraId="08CACADE">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I-C</w:t>
            </w:r>
          </w:p>
        </w:tc>
        <w:tc>
          <w:tcPr>
            <w:tcW w:w="1270" w:type="pct"/>
            <w:vMerge w:val="continue"/>
            <w:vAlign w:val="center"/>
          </w:tcPr>
          <w:p w14:paraId="66D5680F">
            <w:pPr>
              <w:widowControl/>
              <w:jc w:val="center"/>
              <w:textAlignment w:val="center"/>
              <w:rPr>
                <w:rFonts w:ascii="Times New Roman" w:hAnsi="Times New Roman" w:eastAsia="宋体" w:cs="Times New Roman"/>
                <w:color w:val="auto"/>
                <w:sz w:val="18"/>
                <w:szCs w:val="21"/>
                <w:lang w:bidi="ar"/>
              </w:rPr>
            </w:pPr>
          </w:p>
        </w:tc>
        <w:tc>
          <w:tcPr>
            <w:tcW w:w="1226" w:type="pct"/>
            <w:vMerge w:val="continue"/>
            <w:vAlign w:val="center"/>
          </w:tcPr>
          <w:p w14:paraId="2405F73F">
            <w:pPr>
              <w:widowControl/>
              <w:jc w:val="center"/>
              <w:textAlignment w:val="center"/>
              <w:rPr>
                <w:rFonts w:ascii="Times New Roman" w:hAnsi="Times New Roman" w:eastAsia="宋体" w:cs="Times New Roman"/>
                <w:color w:val="auto"/>
                <w:sz w:val="18"/>
                <w:szCs w:val="21"/>
                <w:lang w:bidi="ar"/>
              </w:rPr>
            </w:pPr>
          </w:p>
        </w:tc>
      </w:tr>
      <w:tr w14:paraId="59A41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vMerge w:val="restart"/>
            <w:vAlign w:val="center"/>
          </w:tcPr>
          <w:p w14:paraId="349343F1">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冻融环境</w:t>
            </w:r>
          </w:p>
        </w:tc>
        <w:tc>
          <w:tcPr>
            <w:tcW w:w="1224" w:type="pct"/>
            <w:vAlign w:val="center"/>
          </w:tcPr>
          <w:p w14:paraId="10A23D76">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II-A</w:t>
            </w:r>
          </w:p>
        </w:tc>
        <w:tc>
          <w:tcPr>
            <w:tcW w:w="1270" w:type="pct"/>
            <w:vAlign w:val="center"/>
          </w:tcPr>
          <w:p w14:paraId="3B1C813A">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0.10</w:t>
            </w:r>
          </w:p>
        </w:tc>
        <w:tc>
          <w:tcPr>
            <w:tcW w:w="1226" w:type="pct"/>
            <w:vAlign w:val="center"/>
          </w:tcPr>
          <w:p w14:paraId="4F967219">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0.20</w:t>
            </w:r>
          </w:p>
        </w:tc>
      </w:tr>
      <w:tr w14:paraId="3103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vMerge w:val="continue"/>
            <w:vAlign w:val="center"/>
          </w:tcPr>
          <w:p w14:paraId="06E268F3">
            <w:pPr>
              <w:widowControl/>
              <w:jc w:val="center"/>
              <w:textAlignment w:val="center"/>
              <w:rPr>
                <w:rFonts w:ascii="Times New Roman" w:hAnsi="Times New Roman" w:eastAsia="宋体" w:cs="Times New Roman"/>
                <w:color w:val="auto"/>
                <w:sz w:val="18"/>
                <w:szCs w:val="21"/>
                <w:lang w:bidi="ar"/>
              </w:rPr>
            </w:pPr>
          </w:p>
        </w:tc>
        <w:tc>
          <w:tcPr>
            <w:tcW w:w="1224" w:type="pct"/>
            <w:vAlign w:val="center"/>
          </w:tcPr>
          <w:p w14:paraId="36E0E6BA">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II-B</w:t>
            </w:r>
          </w:p>
        </w:tc>
        <w:tc>
          <w:tcPr>
            <w:tcW w:w="1270" w:type="pct"/>
            <w:vAlign w:val="center"/>
          </w:tcPr>
          <w:p w14:paraId="6D004D1A">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0.10</w:t>
            </w:r>
          </w:p>
        </w:tc>
        <w:tc>
          <w:tcPr>
            <w:tcW w:w="1226" w:type="pct"/>
            <w:vAlign w:val="center"/>
          </w:tcPr>
          <w:p w14:paraId="3F9ACEFD">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0.15</w:t>
            </w:r>
          </w:p>
        </w:tc>
      </w:tr>
      <w:tr w14:paraId="2E39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vMerge w:val="continue"/>
            <w:vAlign w:val="center"/>
          </w:tcPr>
          <w:p w14:paraId="713137CD">
            <w:pPr>
              <w:widowControl/>
              <w:jc w:val="center"/>
              <w:textAlignment w:val="center"/>
              <w:rPr>
                <w:rFonts w:ascii="Times New Roman" w:hAnsi="Times New Roman" w:eastAsia="宋体" w:cs="Times New Roman"/>
                <w:color w:val="auto"/>
                <w:sz w:val="18"/>
                <w:szCs w:val="21"/>
                <w:lang w:bidi="ar"/>
              </w:rPr>
            </w:pPr>
          </w:p>
        </w:tc>
        <w:tc>
          <w:tcPr>
            <w:tcW w:w="1224" w:type="pct"/>
            <w:vAlign w:val="center"/>
          </w:tcPr>
          <w:p w14:paraId="08369E40">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II-C</w:t>
            </w:r>
          </w:p>
        </w:tc>
        <w:tc>
          <w:tcPr>
            <w:tcW w:w="1270" w:type="pct"/>
            <w:vAlign w:val="center"/>
          </w:tcPr>
          <w:p w14:paraId="3261AA95">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0.05</w:t>
            </w:r>
          </w:p>
        </w:tc>
        <w:tc>
          <w:tcPr>
            <w:tcW w:w="1226" w:type="pct"/>
            <w:vAlign w:val="center"/>
          </w:tcPr>
          <w:p w14:paraId="67D9EBD8">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0.10</w:t>
            </w:r>
          </w:p>
        </w:tc>
      </w:tr>
      <w:tr w14:paraId="2BBE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vMerge w:val="restart"/>
            <w:vAlign w:val="center"/>
          </w:tcPr>
          <w:p w14:paraId="77034E9A">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近海或海洋氯化物环境</w:t>
            </w:r>
          </w:p>
        </w:tc>
        <w:tc>
          <w:tcPr>
            <w:tcW w:w="1224" w:type="pct"/>
            <w:vAlign w:val="center"/>
          </w:tcPr>
          <w:p w14:paraId="54EB704A">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III-C</w:t>
            </w:r>
          </w:p>
        </w:tc>
        <w:tc>
          <w:tcPr>
            <w:tcW w:w="1270" w:type="pct"/>
            <w:vAlign w:val="center"/>
          </w:tcPr>
          <w:p w14:paraId="673FBAF2">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0.10</w:t>
            </w:r>
          </w:p>
        </w:tc>
        <w:tc>
          <w:tcPr>
            <w:tcW w:w="1226" w:type="pct"/>
            <w:vAlign w:val="center"/>
          </w:tcPr>
          <w:p w14:paraId="12F3BD9E">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0.15</w:t>
            </w:r>
          </w:p>
        </w:tc>
      </w:tr>
      <w:tr w14:paraId="11AF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vMerge w:val="continue"/>
            <w:vAlign w:val="center"/>
          </w:tcPr>
          <w:p w14:paraId="36CC8E2F">
            <w:pPr>
              <w:widowControl/>
              <w:jc w:val="center"/>
              <w:textAlignment w:val="center"/>
              <w:rPr>
                <w:rFonts w:ascii="Times New Roman" w:hAnsi="Times New Roman" w:eastAsia="宋体" w:cs="Times New Roman"/>
                <w:color w:val="auto"/>
                <w:sz w:val="18"/>
                <w:szCs w:val="21"/>
                <w:lang w:bidi="ar"/>
              </w:rPr>
            </w:pPr>
          </w:p>
        </w:tc>
        <w:tc>
          <w:tcPr>
            <w:tcW w:w="1224" w:type="pct"/>
            <w:vAlign w:val="center"/>
          </w:tcPr>
          <w:p w14:paraId="607767E1">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III-D</w:t>
            </w:r>
          </w:p>
        </w:tc>
        <w:tc>
          <w:tcPr>
            <w:tcW w:w="1270" w:type="pct"/>
            <w:vAlign w:val="center"/>
          </w:tcPr>
          <w:p w14:paraId="5FD91587">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0.10</w:t>
            </w:r>
          </w:p>
        </w:tc>
        <w:tc>
          <w:tcPr>
            <w:tcW w:w="1226" w:type="pct"/>
            <w:vAlign w:val="center"/>
          </w:tcPr>
          <w:p w14:paraId="261BC060">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0.15</w:t>
            </w:r>
          </w:p>
        </w:tc>
      </w:tr>
      <w:tr w14:paraId="4E12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vMerge w:val="continue"/>
            <w:vAlign w:val="center"/>
          </w:tcPr>
          <w:p w14:paraId="22FE1E04">
            <w:pPr>
              <w:widowControl/>
              <w:jc w:val="center"/>
              <w:textAlignment w:val="center"/>
              <w:rPr>
                <w:rFonts w:ascii="Times New Roman" w:hAnsi="Times New Roman" w:eastAsia="宋体" w:cs="Times New Roman"/>
                <w:color w:val="auto"/>
                <w:sz w:val="18"/>
                <w:szCs w:val="21"/>
                <w:lang w:bidi="ar"/>
              </w:rPr>
            </w:pPr>
          </w:p>
        </w:tc>
        <w:tc>
          <w:tcPr>
            <w:tcW w:w="1224" w:type="pct"/>
            <w:vAlign w:val="center"/>
          </w:tcPr>
          <w:p w14:paraId="09D23568">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III-E、III-F</w:t>
            </w:r>
          </w:p>
        </w:tc>
        <w:tc>
          <w:tcPr>
            <w:tcW w:w="1270" w:type="pct"/>
            <w:vAlign w:val="center"/>
          </w:tcPr>
          <w:p w14:paraId="605781DD">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0.05</w:t>
            </w:r>
          </w:p>
        </w:tc>
        <w:tc>
          <w:tcPr>
            <w:tcW w:w="1226" w:type="pct"/>
            <w:vAlign w:val="center"/>
          </w:tcPr>
          <w:p w14:paraId="181DE623">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0.10</w:t>
            </w:r>
          </w:p>
        </w:tc>
      </w:tr>
      <w:tr w14:paraId="20ED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0" w:type="pct"/>
            <w:vMerge w:val="restart"/>
            <w:vAlign w:val="center"/>
          </w:tcPr>
          <w:p w14:paraId="36E9682E">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除冰盐等氯化物环境</w:t>
            </w:r>
          </w:p>
        </w:tc>
        <w:tc>
          <w:tcPr>
            <w:tcW w:w="1224" w:type="pct"/>
            <w:vAlign w:val="center"/>
          </w:tcPr>
          <w:p w14:paraId="334E8341">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IV-C</w:t>
            </w:r>
          </w:p>
        </w:tc>
        <w:tc>
          <w:tcPr>
            <w:tcW w:w="1270" w:type="pct"/>
            <w:vAlign w:val="center"/>
          </w:tcPr>
          <w:p w14:paraId="660E2695">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0.10</w:t>
            </w:r>
          </w:p>
        </w:tc>
        <w:tc>
          <w:tcPr>
            <w:tcW w:w="1226" w:type="pct"/>
            <w:vAlign w:val="center"/>
          </w:tcPr>
          <w:p w14:paraId="47EB1764">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0.15</w:t>
            </w:r>
          </w:p>
        </w:tc>
      </w:tr>
      <w:tr w14:paraId="1E01D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0" w:type="pct"/>
            <w:vMerge w:val="continue"/>
            <w:vAlign w:val="center"/>
          </w:tcPr>
          <w:p w14:paraId="480DDE93">
            <w:pPr>
              <w:widowControl/>
              <w:jc w:val="center"/>
              <w:textAlignment w:val="center"/>
              <w:rPr>
                <w:rFonts w:ascii="Times New Roman" w:hAnsi="Times New Roman" w:eastAsia="宋体" w:cs="Times New Roman"/>
                <w:color w:val="auto"/>
                <w:sz w:val="18"/>
                <w:szCs w:val="21"/>
                <w:lang w:bidi="ar"/>
              </w:rPr>
            </w:pPr>
          </w:p>
        </w:tc>
        <w:tc>
          <w:tcPr>
            <w:tcW w:w="1224" w:type="pct"/>
            <w:vAlign w:val="center"/>
          </w:tcPr>
          <w:p w14:paraId="572091A8">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IV-D</w:t>
            </w:r>
          </w:p>
        </w:tc>
        <w:tc>
          <w:tcPr>
            <w:tcW w:w="1270" w:type="pct"/>
            <w:vAlign w:val="center"/>
          </w:tcPr>
          <w:p w14:paraId="1780B539">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0.1</w:t>
            </w:r>
          </w:p>
        </w:tc>
        <w:tc>
          <w:tcPr>
            <w:tcW w:w="1226" w:type="pct"/>
            <w:vAlign w:val="center"/>
          </w:tcPr>
          <w:p w14:paraId="3FB5015B">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0.15</w:t>
            </w:r>
          </w:p>
        </w:tc>
      </w:tr>
      <w:tr w14:paraId="6C9AE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vMerge w:val="continue"/>
            <w:vAlign w:val="center"/>
          </w:tcPr>
          <w:p w14:paraId="48619A9B">
            <w:pPr>
              <w:widowControl/>
              <w:jc w:val="center"/>
              <w:textAlignment w:val="center"/>
              <w:rPr>
                <w:rFonts w:ascii="Times New Roman" w:hAnsi="Times New Roman" w:eastAsia="宋体" w:cs="Times New Roman"/>
                <w:color w:val="auto"/>
                <w:sz w:val="18"/>
                <w:szCs w:val="21"/>
                <w:lang w:bidi="ar"/>
              </w:rPr>
            </w:pPr>
          </w:p>
        </w:tc>
        <w:tc>
          <w:tcPr>
            <w:tcW w:w="1224" w:type="pct"/>
            <w:vAlign w:val="center"/>
          </w:tcPr>
          <w:p w14:paraId="63750566">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IV-E</w:t>
            </w:r>
          </w:p>
        </w:tc>
        <w:tc>
          <w:tcPr>
            <w:tcW w:w="1270" w:type="pct"/>
            <w:vAlign w:val="center"/>
          </w:tcPr>
          <w:p w14:paraId="1B5CF2C6">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0.05</w:t>
            </w:r>
          </w:p>
        </w:tc>
        <w:tc>
          <w:tcPr>
            <w:tcW w:w="1226" w:type="pct"/>
            <w:vAlign w:val="center"/>
          </w:tcPr>
          <w:p w14:paraId="57DA4BCD">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0.10</w:t>
            </w:r>
          </w:p>
        </w:tc>
      </w:tr>
      <w:tr w14:paraId="04B50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vAlign w:val="center"/>
          </w:tcPr>
          <w:p w14:paraId="0DCF3409">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盐结晶环境</w:t>
            </w:r>
          </w:p>
        </w:tc>
        <w:tc>
          <w:tcPr>
            <w:tcW w:w="1224" w:type="pct"/>
            <w:vAlign w:val="center"/>
          </w:tcPr>
          <w:p w14:paraId="610BF131">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V-D、V-E、V-F</w:t>
            </w:r>
          </w:p>
        </w:tc>
        <w:tc>
          <w:tcPr>
            <w:tcW w:w="1270" w:type="pct"/>
            <w:vAlign w:val="center"/>
          </w:tcPr>
          <w:p w14:paraId="2230E049">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0.05</w:t>
            </w:r>
          </w:p>
        </w:tc>
        <w:tc>
          <w:tcPr>
            <w:tcW w:w="1226" w:type="pct"/>
            <w:vAlign w:val="center"/>
          </w:tcPr>
          <w:p w14:paraId="4819112F">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0.10</w:t>
            </w:r>
          </w:p>
        </w:tc>
      </w:tr>
      <w:tr w14:paraId="6F42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vMerge w:val="restart"/>
            <w:vAlign w:val="center"/>
          </w:tcPr>
          <w:p w14:paraId="3015BFD9">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化学腐蚀环境</w:t>
            </w:r>
          </w:p>
        </w:tc>
        <w:tc>
          <w:tcPr>
            <w:tcW w:w="1224" w:type="pct"/>
            <w:vAlign w:val="center"/>
          </w:tcPr>
          <w:p w14:paraId="4D6DAB44">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VI-C</w:t>
            </w:r>
          </w:p>
        </w:tc>
        <w:tc>
          <w:tcPr>
            <w:tcW w:w="1270" w:type="pct"/>
            <w:vAlign w:val="center"/>
          </w:tcPr>
          <w:p w14:paraId="03503BD4">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0.10</w:t>
            </w:r>
          </w:p>
        </w:tc>
        <w:tc>
          <w:tcPr>
            <w:tcW w:w="1226" w:type="pct"/>
            <w:vAlign w:val="center"/>
          </w:tcPr>
          <w:p w14:paraId="3813EB9D">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0.15</w:t>
            </w:r>
          </w:p>
        </w:tc>
      </w:tr>
      <w:tr w14:paraId="543B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vMerge w:val="continue"/>
            <w:vAlign w:val="center"/>
          </w:tcPr>
          <w:p w14:paraId="6D802BCA">
            <w:pPr>
              <w:widowControl/>
              <w:jc w:val="center"/>
              <w:textAlignment w:val="center"/>
              <w:rPr>
                <w:rFonts w:ascii="Times New Roman" w:hAnsi="Times New Roman" w:eastAsia="宋体" w:cs="Times New Roman"/>
                <w:color w:val="auto"/>
                <w:sz w:val="18"/>
                <w:szCs w:val="21"/>
                <w:lang w:bidi="ar"/>
              </w:rPr>
            </w:pPr>
          </w:p>
        </w:tc>
        <w:tc>
          <w:tcPr>
            <w:tcW w:w="1224" w:type="pct"/>
            <w:vAlign w:val="center"/>
          </w:tcPr>
          <w:p w14:paraId="691CE495">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VI-D、VI-E、VI-F</w:t>
            </w:r>
          </w:p>
        </w:tc>
        <w:tc>
          <w:tcPr>
            <w:tcW w:w="1270" w:type="pct"/>
            <w:vAlign w:val="center"/>
          </w:tcPr>
          <w:p w14:paraId="147A203E">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0.05</w:t>
            </w:r>
          </w:p>
        </w:tc>
        <w:tc>
          <w:tcPr>
            <w:tcW w:w="1226" w:type="pct"/>
            <w:vAlign w:val="center"/>
          </w:tcPr>
          <w:p w14:paraId="2C33A485">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0.10</w:t>
            </w:r>
          </w:p>
        </w:tc>
      </w:tr>
      <w:tr w14:paraId="5ABD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vMerge w:val="restart"/>
            <w:vAlign w:val="center"/>
          </w:tcPr>
          <w:p w14:paraId="01EF975E">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磨蚀环境</w:t>
            </w:r>
          </w:p>
        </w:tc>
        <w:tc>
          <w:tcPr>
            <w:tcW w:w="1224" w:type="pct"/>
            <w:vAlign w:val="center"/>
          </w:tcPr>
          <w:p w14:paraId="5F8E933D">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VII-C</w:t>
            </w:r>
          </w:p>
        </w:tc>
        <w:tc>
          <w:tcPr>
            <w:tcW w:w="1270" w:type="pct"/>
            <w:vMerge w:val="restart"/>
            <w:vAlign w:val="center"/>
          </w:tcPr>
          <w:p w14:paraId="7BB37DCD">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0.10</w:t>
            </w:r>
          </w:p>
        </w:tc>
        <w:tc>
          <w:tcPr>
            <w:tcW w:w="1226" w:type="pct"/>
            <w:vAlign w:val="center"/>
          </w:tcPr>
          <w:p w14:paraId="2FEE0EDF">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0.20</w:t>
            </w:r>
          </w:p>
        </w:tc>
      </w:tr>
      <w:tr w14:paraId="02F9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vMerge w:val="continue"/>
            <w:vAlign w:val="center"/>
          </w:tcPr>
          <w:p w14:paraId="28B2E427">
            <w:pPr>
              <w:widowControl/>
              <w:jc w:val="center"/>
              <w:textAlignment w:val="center"/>
              <w:rPr>
                <w:rFonts w:ascii="Times New Roman" w:hAnsi="Times New Roman" w:eastAsia="宋体" w:cs="Times New Roman"/>
                <w:color w:val="auto"/>
                <w:sz w:val="18"/>
                <w:szCs w:val="21"/>
                <w:lang w:bidi="ar"/>
              </w:rPr>
            </w:pPr>
          </w:p>
        </w:tc>
        <w:tc>
          <w:tcPr>
            <w:tcW w:w="1224" w:type="pct"/>
            <w:vAlign w:val="center"/>
          </w:tcPr>
          <w:p w14:paraId="71E76915">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VII-D、VII-E</w:t>
            </w:r>
          </w:p>
        </w:tc>
        <w:tc>
          <w:tcPr>
            <w:tcW w:w="1270" w:type="pct"/>
            <w:vMerge w:val="continue"/>
            <w:vAlign w:val="center"/>
          </w:tcPr>
          <w:p w14:paraId="55B73E51">
            <w:pPr>
              <w:widowControl/>
              <w:jc w:val="center"/>
              <w:textAlignment w:val="center"/>
              <w:rPr>
                <w:rFonts w:ascii="Times New Roman" w:hAnsi="Times New Roman" w:eastAsia="宋体" w:cs="Times New Roman"/>
                <w:color w:val="auto"/>
                <w:sz w:val="18"/>
                <w:szCs w:val="21"/>
                <w:lang w:bidi="ar"/>
              </w:rPr>
            </w:pPr>
          </w:p>
        </w:tc>
        <w:tc>
          <w:tcPr>
            <w:tcW w:w="1226" w:type="pct"/>
            <w:vAlign w:val="center"/>
          </w:tcPr>
          <w:p w14:paraId="71DE94A5">
            <w:pPr>
              <w:widowControl/>
              <w:jc w:val="center"/>
              <w:textAlignment w:val="center"/>
              <w:rPr>
                <w:rFonts w:ascii="Times New Roman" w:hAnsi="Times New Roman" w:eastAsia="宋体" w:cs="Times New Roman"/>
                <w:color w:val="auto"/>
                <w:sz w:val="18"/>
                <w:szCs w:val="21"/>
                <w:lang w:bidi="ar"/>
              </w:rPr>
            </w:pPr>
            <w:r>
              <w:rPr>
                <w:rFonts w:ascii="Times New Roman" w:hAnsi="Times New Roman" w:eastAsia="宋体" w:cs="Times New Roman"/>
                <w:color w:val="auto"/>
                <w:sz w:val="18"/>
                <w:lang w:bidi="ar"/>
              </w:rPr>
              <w:t>0.15</w:t>
            </w:r>
          </w:p>
        </w:tc>
      </w:tr>
    </w:tbl>
    <w:p w14:paraId="67DEFCB6">
      <w:pPr>
        <w:widowControl/>
        <w:numPr>
          <w:ilvl w:val="2"/>
          <w:numId w:val="0"/>
        </w:numPr>
        <w:spacing w:line="360" w:lineRule="auto"/>
        <w:outlineLvl w:val="2"/>
        <w:rPr>
          <w:rFonts w:hint="eastAsia" w:ascii="Times New Roman" w:hAnsi="Times New Roman" w:eastAsia="黑体" w:cs="Times New Roman"/>
          <w:b/>
          <w:bCs/>
          <w:color w:val="auto"/>
          <w:szCs w:val="24"/>
        </w:rPr>
      </w:pPr>
    </w:p>
    <w:p w14:paraId="37FEC80D">
      <w:pPr>
        <w:widowControl/>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6.2.4</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与普通混凝土或普通纤维混凝土相比，由于超高性能混凝土的抗压强度较高，钢纤维与超高性能混凝土基体的粘结强度大大提高，超高性能混凝土开裂后，钢纤维在裂缝处的桥接作用分担部分拉力而减小裂缝处钢筋应力，同时，裂缝处超高性能混凝土的残余抗拉强度可减小所需的传递长度而缩短了裂缝间距。本规程基于国内外超高性能混凝土受弯构件裂缝宽度试验研究，在现行国家标准《混凝土结构设计规范》GB 50010的基础上，对裂缝间距、裂缝不均匀系数、构件受力特征系数等公式进行修正，给出钢筋超高性能混凝土-普通混凝土组合式盖板结构受弯构件中超高性能混凝土部分的裂缝宽度计算公式。普通混凝土的裂缝宽度计算系参照</w:t>
      </w:r>
      <w:r>
        <w:rPr>
          <w:rFonts w:hint="eastAsia" w:ascii="Times New Roman" w:hAnsi="Times New Roman" w:eastAsia="宋体"/>
          <w:color w:val="auto"/>
          <w:szCs w:val="21"/>
          <w:lang w:bidi="ar"/>
        </w:rPr>
        <w:t>《公路钢混组合桥梁设计与施工规范》（JTG/TD64-01-2015）</w:t>
      </w:r>
      <w:r>
        <w:rPr>
          <w:rFonts w:hint="eastAsia" w:ascii="Times New Roman" w:hAnsi="Times New Roman" w:eastAsia="宋体"/>
          <w:color w:val="auto"/>
          <w:szCs w:val="21"/>
        </w:rPr>
        <w:t>给出。</w:t>
      </w:r>
    </w:p>
    <w:p w14:paraId="444D5AB7">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6.2.5</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计算开裂截面钢筋应力时，应合理地考虑超高性能混凝土抗拉贡献。以下对作用频遇组合下，钢筋超高性能混凝土-普通混凝土组合式盖板结构受弯构件中超高性能混凝土部分的钢筋应力计算过程予以说明（以倒T型组合式盖板断面为例）：</w:t>
      </w:r>
    </w:p>
    <w:p w14:paraId="669DED9A">
      <w:pPr>
        <w:spacing w:line="360" w:lineRule="auto"/>
        <w:ind w:firstLine="422" w:firstLineChars="200"/>
        <w:rPr>
          <w:rFonts w:ascii="Times New Roman" w:hAnsi="Times New Roman" w:eastAsia="宋体"/>
          <w:color w:val="auto"/>
          <w:szCs w:val="21"/>
        </w:rPr>
      </w:pPr>
      <w:r>
        <w:rPr>
          <w:rFonts w:hint="eastAsia" w:ascii="Times New Roman" w:hAnsi="Times New Roman" w:eastAsia="宋体"/>
          <w:b/>
          <w:color w:val="auto"/>
          <w:szCs w:val="21"/>
        </w:rPr>
        <w:t xml:space="preserve">1 </w:t>
      </w:r>
      <w:r>
        <w:rPr>
          <w:rFonts w:hint="eastAsia" w:ascii="Times New Roman" w:hAnsi="Times New Roman" w:eastAsia="宋体"/>
          <w:color w:val="auto"/>
          <w:szCs w:val="21"/>
        </w:rPr>
        <w:t>基本假定：截面应变分布满足平截面假定；超高性能混凝土受压及钢筋受拉的应力应变均取线弹性；考虑受拉区超高性能混凝土参与截面受力，超高性能混凝土受拉应力应变曲线按下列公式取值。</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52"/>
        <w:gridCol w:w="680"/>
        <w:gridCol w:w="2814"/>
        <w:gridCol w:w="2038"/>
        <w:gridCol w:w="1538"/>
      </w:tblGrid>
      <w:tr w14:paraId="25059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51" w:type="pct"/>
            <w:gridSpan w:val="2"/>
            <w:vAlign w:val="center"/>
          </w:tcPr>
          <w:p w14:paraId="53B125F4">
            <w:pPr>
              <w:spacing w:line="360" w:lineRule="auto"/>
              <w:rPr>
                <w:rFonts w:hint="eastAsia" w:ascii="等线" w:hAnsi="等线" w:eastAsia="等线" w:cs="Times New Roman"/>
                <w:color w:val="auto"/>
                <w:szCs w:val="21"/>
              </w:rPr>
            </w:pPr>
          </w:p>
        </w:tc>
        <w:tc>
          <w:tcPr>
            <w:tcW w:w="1651" w:type="pct"/>
            <w:vAlign w:val="center"/>
          </w:tcPr>
          <w:p w14:paraId="4E09E8E4">
            <w:pPr>
              <w:spacing w:line="360" w:lineRule="auto"/>
              <w:jc w:val="center"/>
              <w:rPr>
                <w:rFonts w:ascii="Times New Roman" w:hAnsi="Times New Roman" w:eastAsia="宋体"/>
                <w:color w:val="auto"/>
                <w:szCs w:val="21"/>
              </w:rPr>
            </w:pPr>
            <m:oMathPara>
              <m:oMathParaPr>
                <m:jc m:val="right"/>
              </m:oMathParaPr>
              <m:oMath>
                <m:d>
                  <m:dPr>
                    <m:begChr m:val="{"/>
                    <m:endChr m:val=""/>
                    <m:ctrlPr>
                      <w:rPr>
                        <w:rFonts w:ascii="Cambria Math" w:hAnsi="Cambria Math"/>
                        <w:i/>
                        <w:color w:val="auto"/>
                      </w:rPr>
                    </m:ctrlPr>
                  </m:dPr>
                  <m:e>
                    <m:eqArr>
                      <m:eqArrPr>
                        <m:ctrlPr>
                          <w:rPr>
                            <w:rFonts w:ascii="Cambria Math" w:hAnsi="Cambria Math"/>
                            <w:i/>
                            <w:color w:val="auto"/>
                          </w:rPr>
                        </m:ctrlPr>
                      </m:eqArrPr>
                      <m:e>
                        <m:sSub>
                          <m:sSubPr>
                            <m:ctrlPr>
                              <w:rPr>
                                <w:rFonts w:ascii="Cambria Math" w:hAnsi="Cambria Math"/>
                                <w:i/>
                                <w:color w:val="auto"/>
                              </w:rPr>
                            </m:ctrlPr>
                          </m:sSubPr>
                          <m:e>
                            <m:r>
                              <m:rPr/>
                              <w:rPr>
                                <w:rFonts w:ascii="Cambria Math" w:hAnsi="Cambria Math"/>
                                <w:color w:val="auto"/>
                              </w:rPr>
                              <m:t>σ</m:t>
                            </m:r>
                            <m:ctrlPr>
                              <w:rPr>
                                <w:rFonts w:ascii="Cambria Math" w:hAnsi="Cambria Math"/>
                                <w:i/>
                                <w:color w:val="auto"/>
                              </w:rPr>
                            </m:ctrlPr>
                          </m:e>
                          <m:sub>
                            <m:r>
                              <m:rPr/>
                              <w:rPr>
                                <w:rFonts w:ascii="Cambria Math" w:hAnsi="Cambria Math"/>
                                <w:color w:val="auto"/>
                              </w:rPr>
                              <m:t>t</m:t>
                            </m:r>
                            <m:ctrlPr>
                              <w:rPr>
                                <w:rFonts w:ascii="Cambria Math" w:hAnsi="Cambria Math"/>
                                <w:i/>
                                <w:color w:val="auto"/>
                              </w:rPr>
                            </m:ctrlPr>
                          </m:sub>
                        </m:sSub>
                        <m:r>
                          <m:rP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tk</m:t>
                                </m:r>
                                <m:ctrlPr>
                                  <w:rPr>
                                    <w:rFonts w:ascii="Cambria Math" w:hAnsi="Cambria Math"/>
                                    <w:i/>
                                    <w:color w:val="auto"/>
                                  </w:rPr>
                                </m:ctrlPr>
                              </m:sub>
                            </m:sSub>
                            <m:ctrlPr>
                              <w:rPr>
                                <w:rFonts w:ascii="Cambria Math" w:hAnsi="Cambria Math"/>
                                <w:i/>
                                <w:color w:val="auto"/>
                              </w:rPr>
                            </m:ctrlPr>
                          </m:num>
                          <m:den>
                            <m:r>
                              <m:rPr/>
                              <w:rPr>
                                <w:rFonts w:ascii="Cambria Math" w:hAnsi="Cambria Math"/>
                                <w:color w:val="auto"/>
                              </w:rPr>
                              <m:t>K</m:t>
                            </m:r>
                            <m:ctrlPr>
                              <w:rPr>
                                <w:rFonts w:ascii="Cambria Math" w:hAnsi="Cambria Math"/>
                                <w:i/>
                                <w:color w:val="auto"/>
                              </w:rPr>
                            </m:ctrlPr>
                          </m:den>
                        </m:f>
                        <m:r>
                          <m:rPr/>
                          <w:rPr>
                            <w:rFonts w:ascii="Cambria Math" w:hAnsi="Cambria Math"/>
                            <w:color w:val="auto"/>
                          </w:rPr>
                          <m:t>×</m:t>
                        </m:r>
                        <m:d>
                          <m:dPr>
                            <m:ctrlPr>
                              <w:rPr>
                                <w:rFonts w:ascii="Cambria Math" w:hAnsi="Cambria Math"/>
                                <w:i/>
                                <w:color w:val="auto"/>
                              </w:rPr>
                            </m:ctrlPr>
                          </m:dPr>
                          <m:e>
                            <m:f>
                              <m:fPr>
                                <m:ctrlPr>
                                  <w:rPr>
                                    <w:rFonts w:ascii="Cambria Math" w:hAnsi="Cambria Math"/>
                                    <w:i/>
                                    <w:color w:val="auto"/>
                                  </w:rPr>
                                </m:ctrlPr>
                              </m:fPr>
                              <m:num>
                                <m:r>
                                  <m:rPr/>
                                  <w:rPr>
                                    <w:rFonts w:ascii="Cambria Math" w:hAnsi="Cambria Math"/>
                                    <w:color w:val="auto"/>
                                  </w:rPr>
                                  <m:t>ε</m:t>
                                </m:r>
                                <m:ctrlPr>
                                  <w:rPr>
                                    <w:rFonts w:ascii="Cambria Math" w:hAnsi="Cambria Math"/>
                                    <w:i/>
                                    <w:color w:val="auto"/>
                                  </w:rPr>
                                </m:ctrlPr>
                              </m:num>
                              <m:den>
                                <m:sSub>
                                  <m:sSubPr>
                                    <m:ctrlPr>
                                      <w:rPr>
                                        <w:rFonts w:ascii="Cambria Math" w:hAnsi="Cambria Math"/>
                                        <w:i/>
                                        <w:color w:val="auto"/>
                                      </w:rPr>
                                    </m:ctrlPr>
                                  </m:sSubPr>
                                  <m:e>
                                    <m:r>
                                      <m:rPr/>
                                      <w:rPr>
                                        <w:rFonts w:ascii="Cambria Math" w:hAnsi="Cambria Math"/>
                                        <w:color w:val="auto"/>
                                      </w:rPr>
                                      <m:t>ε</m:t>
                                    </m:r>
                                    <m:ctrlPr>
                                      <w:rPr>
                                        <w:rFonts w:ascii="Cambria Math" w:hAnsi="Cambria Math"/>
                                        <w:i/>
                                        <w:color w:val="auto"/>
                                      </w:rPr>
                                    </m:ctrlPr>
                                  </m:e>
                                  <m:sub>
                                    <m:r>
                                      <m:rPr/>
                                      <w:rPr>
                                        <w:rFonts w:ascii="Cambria Math" w:hAnsi="Cambria Math"/>
                                        <w:color w:val="auto"/>
                                      </w:rPr>
                                      <m:t>el</m:t>
                                    </m:r>
                                    <m:ctrlPr>
                                      <w:rPr>
                                        <w:rFonts w:ascii="Cambria Math" w:hAnsi="Cambria Math"/>
                                        <w:i/>
                                        <w:color w:val="auto"/>
                                      </w:rPr>
                                    </m:ctrlPr>
                                  </m:sub>
                                </m:sSub>
                                <m:ctrlPr>
                                  <w:rPr>
                                    <w:rFonts w:ascii="Cambria Math" w:hAnsi="Cambria Math"/>
                                    <w:i/>
                                    <w:color w:val="auto"/>
                                  </w:rPr>
                                </m:ctrlPr>
                              </m:den>
                            </m:f>
                            <m:ctrlPr>
                              <w:rPr>
                                <w:rFonts w:ascii="Cambria Math" w:hAnsi="Cambria Math"/>
                                <w:i/>
                                <w:color w:val="auto"/>
                              </w:rPr>
                            </m:ctrlPr>
                          </m:e>
                        </m:d>
                        <m:ctrlPr>
                          <w:rPr>
                            <w:rFonts w:ascii="Cambria Math" w:hAnsi="Cambria Math"/>
                            <w:i/>
                            <w:color w:val="auto"/>
                          </w:rPr>
                        </m:ctrlPr>
                      </m:e>
                      <m:e>
                        <m:sSub>
                          <m:sSubPr>
                            <m:ctrlPr>
                              <w:rPr>
                                <w:rFonts w:ascii="Cambria Math" w:hAnsi="Cambria Math"/>
                                <w:i/>
                                <w:color w:val="auto"/>
                              </w:rPr>
                            </m:ctrlPr>
                          </m:sSubPr>
                          <m:e>
                            <m:r>
                              <m:rPr/>
                              <w:rPr>
                                <w:rFonts w:ascii="Cambria Math" w:hAnsi="Cambria Math"/>
                                <w:color w:val="auto"/>
                              </w:rPr>
                              <m:t>σ</m:t>
                            </m:r>
                            <m:ctrlPr>
                              <w:rPr>
                                <w:rFonts w:ascii="Cambria Math" w:hAnsi="Cambria Math"/>
                                <w:i/>
                                <w:color w:val="auto"/>
                              </w:rPr>
                            </m:ctrlPr>
                          </m:e>
                          <m:sub>
                            <m:r>
                              <m:rPr/>
                              <w:rPr>
                                <w:rFonts w:ascii="Cambria Math" w:hAnsi="Cambria Math"/>
                                <w:color w:val="auto"/>
                              </w:rPr>
                              <m:t>c</m:t>
                            </m:r>
                            <m:ctrlPr>
                              <w:rPr>
                                <w:rFonts w:ascii="Cambria Math" w:hAnsi="Cambria Math"/>
                                <w:i/>
                                <w:color w:val="auto"/>
                              </w:rPr>
                            </m:ctrlPr>
                          </m:sub>
                        </m:sSub>
                        <m:r>
                          <m:rPr/>
                          <w:rPr>
                            <w:rFonts w:ascii="Cambria Math" w:hAnsi="Cambria Math"/>
                            <w:color w:val="auto"/>
                          </w:rPr>
                          <m:t>=</m:t>
                        </m:r>
                        <m:f>
                          <m:fPr>
                            <m:type m:val="lin"/>
                            <m:ctrlPr>
                              <w:rPr>
                                <w:rFonts w:ascii="Cambria Math" w:hAnsi="Cambria Math"/>
                                <w:i/>
                                <w:color w:val="auto"/>
                              </w:rPr>
                            </m:ctrlPr>
                          </m:fPr>
                          <m:num>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tk</m:t>
                                </m:r>
                                <m:ctrlPr>
                                  <w:rPr>
                                    <w:rFonts w:ascii="Cambria Math" w:hAnsi="Cambria Math"/>
                                    <w:i/>
                                    <w:color w:val="auto"/>
                                  </w:rPr>
                                </m:ctrlPr>
                              </m:sub>
                            </m:sSub>
                            <m:ctrlPr>
                              <w:rPr>
                                <w:rFonts w:ascii="Cambria Math" w:hAnsi="Cambria Math"/>
                                <w:i/>
                                <w:color w:val="auto"/>
                              </w:rPr>
                            </m:ctrlPr>
                          </m:num>
                          <m:den>
                            <m:r>
                              <m:rPr/>
                              <w:rPr>
                                <w:rFonts w:ascii="Cambria Math" w:hAnsi="Cambria Math"/>
                                <w:color w:val="auto"/>
                              </w:rPr>
                              <m:t>K</m:t>
                            </m:r>
                            <m:ctrlPr>
                              <w:rPr>
                                <w:rFonts w:ascii="Cambria Math" w:hAnsi="Cambria Math"/>
                                <w:i/>
                                <w:color w:val="auto"/>
                              </w:rPr>
                            </m:ctrlPr>
                          </m:den>
                        </m:f>
                        <m:ctrlPr>
                          <w:rPr>
                            <w:rFonts w:ascii="Cambria Math" w:hAnsi="Cambria Math"/>
                            <w:i/>
                            <w:color w:val="auto"/>
                          </w:rPr>
                        </m:ctrlPr>
                      </m:e>
                    </m:eqArr>
                    <m:ctrlPr>
                      <w:rPr>
                        <w:rFonts w:ascii="Cambria Math" w:hAnsi="Cambria Math"/>
                        <w:i/>
                        <w:color w:val="auto"/>
                      </w:rPr>
                    </m:ctrlPr>
                  </m:e>
                </m:d>
              </m:oMath>
            </m:oMathPara>
          </w:p>
        </w:tc>
        <w:tc>
          <w:tcPr>
            <w:tcW w:w="1196" w:type="pct"/>
          </w:tcPr>
          <w:p w14:paraId="6D385834">
            <w:pPr>
              <w:spacing w:line="360" w:lineRule="auto"/>
              <w:jc w:val="right"/>
              <w:rPr>
                <w:rFonts w:ascii="Times New Roman" w:hAnsi="Times New Roman" w:eastAsia="宋体"/>
                <w:color w:val="auto"/>
                <w:szCs w:val="21"/>
              </w:rPr>
            </w:pPr>
            <m:oMathPara>
              <m:oMath>
                <m:d>
                  <m:dPr>
                    <m:ctrlPr>
                      <w:rPr>
                        <w:rFonts w:ascii="Cambria Math" w:hAnsi="Cambria Math"/>
                        <w:color w:val="auto"/>
                      </w:rPr>
                    </m:ctrlPr>
                  </m:dPr>
                  <m:e>
                    <m:r>
                      <m:rPr/>
                      <w:rPr>
                        <w:rFonts w:ascii="Cambria Math" w:hAnsi="Cambria Math"/>
                        <w:color w:val="auto"/>
                      </w:rPr>
                      <m:t>ε≤</m:t>
                    </m:r>
                    <m:sSub>
                      <m:sSubPr>
                        <m:ctrlPr>
                          <w:rPr>
                            <w:rFonts w:ascii="Cambria Math" w:hAnsi="Cambria Math"/>
                            <w:i/>
                            <w:color w:val="auto"/>
                          </w:rPr>
                        </m:ctrlPr>
                      </m:sSubPr>
                      <m:e>
                        <m:r>
                          <m:rPr/>
                          <w:rPr>
                            <w:rFonts w:ascii="Cambria Math" w:hAnsi="Cambria Math"/>
                            <w:color w:val="auto"/>
                          </w:rPr>
                          <m:t>ε</m:t>
                        </m:r>
                        <m:ctrlPr>
                          <w:rPr>
                            <w:rFonts w:ascii="Cambria Math" w:hAnsi="Cambria Math"/>
                            <w:i/>
                            <w:color w:val="auto"/>
                          </w:rPr>
                        </m:ctrlPr>
                      </m:e>
                      <m:sub>
                        <m:r>
                          <m:rPr/>
                          <w:rPr>
                            <w:rFonts w:ascii="Cambria Math" w:hAnsi="Cambria Math"/>
                            <w:color w:val="auto"/>
                          </w:rPr>
                          <m:t>el</m:t>
                        </m:r>
                        <m:ctrlPr>
                          <w:rPr>
                            <w:rFonts w:ascii="Cambria Math" w:hAnsi="Cambria Math"/>
                            <w:i/>
                            <w:color w:val="auto"/>
                          </w:rPr>
                        </m:ctrlPr>
                      </m:sub>
                    </m:sSub>
                    <m:ctrlPr>
                      <w:rPr>
                        <w:rFonts w:ascii="Cambria Math" w:hAnsi="Cambria Math"/>
                        <w:color w:val="auto"/>
                      </w:rPr>
                    </m:ctrlPr>
                  </m:e>
                </m:d>
              </m:oMath>
            </m:oMathPara>
          </w:p>
          <w:p w14:paraId="259CB9E1">
            <w:pPr>
              <w:spacing w:line="360" w:lineRule="auto"/>
              <w:jc w:val="right"/>
              <w:rPr>
                <w:rFonts w:ascii="Times New Roman" w:hAnsi="Times New Roman" w:eastAsia="宋体"/>
                <w:color w:val="auto"/>
                <w:szCs w:val="21"/>
              </w:rPr>
            </w:pPr>
            <m:oMathPara>
              <m:oMath>
                <m:d>
                  <m:dPr>
                    <m:ctrlPr>
                      <w:rPr>
                        <w:rFonts w:ascii="Cambria Math" w:hAnsi="Cambria Math"/>
                        <w:color w:val="auto"/>
                      </w:rPr>
                    </m:ctrlPr>
                  </m:dPr>
                  <m:e>
                    <m:sSub>
                      <m:sSubPr>
                        <m:ctrlPr>
                          <w:rPr>
                            <w:rFonts w:ascii="Cambria Math" w:hAnsi="Cambria Math"/>
                            <w:i/>
                            <w:color w:val="auto"/>
                          </w:rPr>
                        </m:ctrlPr>
                      </m:sSubPr>
                      <m:e>
                        <m:r>
                          <m:rPr/>
                          <w:rPr>
                            <w:rFonts w:ascii="Cambria Math" w:hAnsi="Cambria Math"/>
                            <w:color w:val="auto"/>
                          </w:rPr>
                          <m:t>ε</m:t>
                        </m:r>
                        <m:ctrlPr>
                          <w:rPr>
                            <w:rFonts w:ascii="Cambria Math" w:hAnsi="Cambria Math"/>
                            <w:i/>
                            <w:color w:val="auto"/>
                          </w:rPr>
                        </m:ctrlPr>
                      </m:e>
                      <m:sub>
                        <m:r>
                          <m:rPr/>
                          <w:rPr>
                            <w:rFonts w:ascii="Cambria Math" w:hAnsi="Cambria Math"/>
                            <w:color w:val="auto"/>
                          </w:rPr>
                          <m:t>el</m:t>
                        </m:r>
                        <m:ctrlPr>
                          <w:rPr>
                            <w:rFonts w:ascii="Cambria Math" w:hAnsi="Cambria Math"/>
                            <w:i/>
                            <w:color w:val="auto"/>
                          </w:rPr>
                        </m:ctrlPr>
                      </m:sub>
                    </m:sSub>
                    <m:r>
                      <m:rPr/>
                      <w:rPr>
                        <w:rFonts w:ascii="Cambria Math" w:hAnsi="Cambria Math"/>
                        <w:color w:val="auto"/>
                      </w:rPr>
                      <m:t>&lt;ε≤</m:t>
                    </m:r>
                    <m:sSub>
                      <m:sSubPr>
                        <m:ctrlPr>
                          <w:rPr>
                            <w:rFonts w:ascii="Cambria Math" w:hAnsi="Cambria Math"/>
                            <w:i/>
                            <w:color w:val="auto"/>
                          </w:rPr>
                        </m:ctrlPr>
                      </m:sSubPr>
                      <m:e>
                        <m:r>
                          <m:rPr/>
                          <w:rPr>
                            <w:rFonts w:ascii="Cambria Math" w:hAnsi="Cambria Math"/>
                            <w:color w:val="auto"/>
                          </w:rPr>
                          <m:t>ε</m:t>
                        </m:r>
                        <m:ctrlPr>
                          <w:rPr>
                            <w:rFonts w:ascii="Cambria Math" w:hAnsi="Cambria Math"/>
                            <w:i/>
                            <w:color w:val="auto"/>
                          </w:rPr>
                        </m:ctrlPr>
                      </m:e>
                      <m:sub>
                        <m:r>
                          <m:rPr/>
                          <w:rPr>
                            <w:rFonts w:ascii="Cambria Math" w:hAnsi="Cambria Math"/>
                            <w:color w:val="auto"/>
                          </w:rPr>
                          <m:t>tu</m:t>
                        </m:r>
                        <m:ctrlPr>
                          <w:rPr>
                            <w:rFonts w:ascii="Cambria Math" w:hAnsi="Cambria Math"/>
                            <w:i/>
                            <w:color w:val="auto"/>
                          </w:rPr>
                        </m:ctrlPr>
                      </m:sub>
                    </m:sSub>
                    <m:ctrlPr>
                      <w:rPr>
                        <w:rFonts w:ascii="Cambria Math" w:hAnsi="Cambria Math"/>
                        <w:color w:val="auto"/>
                      </w:rPr>
                    </m:ctrlPr>
                  </m:e>
                </m:d>
              </m:oMath>
            </m:oMathPara>
          </w:p>
        </w:tc>
        <w:tc>
          <w:tcPr>
            <w:tcW w:w="902" w:type="pct"/>
            <w:vAlign w:val="center"/>
          </w:tcPr>
          <w:p w14:paraId="0893B14D">
            <w:pPr>
              <w:spacing w:line="360" w:lineRule="auto"/>
              <w:jc w:val="right"/>
              <w:rPr>
                <w:rFonts w:ascii="Times New Roman" w:hAnsi="Times New Roman" w:eastAsia="宋体"/>
                <w:color w:val="auto"/>
                <w:szCs w:val="21"/>
              </w:rPr>
            </w:pPr>
            <w:r>
              <w:rPr>
                <w:rFonts w:ascii="Times New Roman" w:hAnsi="Times New Roman" w:eastAsia="宋体"/>
                <w:color w:val="auto"/>
                <w:szCs w:val="21"/>
              </w:rPr>
              <w:t>(3)</w:t>
            </w:r>
          </w:p>
        </w:tc>
      </w:tr>
      <w:tr w14:paraId="0F254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 w:type="pct"/>
            <w:vAlign w:val="center"/>
          </w:tcPr>
          <w:p w14:paraId="61C54220">
            <w:pPr>
              <w:spacing w:line="360" w:lineRule="auto"/>
              <w:rPr>
                <w:rFonts w:hint="eastAsia" w:ascii="等线" w:hAnsi="等线" w:eastAsia="等线" w:cs="Times New Roman"/>
                <w:color w:val="auto"/>
                <w:szCs w:val="21"/>
              </w:rPr>
            </w:pPr>
          </w:p>
        </w:tc>
        <w:tc>
          <w:tcPr>
            <w:tcW w:w="3246" w:type="pct"/>
            <w:gridSpan w:val="3"/>
            <w:vAlign w:val="center"/>
          </w:tcPr>
          <w:p w14:paraId="6786C2E7">
            <w:pPr>
              <w:spacing w:line="360" w:lineRule="auto"/>
              <w:jc w:val="center"/>
              <w:rPr>
                <w:rFonts w:ascii="Times New Roman" w:hAnsi="Times New Roman" w:eastAsia="宋体" w:cs="Times New Roman"/>
                <w:color w:val="auto"/>
                <w:szCs w:val="21"/>
              </w:rPr>
            </w:pPr>
            <m:oMathPara>
              <m:oMath>
                <m:sSub>
                  <m:sSubPr>
                    <m:ctrlPr>
                      <w:rPr>
                        <w:rFonts w:ascii="Cambria Math" w:hAnsi="Cambria Math" w:cs="Times New Roman"/>
                        <w:color w:val="auto"/>
                      </w:rPr>
                    </m:ctrlPr>
                  </m:sSubPr>
                  <m:e>
                    <m:r>
                      <m:rPr/>
                      <w:rPr>
                        <w:rFonts w:ascii="Cambria Math" w:hAnsi="Cambria Math" w:cs="Times New Roman"/>
                        <w:color w:val="auto"/>
                      </w:rPr>
                      <m:t>ε</m:t>
                    </m:r>
                    <m:ctrlPr>
                      <w:rPr>
                        <w:rFonts w:ascii="Cambria Math" w:hAnsi="Cambria Math" w:cs="Times New Roman"/>
                        <w:color w:val="auto"/>
                      </w:rPr>
                    </m:ctrlPr>
                  </m:e>
                  <m:sub>
                    <m:r>
                      <m:rPr/>
                      <w:rPr>
                        <w:rFonts w:ascii="Cambria Math" w:hAnsi="Cambria Math" w:cs="Times New Roman"/>
                        <w:color w:val="auto"/>
                      </w:rPr>
                      <m:t>el</m:t>
                    </m:r>
                    <m:ctrlPr>
                      <w:rPr>
                        <w:rFonts w:ascii="Cambria Math" w:hAnsi="Cambria Math" w:cs="Times New Roman"/>
                        <w:color w:val="auto"/>
                      </w:rPr>
                    </m:ctrlPr>
                  </m:sub>
                </m:sSub>
                <m:r>
                  <m:rPr/>
                  <w:rPr>
                    <w:rFonts w:ascii="Cambria Math" w:hAnsi="Cambria Math" w:cs="Times New Roman"/>
                    <w:color w:val="auto"/>
                  </w:rPr>
                  <m:t>=</m:t>
                </m:r>
                <m:f>
                  <m:fPr>
                    <m:type m:val="lin"/>
                    <m:ctrlPr>
                      <w:rPr>
                        <w:rFonts w:ascii="Cambria Math" w:hAnsi="Cambria Math" w:cs="Times New Roman"/>
                        <w:i/>
                        <w:color w:val="auto"/>
                      </w:rPr>
                    </m:ctrlPr>
                  </m:fPr>
                  <m:num>
                    <m:sSub>
                      <m:sSubPr>
                        <m:ctrlPr>
                          <w:rPr>
                            <w:rFonts w:ascii="Cambria Math" w:hAnsi="Cambria Math" w:cs="Times New Roman"/>
                            <w:i/>
                            <w:color w:val="auto"/>
                          </w:rPr>
                        </m:ctrlPr>
                      </m:sSubPr>
                      <m:e>
                        <m:r>
                          <m:rPr/>
                          <w:rPr>
                            <w:rFonts w:ascii="Cambria Math" w:hAnsi="Cambria Math" w:cs="Times New Roman"/>
                            <w:color w:val="auto"/>
                          </w:rPr>
                          <m:t>f</m:t>
                        </m:r>
                        <m:ctrlPr>
                          <w:rPr>
                            <w:rFonts w:ascii="Cambria Math" w:hAnsi="Cambria Math" w:cs="Times New Roman"/>
                            <w:i/>
                            <w:color w:val="auto"/>
                          </w:rPr>
                        </m:ctrlPr>
                      </m:e>
                      <m:sub>
                        <m:r>
                          <m:rPr/>
                          <w:rPr>
                            <w:rFonts w:ascii="Cambria Math" w:hAnsi="Cambria Math" w:cs="Times New Roman"/>
                            <w:color w:val="auto"/>
                          </w:rPr>
                          <m:t>tk</m:t>
                        </m:r>
                        <m:ctrlPr>
                          <w:rPr>
                            <w:rFonts w:ascii="Cambria Math" w:hAnsi="Cambria Math" w:cs="Times New Roman"/>
                            <w:i/>
                            <w:color w:val="auto"/>
                          </w:rPr>
                        </m:ctrlPr>
                      </m:sub>
                    </m:sSub>
                    <m:ctrlPr>
                      <w:rPr>
                        <w:rFonts w:ascii="Cambria Math" w:hAnsi="Cambria Math" w:cs="Times New Roman"/>
                        <w:i/>
                        <w:color w:val="auto"/>
                      </w:rPr>
                    </m:ctrlPr>
                  </m:num>
                  <m:den>
                    <m:d>
                      <m:dPr>
                        <m:ctrlPr>
                          <w:rPr>
                            <w:rFonts w:ascii="Cambria Math" w:hAnsi="Cambria Math" w:cs="Times New Roman"/>
                            <w:i/>
                            <w:color w:val="auto"/>
                          </w:rPr>
                        </m:ctrlPr>
                      </m:dPr>
                      <m:e>
                        <m:r>
                          <m:rPr/>
                          <w:rPr>
                            <w:rFonts w:ascii="Cambria Math" w:hAnsi="Cambria Math" w:cs="Times New Roman"/>
                            <w:color w:val="auto"/>
                          </w:rPr>
                          <m:t>K</m:t>
                        </m:r>
                        <m:sSub>
                          <m:sSubPr>
                            <m:ctrlPr>
                              <w:rPr>
                                <w:rFonts w:ascii="Cambria Math" w:hAnsi="Cambria Math" w:cs="Times New Roman"/>
                                <w:i/>
                                <w:color w:val="auto"/>
                              </w:rPr>
                            </m:ctrlPr>
                          </m:sSubPr>
                          <m:e>
                            <m:r>
                              <m:rPr/>
                              <w:rPr>
                                <w:rFonts w:ascii="Cambria Math" w:hAnsi="Cambria Math" w:cs="Times New Roman"/>
                                <w:color w:val="auto"/>
                              </w:rPr>
                              <m:t>E</m:t>
                            </m:r>
                            <m:ctrlPr>
                              <w:rPr>
                                <w:rFonts w:ascii="Cambria Math" w:hAnsi="Cambria Math" w:cs="Times New Roman"/>
                                <w:i/>
                                <w:color w:val="auto"/>
                              </w:rPr>
                            </m:ctrlPr>
                          </m:e>
                          <m:sub>
                            <m:r>
                              <m:rPr/>
                              <w:rPr>
                                <w:rFonts w:ascii="Cambria Math" w:hAnsi="Cambria Math" w:cs="Times New Roman"/>
                                <w:color w:val="auto"/>
                              </w:rPr>
                              <m:t>c</m:t>
                            </m:r>
                            <m:ctrlPr>
                              <w:rPr>
                                <w:rFonts w:ascii="Cambria Math" w:hAnsi="Cambria Math" w:cs="Times New Roman"/>
                                <w:i/>
                                <w:color w:val="auto"/>
                              </w:rPr>
                            </m:ctrlPr>
                          </m:sub>
                        </m:sSub>
                        <m:ctrlPr>
                          <w:rPr>
                            <w:rFonts w:ascii="Cambria Math" w:hAnsi="Cambria Math" w:cs="Times New Roman"/>
                            <w:i/>
                            <w:color w:val="auto"/>
                          </w:rPr>
                        </m:ctrlPr>
                      </m:e>
                    </m:d>
                    <m:ctrlPr>
                      <w:rPr>
                        <w:rFonts w:ascii="Cambria Math" w:hAnsi="Cambria Math" w:cs="Times New Roman"/>
                        <w:i/>
                        <w:color w:val="auto"/>
                      </w:rPr>
                    </m:ctrlPr>
                  </m:den>
                </m:f>
              </m:oMath>
            </m:oMathPara>
          </w:p>
        </w:tc>
        <w:tc>
          <w:tcPr>
            <w:tcW w:w="902" w:type="pct"/>
            <w:vAlign w:val="center"/>
          </w:tcPr>
          <w:p w14:paraId="37F00CBB">
            <w:pPr>
              <w:spacing w:line="360" w:lineRule="auto"/>
              <w:jc w:val="right"/>
              <w:rPr>
                <w:rFonts w:ascii="Times New Roman" w:hAnsi="Times New Roman" w:eastAsia="宋体"/>
                <w:color w:val="auto"/>
                <w:szCs w:val="21"/>
              </w:rPr>
            </w:pPr>
            <w:r>
              <w:rPr>
                <w:rFonts w:ascii="Times New Roman" w:hAnsi="Times New Roman" w:eastAsia="宋体"/>
                <w:color w:val="auto"/>
                <w:szCs w:val="21"/>
              </w:rPr>
              <w:t>(4)</w:t>
            </w:r>
          </w:p>
        </w:tc>
      </w:tr>
      <w:tr w14:paraId="3FB35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 w:type="pct"/>
            <w:vAlign w:val="center"/>
          </w:tcPr>
          <w:p w14:paraId="237880D6">
            <w:pPr>
              <w:spacing w:line="360" w:lineRule="auto"/>
              <w:rPr>
                <w:rFonts w:hint="eastAsia" w:ascii="等线" w:hAnsi="等线" w:eastAsia="等线" w:cs="Times New Roman"/>
                <w:color w:val="auto"/>
                <w:szCs w:val="21"/>
              </w:rPr>
            </w:pPr>
          </w:p>
        </w:tc>
        <w:tc>
          <w:tcPr>
            <w:tcW w:w="3246" w:type="pct"/>
            <w:gridSpan w:val="3"/>
            <w:vAlign w:val="center"/>
          </w:tcPr>
          <w:p w14:paraId="60F34D62">
            <w:pPr>
              <w:spacing w:line="360" w:lineRule="auto"/>
              <w:jc w:val="center"/>
              <w:rPr>
                <w:rFonts w:hint="eastAsia" w:ascii="等线" w:hAnsi="等线" w:eastAsia="等线" w:cs="Times New Roman"/>
                <w:color w:val="auto"/>
                <w:szCs w:val="21"/>
              </w:rPr>
            </w:pPr>
            <m:oMathPara>
              <m:oMath>
                <m:sSub>
                  <m:sSubPr>
                    <m:ctrlPr>
                      <w:rPr>
                        <w:rFonts w:ascii="Cambria Math" w:hAnsi="Cambria Math" w:cs="Times New Roman"/>
                        <w:color w:val="auto"/>
                      </w:rPr>
                    </m:ctrlPr>
                  </m:sSubPr>
                  <m:e>
                    <m:r>
                      <m:rPr/>
                      <w:rPr>
                        <w:rFonts w:ascii="Cambria Math" w:hAnsi="Cambria Math" w:cs="Times New Roman"/>
                        <w:color w:val="auto"/>
                      </w:rPr>
                      <m:t>ε</m:t>
                    </m:r>
                    <m:ctrlPr>
                      <w:rPr>
                        <w:rFonts w:ascii="Cambria Math" w:hAnsi="Cambria Math" w:cs="Times New Roman"/>
                        <w:color w:val="auto"/>
                      </w:rPr>
                    </m:ctrlPr>
                  </m:e>
                  <m:sub>
                    <m:r>
                      <m:rPr/>
                      <w:rPr>
                        <w:rFonts w:ascii="Cambria Math" w:hAnsi="Cambria Math" w:cs="Times New Roman"/>
                        <w:color w:val="auto"/>
                      </w:rPr>
                      <m:t>tu</m:t>
                    </m:r>
                    <m:ctrlPr>
                      <w:rPr>
                        <w:rFonts w:ascii="Cambria Math" w:hAnsi="Cambria Math" w:cs="Times New Roman"/>
                        <w:color w:val="auto"/>
                      </w:rPr>
                    </m:ctrlPr>
                  </m:sub>
                </m:sSub>
                <m:r>
                  <m:rPr/>
                  <w:rPr>
                    <w:rFonts w:ascii="Cambria Math" w:hAnsi="Cambria Math" w:cs="Times New Roman"/>
                    <w:color w:val="auto"/>
                  </w:rPr>
                  <m:t>=0.0025</m:t>
                </m:r>
              </m:oMath>
            </m:oMathPara>
          </w:p>
        </w:tc>
        <w:tc>
          <w:tcPr>
            <w:tcW w:w="902" w:type="pct"/>
            <w:vAlign w:val="center"/>
          </w:tcPr>
          <w:p w14:paraId="70EC98EB">
            <w:pPr>
              <w:spacing w:line="360" w:lineRule="auto"/>
              <w:jc w:val="right"/>
              <w:rPr>
                <w:rFonts w:ascii="Times New Roman" w:hAnsi="Times New Roman" w:eastAsia="宋体"/>
                <w:color w:val="auto"/>
                <w:szCs w:val="21"/>
              </w:rPr>
            </w:pPr>
            <w:r>
              <w:rPr>
                <w:rFonts w:ascii="Times New Roman" w:hAnsi="Times New Roman" w:eastAsia="宋体"/>
                <w:color w:val="auto"/>
                <w:szCs w:val="21"/>
              </w:rPr>
              <w:t>(5)</w:t>
            </w:r>
          </w:p>
        </w:tc>
      </w:tr>
    </w:tbl>
    <w:p w14:paraId="5DA77BF2">
      <w:pPr>
        <w:spacing w:line="360" w:lineRule="auto"/>
        <w:ind w:firstLine="422" w:firstLineChars="200"/>
        <w:rPr>
          <w:rFonts w:ascii="Times New Roman" w:hAnsi="Times New Roman" w:eastAsia="宋体"/>
          <w:color w:val="auto"/>
          <w:szCs w:val="21"/>
        </w:rPr>
      </w:pPr>
      <w:r>
        <w:rPr>
          <w:rFonts w:hint="eastAsia" w:ascii="Times New Roman" w:hAnsi="Times New Roman" w:eastAsia="宋体"/>
          <w:b/>
          <w:color w:val="auto"/>
          <w:szCs w:val="21"/>
        </w:rPr>
        <w:t>2</w:t>
      </w:r>
      <w:r>
        <w:rPr>
          <w:rFonts w:hint="eastAsia" w:ascii="Times New Roman" w:hAnsi="Times New Roman" w:eastAsia="宋体"/>
          <w:color w:val="auto"/>
          <w:szCs w:val="21"/>
        </w:rPr>
        <w:t xml:space="preserve"> 假设中和轴位于普通混凝土内（</w:t>
      </w:r>
      <m:oMath>
        <m:r>
          <m:rPr/>
          <w:rPr>
            <w:rFonts w:ascii="Cambria Math" w:hAnsi="Cambria Math"/>
            <w:color w:val="auto"/>
          </w:rPr>
          <m:t>x</m:t>
        </m:r>
        <m:r>
          <m:rPr>
            <m:sty m:val="p"/>
          </m:rPr>
          <w:rPr>
            <w:rFonts w:ascii="Cambria Math" w:hAnsi="Cambria Math"/>
            <w:color w:val="auto"/>
          </w:rPr>
          <m:t>≤</m:t>
        </m:r>
        <m:sSub>
          <m:sSubPr>
            <m:ctrlPr>
              <w:rPr>
                <w:rFonts w:ascii="Cambria Math" w:hAnsi="Cambria Math"/>
                <w:color w:val="auto"/>
              </w:rPr>
            </m:ctrlPr>
          </m:sSubPr>
          <m:e>
            <m:r>
              <m:rPr/>
              <w:rPr>
                <w:rFonts w:ascii="Cambria Math" w:hAnsi="Cambria Math"/>
                <w:color w:val="auto"/>
              </w:rPr>
              <m:t>ℎ</m:t>
            </m:r>
            <m:ctrlPr>
              <w:rPr>
                <w:rFonts w:ascii="Cambria Math" w:hAnsi="Cambria Math"/>
                <w:color w:val="auto"/>
              </w:rPr>
            </m:ctrlPr>
          </m:e>
          <m:sub>
            <m:r>
              <m:rPr/>
              <w:rPr>
                <w:rFonts w:ascii="Cambria Math" w:hAnsi="Cambria Math"/>
                <w:color w:val="auto"/>
              </w:rPr>
              <m:t>1</m:t>
            </m:r>
            <m:ctrlPr>
              <w:rPr>
                <w:rFonts w:ascii="Cambria Math" w:hAnsi="Cambria Math"/>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ℎ</m:t>
            </m:r>
            <m:ctrlPr>
              <w:rPr>
                <w:rFonts w:ascii="Cambria Math" w:hAnsi="Cambria Math"/>
                <w:i/>
                <w:color w:val="auto"/>
              </w:rPr>
            </m:ctrlPr>
          </m:e>
          <m:sub>
            <m:r>
              <m:rPr/>
              <w:rPr>
                <w:rFonts w:ascii="Cambria Math" w:hAnsi="Cambria Math"/>
                <w:color w:val="auto"/>
              </w:rPr>
              <m:t>3</m:t>
            </m:r>
            <m:ctrlPr>
              <w:rPr>
                <w:rFonts w:ascii="Cambria Math" w:hAnsi="Cambria Math"/>
                <w:i/>
                <w:color w:val="auto"/>
              </w:rPr>
            </m:ctrlPr>
          </m:sub>
        </m:sSub>
      </m:oMath>
      <w:r>
        <w:rPr>
          <w:rFonts w:hint="eastAsia" w:ascii="Times New Roman" w:hAnsi="Times New Roman" w:eastAsia="宋体"/>
          <w:color w:val="auto"/>
          <w:szCs w:val="21"/>
        </w:rPr>
        <w:t>），在已知作用频遇组合计算弯矩值</w:t>
      </w:r>
      <m:oMath>
        <m:sSub>
          <m:sSubPr>
            <m:ctrlPr>
              <w:rPr>
                <w:rFonts w:ascii="Cambria Math" w:hAnsi="Cambria Math"/>
                <w:i/>
                <w:color w:val="auto"/>
              </w:rPr>
            </m:ctrlPr>
          </m:sSubPr>
          <m:e>
            <m:r>
              <m:rPr/>
              <w:rPr>
                <w:rFonts w:ascii="Cambria Math" w:hAnsi="Cambria Math"/>
                <w:color w:val="auto"/>
              </w:rPr>
              <m:t>M</m:t>
            </m:r>
            <m:ctrlPr>
              <w:rPr>
                <w:rFonts w:ascii="Cambria Math" w:hAnsi="Cambria Math"/>
                <w:i/>
                <w:color w:val="auto"/>
              </w:rPr>
            </m:ctrlPr>
          </m:e>
          <m:sub>
            <m:r>
              <m:rPr/>
              <w:rPr>
                <w:rFonts w:ascii="Cambria Math" w:hAnsi="Cambria Math"/>
                <w:color w:val="auto"/>
              </w:rPr>
              <m:t>s</m:t>
            </m:r>
            <m:ctrlPr>
              <w:rPr>
                <w:rFonts w:ascii="Cambria Math" w:hAnsi="Cambria Math"/>
                <w:i/>
                <w:color w:val="auto"/>
              </w:rPr>
            </m:ctrlPr>
          </m:sub>
        </m:sSub>
      </m:oMath>
      <w:r>
        <w:rPr>
          <w:rFonts w:hint="eastAsia" w:ascii="Times New Roman" w:hAnsi="Times New Roman" w:eastAsia="宋体"/>
          <w:color w:val="auto"/>
          <w:szCs w:val="21"/>
        </w:rPr>
        <w:t>条件下，获得外荷载作用下截面的轴力平衡方程和弯矩平衡方程：</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59"/>
        <w:gridCol w:w="6264"/>
        <w:gridCol w:w="1099"/>
      </w:tblGrid>
      <w:tr w14:paraId="77325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80" w:type="pct"/>
            <w:vAlign w:val="center"/>
          </w:tcPr>
          <w:p w14:paraId="7D4ACC60">
            <w:pPr>
              <w:spacing w:line="360" w:lineRule="auto"/>
              <w:rPr>
                <w:rFonts w:hint="eastAsia" w:ascii="等线" w:hAnsi="等线" w:eastAsia="等线" w:cs="Times New Roman"/>
                <w:color w:val="auto"/>
                <w:szCs w:val="21"/>
              </w:rPr>
            </w:pPr>
          </w:p>
        </w:tc>
        <w:tc>
          <w:tcPr>
            <w:tcW w:w="3675" w:type="pct"/>
            <w:vAlign w:val="center"/>
          </w:tcPr>
          <w:p w14:paraId="398F7A6F">
            <w:pPr>
              <w:spacing w:line="360" w:lineRule="auto"/>
              <w:jc w:val="center"/>
              <w:rPr>
                <w:rFonts w:ascii="Times New Roman" w:hAnsi="Times New Roman" w:eastAsia="宋体" w:cs="Times New Roman"/>
                <w:color w:val="auto"/>
                <w:szCs w:val="21"/>
              </w:rPr>
            </w:pPr>
            <m:oMath>
              <m:nary>
                <m:naryPr>
                  <m:chr m:val="∑"/>
                  <m:limLoc m:val="undOvr"/>
                  <m:subHide m:val="1"/>
                  <m:supHide m:val="1"/>
                  <m:ctrlPr>
                    <w:rPr>
                      <w:rFonts w:ascii="Cambria Math" w:hAnsi="Cambria Math" w:cs="Times New Roman"/>
                      <w:color w:val="auto"/>
                    </w:rPr>
                  </m:ctrlPr>
                </m:naryPr>
                <m:sub>
                  <m:ctrlPr>
                    <w:rPr>
                      <w:rFonts w:ascii="Cambria Math" w:hAnsi="Cambria Math" w:cs="Times New Roman"/>
                      <w:color w:val="auto"/>
                    </w:rPr>
                  </m:ctrlPr>
                </m:sub>
                <m:sup>
                  <m:ctrlPr>
                    <w:rPr>
                      <w:rFonts w:ascii="Cambria Math" w:hAnsi="Cambria Math" w:cs="Times New Roman"/>
                      <w:color w:val="auto"/>
                    </w:rPr>
                  </m:ctrlPr>
                </m:sup>
                <m:e>
                  <m:r>
                    <m:rPr/>
                    <w:rPr>
                      <w:rFonts w:ascii="Cambria Math" w:hAnsi="Cambria Math" w:cs="Times New Roman"/>
                      <w:color w:val="auto"/>
                    </w:rPr>
                    <m:t>N=0</m:t>
                  </m:r>
                  <m:ctrlPr>
                    <w:rPr>
                      <w:rFonts w:ascii="Cambria Math" w:hAnsi="Cambria Math" w:cs="Times New Roman"/>
                      <w:color w:val="auto"/>
                    </w:rPr>
                  </m:ctrlPr>
                </m:e>
              </m:nary>
            </m:oMath>
            <w:r>
              <w:rPr>
                <w:rFonts w:hint="eastAsia" w:ascii="Times New Roman" w:hAnsi="Times New Roman" w:eastAsia="宋体" w:cs="Times New Roman"/>
                <w:color w:val="auto"/>
                <w:szCs w:val="21"/>
              </w:rPr>
              <w:t>，</w:t>
            </w:r>
          </w:p>
        </w:tc>
        <w:tc>
          <w:tcPr>
            <w:tcW w:w="645" w:type="pct"/>
            <w:vMerge w:val="restart"/>
            <w:vAlign w:val="center"/>
          </w:tcPr>
          <w:p w14:paraId="5058BC08">
            <w:pPr>
              <w:spacing w:line="360" w:lineRule="auto"/>
              <w:jc w:val="right"/>
              <w:rPr>
                <w:rFonts w:ascii="Times New Roman" w:hAnsi="Times New Roman" w:eastAsia="宋体"/>
                <w:color w:val="auto"/>
                <w:szCs w:val="21"/>
              </w:rPr>
            </w:pPr>
            <w:r>
              <w:rPr>
                <w:rFonts w:ascii="Times New Roman" w:hAnsi="Times New Roman" w:eastAsia="宋体"/>
                <w:color w:val="auto"/>
                <w:szCs w:val="21"/>
              </w:rPr>
              <w:t>(6)</w:t>
            </w:r>
          </w:p>
        </w:tc>
      </w:tr>
      <w:tr w14:paraId="3F20D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80" w:type="pct"/>
            <w:vAlign w:val="center"/>
          </w:tcPr>
          <w:p w14:paraId="6089544F">
            <w:pPr>
              <w:spacing w:line="360" w:lineRule="auto"/>
              <w:rPr>
                <w:rFonts w:hint="eastAsia" w:ascii="等线" w:hAnsi="等线" w:eastAsia="等线" w:cs="Times New Roman"/>
                <w:color w:val="auto"/>
                <w:szCs w:val="21"/>
              </w:rPr>
            </w:pPr>
          </w:p>
        </w:tc>
        <w:tc>
          <w:tcPr>
            <w:tcW w:w="3675" w:type="pct"/>
            <w:vAlign w:val="center"/>
          </w:tcPr>
          <w:p w14:paraId="0F74416E">
            <w:pPr>
              <w:spacing w:line="360" w:lineRule="auto"/>
              <w:jc w:val="center"/>
              <w:rPr>
                <w:rFonts w:hint="eastAsia" w:ascii="等线" w:hAnsi="等线" w:eastAsia="等线" w:cs="Times New Roman"/>
                <w:color w:val="auto"/>
                <w:szCs w:val="21"/>
              </w:rPr>
            </w:pPr>
            <m:oMathPara>
              <m:oMath>
                <m:sSub>
                  <m:sSubPr>
                    <m:ctrlPr>
                      <w:rPr>
                        <w:rFonts w:ascii="Cambria Math" w:hAnsi="Cambria Math" w:cs="Times New Roman"/>
                        <w:i/>
                        <w:color w:val="auto"/>
                      </w:rPr>
                    </m:ctrlPr>
                  </m:sSubPr>
                  <m:e>
                    <m:r>
                      <m:rPr/>
                      <w:rPr>
                        <w:rFonts w:ascii="Cambria Math" w:hAnsi="Cambria Math" w:cs="Times New Roman"/>
                        <w:color w:val="auto"/>
                      </w:rPr>
                      <m:t>C</m:t>
                    </m:r>
                    <m:ctrlPr>
                      <w:rPr>
                        <w:rFonts w:ascii="Cambria Math" w:hAnsi="Cambria Math" w:cs="Times New Roman"/>
                        <w:i/>
                        <w:color w:val="auto"/>
                      </w:rPr>
                    </m:ctrlPr>
                  </m:e>
                  <m:sub>
                    <m:r>
                      <m:rPr/>
                      <w:rPr>
                        <w:rFonts w:ascii="Cambria Math" w:hAnsi="Cambria Math" w:cs="Times New Roman"/>
                        <w:color w:val="auto"/>
                      </w:rPr>
                      <m:t>NSC</m:t>
                    </m:r>
                    <m:ctrlPr>
                      <w:rPr>
                        <w:rFonts w:ascii="Cambria Math" w:hAnsi="Cambria Math" w:cs="Times New Roman"/>
                        <w:i/>
                        <w:color w:val="auto"/>
                      </w:rPr>
                    </m:ctrlPr>
                  </m:sub>
                </m:sSub>
                <m:r>
                  <m:rPr/>
                  <w:rPr>
                    <w:rFonts w:ascii="Cambria Math" w:hAnsi="Cambria Math" w:cs="Times New Roman"/>
                    <w:color w:val="auto"/>
                  </w:rPr>
                  <m:t>=</m:t>
                </m:r>
                <m:sSub>
                  <m:sSubPr>
                    <m:ctrlPr>
                      <w:rPr>
                        <w:rFonts w:ascii="Cambria Math" w:hAnsi="Cambria Math" w:cs="Times New Roman"/>
                        <w:color w:val="auto"/>
                      </w:rPr>
                    </m:ctrlPr>
                  </m:sSubPr>
                  <m:e>
                    <m:r>
                      <m:rPr/>
                      <w:rPr>
                        <w:rFonts w:ascii="Cambria Math" w:hAnsi="Cambria Math" w:cs="Times New Roman"/>
                        <w:color w:val="auto"/>
                      </w:rPr>
                      <m:t>T</m:t>
                    </m:r>
                    <m:ctrlPr>
                      <w:rPr>
                        <w:rFonts w:ascii="Cambria Math" w:hAnsi="Cambria Math" w:cs="Times New Roman"/>
                        <w:color w:val="auto"/>
                      </w:rPr>
                    </m:ctrlPr>
                  </m:e>
                  <m:sub>
                    <m:r>
                      <m:rPr/>
                      <w:rPr>
                        <w:rFonts w:ascii="Cambria Math" w:hAnsi="Cambria Math" w:cs="Times New Roman"/>
                        <w:color w:val="auto"/>
                      </w:rPr>
                      <m:t>UHPC1</m:t>
                    </m:r>
                    <m:ctrlPr>
                      <w:rPr>
                        <w:rFonts w:ascii="Cambria Math" w:hAnsi="Cambria Math" w:cs="Times New Roman"/>
                        <w:color w:val="auto"/>
                      </w:rPr>
                    </m:ctrlPr>
                  </m:sub>
                </m:sSub>
                <m:r>
                  <m:rPr/>
                  <w:rPr>
                    <w:rFonts w:ascii="Cambria Math" w:hAnsi="Cambria Math" w:cs="Times New Roman"/>
                    <w:color w:val="auto"/>
                  </w:rPr>
                  <m:t>+</m:t>
                </m:r>
                <m:sSub>
                  <m:sSubPr>
                    <m:ctrlPr>
                      <w:rPr>
                        <w:rFonts w:ascii="Cambria Math" w:hAnsi="Cambria Math" w:cs="Times New Roman"/>
                        <w:i/>
                        <w:color w:val="auto"/>
                      </w:rPr>
                    </m:ctrlPr>
                  </m:sSubPr>
                  <m:e>
                    <m:r>
                      <m:rPr/>
                      <w:rPr>
                        <w:rFonts w:ascii="Cambria Math" w:hAnsi="Cambria Math" w:cs="Times New Roman"/>
                        <w:color w:val="auto"/>
                      </w:rPr>
                      <m:t>T</m:t>
                    </m:r>
                    <m:ctrlPr>
                      <w:rPr>
                        <w:rFonts w:ascii="Cambria Math" w:hAnsi="Cambria Math" w:cs="Times New Roman"/>
                        <w:i/>
                        <w:color w:val="auto"/>
                      </w:rPr>
                    </m:ctrlPr>
                  </m:e>
                  <m:sub>
                    <m:r>
                      <m:rPr/>
                      <w:rPr>
                        <w:rFonts w:ascii="Cambria Math" w:hAnsi="Cambria Math" w:cs="Times New Roman"/>
                        <w:color w:val="auto"/>
                      </w:rPr>
                      <m:t>UHPC2</m:t>
                    </m:r>
                    <m:ctrlPr>
                      <w:rPr>
                        <w:rFonts w:ascii="Cambria Math" w:hAnsi="Cambria Math" w:cs="Times New Roman"/>
                        <w:i/>
                        <w:color w:val="auto"/>
                      </w:rPr>
                    </m:ctrlPr>
                  </m:sub>
                </m:sSub>
                <m:r>
                  <m:rPr/>
                  <w:rPr>
                    <w:rFonts w:ascii="Cambria Math" w:hAnsi="Cambria Math" w:cs="Times New Roman"/>
                    <w:color w:val="auto"/>
                  </w:rPr>
                  <m:t>+</m:t>
                </m:r>
                <m:sSub>
                  <m:sSubPr>
                    <m:ctrlPr>
                      <w:rPr>
                        <w:rFonts w:ascii="Cambria Math" w:hAnsi="Cambria Math" w:cs="Times New Roman"/>
                        <w:i/>
                        <w:color w:val="auto"/>
                      </w:rPr>
                    </m:ctrlPr>
                  </m:sSubPr>
                  <m:e>
                    <m:r>
                      <m:rPr/>
                      <w:rPr>
                        <w:rFonts w:ascii="Cambria Math" w:hAnsi="Cambria Math" w:cs="Times New Roman"/>
                        <w:color w:val="auto"/>
                      </w:rPr>
                      <m:t>T</m:t>
                    </m:r>
                    <m:ctrlPr>
                      <w:rPr>
                        <w:rFonts w:ascii="Cambria Math" w:hAnsi="Cambria Math" w:cs="Times New Roman"/>
                        <w:i/>
                        <w:color w:val="auto"/>
                      </w:rPr>
                    </m:ctrlPr>
                  </m:e>
                  <m:sub>
                    <m:r>
                      <m:rPr/>
                      <w:rPr>
                        <w:rFonts w:ascii="Cambria Math" w:hAnsi="Cambria Math" w:cs="Times New Roman"/>
                        <w:color w:val="auto"/>
                      </w:rPr>
                      <m:t>sc</m:t>
                    </m:r>
                    <m:ctrlPr>
                      <w:rPr>
                        <w:rFonts w:ascii="Cambria Math" w:hAnsi="Cambria Math" w:cs="Times New Roman"/>
                        <w:i/>
                        <w:color w:val="auto"/>
                      </w:rPr>
                    </m:ctrlPr>
                  </m:sub>
                </m:sSub>
                <m:r>
                  <m:rPr/>
                  <w:rPr>
                    <w:rFonts w:ascii="Cambria Math" w:hAnsi="Cambria Math" w:cs="Times New Roman"/>
                    <w:color w:val="auto"/>
                  </w:rPr>
                  <m:t>+</m:t>
                </m:r>
                <m:sSub>
                  <m:sSubPr>
                    <m:ctrlPr>
                      <w:rPr>
                        <w:rFonts w:ascii="Cambria Math" w:hAnsi="Cambria Math" w:cs="Times New Roman"/>
                        <w:i/>
                        <w:color w:val="auto"/>
                      </w:rPr>
                    </m:ctrlPr>
                  </m:sSubPr>
                  <m:e>
                    <m:r>
                      <m:rPr/>
                      <w:rPr>
                        <w:rFonts w:ascii="Cambria Math" w:hAnsi="Cambria Math" w:cs="Times New Roman"/>
                        <w:color w:val="auto"/>
                      </w:rPr>
                      <m:t>T</m:t>
                    </m:r>
                    <m:ctrlPr>
                      <w:rPr>
                        <w:rFonts w:ascii="Cambria Math" w:hAnsi="Cambria Math" w:cs="Times New Roman"/>
                        <w:i/>
                        <w:color w:val="auto"/>
                      </w:rPr>
                    </m:ctrlPr>
                  </m:e>
                  <m:sub>
                    <m:r>
                      <m:rPr/>
                      <w:rPr>
                        <w:rFonts w:ascii="Cambria Math" w:hAnsi="Cambria Math" w:cs="Times New Roman"/>
                        <w:color w:val="auto"/>
                      </w:rPr>
                      <m:t>su</m:t>
                    </m:r>
                    <m:ctrlPr>
                      <w:rPr>
                        <w:rFonts w:ascii="Cambria Math" w:hAnsi="Cambria Math" w:cs="Times New Roman"/>
                        <w:i/>
                        <w:color w:val="auto"/>
                      </w:rPr>
                    </m:ctrlPr>
                  </m:sub>
                </m:sSub>
              </m:oMath>
            </m:oMathPara>
          </w:p>
        </w:tc>
        <w:tc>
          <w:tcPr>
            <w:tcW w:w="645" w:type="pct"/>
            <w:vMerge w:val="continue"/>
            <w:vAlign w:val="center"/>
          </w:tcPr>
          <w:p w14:paraId="79FECD8F">
            <w:pPr>
              <w:spacing w:line="360" w:lineRule="auto"/>
              <w:jc w:val="right"/>
              <w:rPr>
                <w:rFonts w:ascii="Times New Roman" w:hAnsi="Times New Roman" w:eastAsia="宋体"/>
                <w:color w:val="auto"/>
                <w:szCs w:val="21"/>
              </w:rPr>
            </w:pPr>
          </w:p>
        </w:tc>
      </w:tr>
      <w:tr w14:paraId="11CBB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80" w:type="pct"/>
            <w:vAlign w:val="center"/>
          </w:tcPr>
          <w:p w14:paraId="6981F53E">
            <w:pPr>
              <w:spacing w:line="360" w:lineRule="auto"/>
              <w:rPr>
                <w:rFonts w:hint="eastAsia" w:ascii="等线" w:hAnsi="等线" w:eastAsia="等线" w:cs="Times New Roman"/>
                <w:color w:val="auto"/>
                <w:szCs w:val="21"/>
              </w:rPr>
            </w:pPr>
          </w:p>
        </w:tc>
        <w:tc>
          <w:tcPr>
            <w:tcW w:w="3675" w:type="pct"/>
            <w:vAlign w:val="center"/>
          </w:tcPr>
          <w:p w14:paraId="39AA4CB3">
            <w:pPr>
              <w:spacing w:line="360" w:lineRule="auto"/>
              <w:jc w:val="center"/>
              <w:rPr>
                <w:rFonts w:ascii="Times New Roman" w:hAnsi="Times New Roman" w:eastAsia="宋体" w:cs="Times New Roman"/>
                <w:color w:val="auto"/>
                <w:szCs w:val="21"/>
              </w:rPr>
            </w:pPr>
            <m:oMath>
              <m:nary>
                <m:naryPr>
                  <m:chr m:val="∑"/>
                  <m:limLoc m:val="undOvr"/>
                  <m:subHide m:val="1"/>
                  <m:supHide m:val="1"/>
                  <m:ctrlPr>
                    <w:rPr>
                      <w:rFonts w:ascii="Cambria Math" w:hAnsi="Cambria Math" w:cs="Times New Roman"/>
                      <w:color w:val="auto"/>
                    </w:rPr>
                  </m:ctrlPr>
                </m:naryPr>
                <m:sub>
                  <m:ctrlPr>
                    <w:rPr>
                      <w:rFonts w:ascii="Cambria Math" w:hAnsi="Cambria Math" w:cs="Times New Roman"/>
                      <w:color w:val="auto"/>
                    </w:rPr>
                  </m:ctrlPr>
                </m:sub>
                <m:sup>
                  <m:ctrlPr>
                    <w:rPr>
                      <w:rFonts w:ascii="Cambria Math" w:hAnsi="Cambria Math" w:cs="Times New Roman"/>
                      <w:color w:val="auto"/>
                    </w:rPr>
                  </m:ctrlPr>
                </m:sup>
                <m:e>
                  <m:r>
                    <m:rPr/>
                    <w:rPr>
                      <w:rFonts w:ascii="Cambria Math" w:hAnsi="Cambria Math" w:cs="Times New Roman"/>
                      <w:color w:val="auto"/>
                    </w:rPr>
                    <m:t>M=0</m:t>
                  </m:r>
                  <m:ctrlPr>
                    <w:rPr>
                      <w:rFonts w:ascii="Cambria Math" w:hAnsi="Cambria Math" w:cs="Times New Roman"/>
                      <w:color w:val="auto"/>
                    </w:rPr>
                  </m:ctrlPr>
                </m:e>
              </m:nary>
            </m:oMath>
            <w:r>
              <w:rPr>
                <w:rFonts w:hint="eastAsia" w:ascii="Times New Roman" w:hAnsi="Times New Roman" w:eastAsia="宋体" w:cs="Times New Roman"/>
                <w:color w:val="auto"/>
                <w:szCs w:val="21"/>
              </w:rPr>
              <w:t>，</w:t>
            </w:r>
          </w:p>
        </w:tc>
        <w:tc>
          <w:tcPr>
            <w:tcW w:w="645" w:type="pct"/>
            <w:vMerge w:val="restart"/>
            <w:vAlign w:val="center"/>
          </w:tcPr>
          <w:p w14:paraId="554D4E8F">
            <w:pPr>
              <w:spacing w:line="360" w:lineRule="auto"/>
              <w:jc w:val="right"/>
              <w:rPr>
                <w:rFonts w:ascii="Times New Roman" w:hAnsi="Times New Roman" w:eastAsia="宋体"/>
                <w:color w:val="auto"/>
                <w:szCs w:val="21"/>
              </w:rPr>
            </w:pPr>
            <w:r>
              <w:rPr>
                <w:rFonts w:ascii="Times New Roman" w:hAnsi="Times New Roman" w:eastAsia="宋体"/>
                <w:color w:val="auto"/>
                <w:szCs w:val="21"/>
              </w:rPr>
              <w:t>(7)</w:t>
            </w:r>
          </w:p>
        </w:tc>
      </w:tr>
      <w:tr w14:paraId="7AAB4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80" w:type="pct"/>
            <w:vAlign w:val="center"/>
          </w:tcPr>
          <w:p w14:paraId="4ED818DE">
            <w:pPr>
              <w:spacing w:line="360" w:lineRule="auto"/>
              <w:rPr>
                <w:rFonts w:hint="eastAsia" w:ascii="等线" w:hAnsi="等线" w:eastAsia="等线" w:cs="Times New Roman"/>
                <w:color w:val="auto"/>
                <w:szCs w:val="21"/>
              </w:rPr>
            </w:pPr>
          </w:p>
        </w:tc>
        <w:tc>
          <w:tcPr>
            <w:tcW w:w="3675" w:type="pct"/>
            <w:vAlign w:val="center"/>
          </w:tcPr>
          <w:p w14:paraId="533EE758">
            <w:pPr>
              <w:spacing w:line="360" w:lineRule="auto"/>
              <w:jc w:val="center"/>
              <w:rPr>
                <w:rFonts w:hint="eastAsia" w:ascii="等线" w:hAnsi="等线" w:eastAsia="等线" w:cs="Times New Roman"/>
                <w:color w:val="auto"/>
                <w:szCs w:val="21"/>
              </w:rPr>
            </w:pPr>
            <m:oMathPara>
              <m:oMath>
                <m:sSub>
                  <m:sSubPr>
                    <m:ctrlPr>
                      <w:rPr>
                        <w:rFonts w:ascii="Cambria Math" w:hAnsi="Cambria Math" w:cs="Times New Roman"/>
                        <w:i/>
                        <w:color w:val="auto"/>
                      </w:rPr>
                    </m:ctrlPr>
                  </m:sSubPr>
                  <m:e>
                    <m:r>
                      <m:rPr/>
                      <w:rPr>
                        <w:rFonts w:ascii="Cambria Math" w:hAnsi="Cambria Math" w:cs="Times New Roman"/>
                        <w:color w:val="auto"/>
                      </w:rPr>
                      <m:t>M</m:t>
                    </m:r>
                    <m:ctrlPr>
                      <w:rPr>
                        <w:rFonts w:ascii="Cambria Math" w:hAnsi="Cambria Math" w:cs="Times New Roman"/>
                        <w:i/>
                        <w:color w:val="auto"/>
                      </w:rPr>
                    </m:ctrlPr>
                  </m:e>
                  <m:sub>
                    <m:r>
                      <m:rPr/>
                      <w:rPr>
                        <w:rFonts w:ascii="Cambria Math" w:hAnsi="Cambria Math" w:cs="Times New Roman"/>
                        <w:color w:val="auto"/>
                      </w:rPr>
                      <m:t>s</m:t>
                    </m:r>
                    <m:ctrlPr>
                      <w:rPr>
                        <w:rFonts w:ascii="Cambria Math" w:hAnsi="Cambria Math" w:cs="Times New Roman"/>
                        <w:i/>
                        <w:color w:val="auto"/>
                      </w:rPr>
                    </m:ctrlPr>
                  </m:sub>
                </m:sSub>
                <m:r>
                  <m:rPr/>
                  <w:rPr>
                    <w:rFonts w:ascii="Cambria Math" w:hAnsi="Cambria Math" w:cs="Times New Roman"/>
                    <w:color w:val="auto"/>
                  </w:rPr>
                  <m:t>=</m:t>
                </m:r>
                <m:sSub>
                  <m:sSubPr>
                    <m:ctrlPr>
                      <w:rPr>
                        <w:rFonts w:ascii="Cambria Math" w:hAnsi="Cambria Math" w:cs="Times New Roman"/>
                        <w:color w:val="auto"/>
                      </w:rPr>
                    </m:ctrlPr>
                  </m:sSubPr>
                  <m:e>
                    <m:r>
                      <m:rPr>
                        <m:sty m:val="p"/>
                      </m:rPr>
                      <w:rPr>
                        <w:rFonts w:ascii="Cambria Math" w:hAnsi="Cambria Math" w:cs="Times New Roman"/>
                        <w:color w:val="auto"/>
                      </w:rPr>
                      <m:t>C</m:t>
                    </m:r>
                    <m:ctrlPr>
                      <w:rPr>
                        <w:rFonts w:ascii="Cambria Math" w:hAnsi="Cambria Math" w:cs="Times New Roman"/>
                        <w:color w:val="auto"/>
                      </w:rPr>
                    </m:ctrlPr>
                  </m:e>
                  <m:sub>
                    <m:r>
                      <m:rPr/>
                      <w:rPr>
                        <w:rFonts w:ascii="Cambria Math" w:hAnsi="Cambria Math" w:cs="Times New Roman"/>
                        <w:color w:val="auto"/>
                      </w:rPr>
                      <m:t>NSC</m:t>
                    </m:r>
                    <m:ctrlPr>
                      <w:rPr>
                        <w:rFonts w:ascii="Cambria Math" w:hAnsi="Cambria Math" w:cs="Times New Roman"/>
                        <w:color w:val="auto"/>
                      </w:rPr>
                    </m:ctrlPr>
                  </m:sub>
                </m:sSub>
                <m:r>
                  <m:rPr/>
                  <w:rPr>
                    <w:rFonts w:ascii="Cambria Math" w:hAnsi="Cambria Math" w:cs="Times New Roman"/>
                    <w:color w:val="auto"/>
                  </w:rPr>
                  <m:t>∙</m:t>
                </m:r>
                <m:f>
                  <m:fPr>
                    <m:ctrlPr>
                      <w:rPr>
                        <w:rFonts w:ascii="Cambria Math" w:hAnsi="Cambria Math" w:cs="Times New Roman"/>
                        <w:i/>
                        <w:color w:val="auto"/>
                      </w:rPr>
                    </m:ctrlPr>
                  </m:fPr>
                  <m:num>
                    <m:r>
                      <m:rPr/>
                      <w:rPr>
                        <w:rFonts w:ascii="Cambria Math" w:hAnsi="Cambria Math" w:cs="Times New Roman"/>
                        <w:color w:val="auto"/>
                      </w:rPr>
                      <m:t>2</m:t>
                    </m:r>
                    <m:ctrlPr>
                      <w:rPr>
                        <w:rFonts w:ascii="Cambria Math" w:hAnsi="Cambria Math" w:cs="Times New Roman"/>
                        <w:i/>
                        <w:color w:val="auto"/>
                      </w:rPr>
                    </m:ctrlPr>
                  </m:num>
                  <m:den>
                    <m:r>
                      <m:rPr/>
                      <w:rPr>
                        <w:rFonts w:ascii="Cambria Math" w:hAnsi="Cambria Math" w:cs="Times New Roman"/>
                        <w:color w:val="auto"/>
                      </w:rPr>
                      <m:t>3</m:t>
                    </m:r>
                    <m:ctrlPr>
                      <w:rPr>
                        <w:rFonts w:ascii="Cambria Math" w:hAnsi="Cambria Math" w:cs="Times New Roman"/>
                        <w:i/>
                        <w:color w:val="auto"/>
                      </w:rPr>
                    </m:ctrlPr>
                  </m:den>
                </m:f>
                <m:sSub>
                  <m:sSubPr>
                    <m:ctrlPr>
                      <w:rPr>
                        <w:rFonts w:ascii="Cambria Math" w:hAnsi="Cambria Math" w:cs="Times New Roman"/>
                        <w:i/>
                        <w:color w:val="auto"/>
                      </w:rPr>
                    </m:ctrlPr>
                  </m:sSubPr>
                  <m:e>
                    <m:r>
                      <m:rPr/>
                      <w:rPr>
                        <w:rFonts w:ascii="Cambria Math" w:hAnsi="Cambria Math" w:cs="Times New Roman"/>
                        <w:color w:val="auto"/>
                      </w:rPr>
                      <m:t>x</m:t>
                    </m:r>
                    <m:ctrlPr>
                      <w:rPr>
                        <w:rFonts w:ascii="Cambria Math" w:hAnsi="Cambria Math" w:cs="Times New Roman"/>
                        <w:i/>
                        <w:color w:val="auto"/>
                      </w:rPr>
                    </m:ctrlPr>
                  </m:e>
                  <m:sub>
                    <m:r>
                      <m:rPr/>
                      <w:rPr>
                        <w:rFonts w:ascii="Cambria Math" w:hAnsi="Cambria Math" w:cs="Times New Roman"/>
                        <w:color w:val="auto"/>
                      </w:rPr>
                      <m:t>0</m:t>
                    </m:r>
                    <m:ctrlPr>
                      <w:rPr>
                        <w:rFonts w:ascii="Cambria Math" w:hAnsi="Cambria Math" w:cs="Times New Roman"/>
                        <w:i/>
                        <w:color w:val="auto"/>
                      </w:rPr>
                    </m:ctrlPr>
                  </m:sub>
                </m:sSub>
                <m:r>
                  <m:rPr/>
                  <w:rPr>
                    <w:rFonts w:ascii="Cambria Math" w:hAnsi="Cambria Math" w:cs="Times New Roman"/>
                    <w:color w:val="auto"/>
                  </w:rPr>
                  <m:t>+</m:t>
                </m:r>
                <m:sSub>
                  <m:sSubPr>
                    <m:ctrlPr>
                      <w:rPr>
                        <w:rFonts w:ascii="Cambria Math" w:hAnsi="Cambria Math" w:cs="Times New Roman"/>
                        <w:i/>
                        <w:color w:val="auto"/>
                      </w:rPr>
                    </m:ctrlPr>
                  </m:sSubPr>
                  <m:e>
                    <m:r>
                      <m:rPr/>
                      <w:rPr>
                        <w:rFonts w:ascii="Cambria Math" w:hAnsi="Cambria Math" w:cs="Times New Roman"/>
                        <w:color w:val="auto"/>
                      </w:rPr>
                      <m:t>T</m:t>
                    </m:r>
                    <m:ctrlPr>
                      <w:rPr>
                        <w:rFonts w:ascii="Cambria Math" w:hAnsi="Cambria Math" w:cs="Times New Roman"/>
                        <w:i/>
                        <w:color w:val="auto"/>
                      </w:rPr>
                    </m:ctrlPr>
                  </m:e>
                  <m:sub>
                    <m:r>
                      <m:rPr/>
                      <w:rPr>
                        <w:rFonts w:ascii="Cambria Math" w:hAnsi="Cambria Math" w:cs="Times New Roman"/>
                        <w:color w:val="auto"/>
                      </w:rPr>
                      <m:t>UHPC1</m:t>
                    </m:r>
                    <m:ctrlPr>
                      <w:rPr>
                        <w:rFonts w:ascii="Cambria Math" w:hAnsi="Cambria Math" w:cs="Times New Roman"/>
                        <w:i/>
                        <w:color w:val="auto"/>
                      </w:rPr>
                    </m:ctrlPr>
                  </m:sub>
                </m:sSub>
                <m:r>
                  <m:rPr/>
                  <w:rPr>
                    <w:rFonts w:ascii="Cambria Math" w:hAnsi="Cambria Math" w:cs="Times New Roman"/>
                    <w:color w:val="auto"/>
                  </w:rPr>
                  <m:t>∙</m:t>
                </m:r>
                <m:f>
                  <m:fPr>
                    <m:ctrlPr>
                      <w:rPr>
                        <w:rFonts w:ascii="Cambria Math" w:hAnsi="Cambria Math" w:cs="Times New Roman"/>
                        <w:i/>
                        <w:color w:val="auto"/>
                      </w:rPr>
                    </m:ctrlPr>
                  </m:fPr>
                  <m:num>
                    <m:r>
                      <m:rPr/>
                      <w:rPr>
                        <w:rFonts w:ascii="Cambria Math" w:hAnsi="Cambria Math" w:cs="Times New Roman"/>
                        <w:color w:val="auto"/>
                      </w:rPr>
                      <m:t>2</m:t>
                    </m:r>
                    <m:ctrlPr>
                      <w:rPr>
                        <w:rFonts w:ascii="Cambria Math" w:hAnsi="Cambria Math" w:cs="Times New Roman"/>
                        <w:i/>
                        <w:color w:val="auto"/>
                      </w:rPr>
                    </m:ctrlPr>
                  </m:num>
                  <m:den>
                    <m:r>
                      <m:rPr/>
                      <w:rPr>
                        <w:rFonts w:ascii="Cambria Math" w:hAnsi="Cambria Math" w:cs="Times New Roman"/>
                        <w:color w:val="auto"/>
                      </w:rPr>
                      <m:t>3</m:t>
                    </m:r>
                    <m:ctrlPr>
                      <w:rPr>
                        <w:rFonts w:ascii="Cambria Math" w:hAnsi="Cambria Math" w:cs="Times New Roman"/>
                        <w:i/>
                        <w:color w:val="auto"/>
                      </w:rPr>
                    </m:ctrlPr>
                  </m:den>
                </m:f>
                <m:sSup>
                  <m:sSupPr>
                    <m:ctrlPr>
                      <w:rPr>
                        <w:rFonts w:ascii="Cambria Math" w:hAnsi="Cambria Math" w:cs="Times New Roman"/>
                        <w:i/>
                        <w:color w:val="auto"/>
                      </w:rPr>
                    </m:ctrlPr>
                  </m:sSupPr>
                  <m:e>
                    <m:r>
                      <m:rPr/>
                      <w:rPr>
                        <w:rFonts w:ascii="Cambria Math" w:hAnsi="Cambria Math" w:cs="Times New Roman"/>
                        <w:color w:val="auto"/>
                      </w:rPr>
                      <m:t>x</m:t>
                    </m:r>
                    <m:ctrlPr>
                      <w:rPr>
                        <w:rFonts w:ascii="Cambria Math" w:hAnsi="Cambria Math" w:cs="Times New Roman"/>
                        <w:i/>
                        <w:color w:val="auto"/>
                      </w:rPr>
                    </m:ctrlPr>
                  </m:e>
                  <m:sup>
                    <m:r>
                      <m:rPr/>
                      <w:rPr>
                        <w:rFonts w:ascii="Cambria Math" w:hAnsi="Cambria Math" w:cs="Times New Roman"/>
                        <w:color w:val="auto"/>
                      </w:rPr>
                      <m:t>'</m:t>
                    </m:r>
                    <m:ctrlPr>
                      <w:rPr>
                        <w:rFonts w:ascii="Cambria Math" w:hAnsi="Cambria Math" w:cs="Times New Roman"/>
                        <w:i/>
                        <w:color w:val="auto"/>
                      </w:rPr>
                    </m:ctrlPr>
                  </m:sup>
                </m:sSup>
                <m:r>
                  <m:rPr/>
                  <w:rPr>
                    <w:rFonts w:ascii="Cambria Math" w:hAnsi="Cambria Math" w:cs="Times New Roman"/>
                    <w:color w:val="auto"/>
                  </w:rPr>
                  <m:t>+</m:t>
                </m:r>
                <m:sSub>
                  <m:sSubPr>
                    <m:ctrlPr>
                      <w:rPr>
                        <w:rFonts w:ascii="Cambria Math" w:hAnsi="Cambria Math" w:cs="Times New Roman"/>
                        <w:i/>
                        <w:color w:val="auto"/>
                      </w:rPr>
                    </m:ctrlPr>
                  </m:sSubPr>
                  <m:e>
                    <m:r>
                      <m:rPr/>
                      <w:rPr>
                        <w:rFonts w:ascii="Cambria Math" w:hAnsi="Cambria Math" w:cs="Times New Roman"/>
                        <w:color w:val="auto"/>
                      </w:rPr>
                      <m:t>T</m:t>
                    </m:r>
                    <m:ctrlPr>
                      <w:rPr>
                        <w:rFonts w:ascii="Cambria Math" w:hAnsi="Cambria Math" w:cs="Times New Roman"/>
                        <w:i/>
                        <w:color w:val="auto"/>
                      </w:rPr>
                    </m:ctrlPr>
                  </m:e>
                  <m:sub>
                    <m:r>
                      <m:rPr/>
                      <w:rPr>
                        <w:rFonts w:ascii="Cambria Math" w:hAnsi="Cambria Math" w:cs="Times New Roman"/>
                        <w:color w:val="auto"/>
                      </w:rPr>
                      <m:t>UHPC2</m:t>
                    </m:r>
                    <m:ctrlPr>
                      <w:rPr>
                        <w:rFonts w:ascii="Cambria Math" w:hAnsi="Cambria Math" w:cs="Times New Roman"/>
                        <w:i/>
                        <w:color w:val="auto"/>
                      </w:rPr>
                    </m:ctrlPr>
                  </m:sub>
                </m:sSub>
                <m:r>
                  <m:rPr/>
                  <w:rPr>
                    <w:rFonts w:ascii="Cambria Math" w:hAnsi="Cambria Math" w:cs="Times New Roman"/>
                    <w:color w:val="auto"/>
                  </w:rPr>
                  <m:t>∙</m:t>
                </m:r>
                <m:d>
                  <m:dPr>
                    <m:ctrlPr>
                      <w:rPr>
                        <w:rFonts w:ascii="Cambria Math" w:hAnsi="Cambria Math" w:cs="Times New Roman"/>
                        <w:i/>
                        <w:color w:val="auto"/>
                      </w:rPr>
                    </m:ctrlPr>
                  </m:dPr>
                  <m:e>
                    <m:f>
                      <m:fPr>
                        <m:ctrlPr>
                          <w:rPr>
                            <w:rFonts w:ascii="Cambria Math" w:hAnsi="Cambria Math" w:cs="Times New Roman"/>
                            <w:i/>
                            <w:color w:val="auto"/>
                          </w:rPr>
                        </m:ctrlPr>
                      </m:fPr>
                      <m:num>
                        <m:r>
                          <m:rPr/>
                          <w:rPr>
                            <w:rFonts w:ascii="Cambria Math" w:hAnsi="Cambria Math" w:cs="Times New Roman"/>
                            <w:color w:val="auto"/>
                          </w:rPr>
                          <m:t>ℎ−</m:t>
                        </m:r>
                        <m:sSub>
                          <m:sSubPr>
                            <m:ctrlPr>
                              <w:rPr>
                                <w:rFonts w:ascii="Cambria Math" w:hAnsi="Cambria Math" w:cs="Times New Roman"/>
                                <w:i/>
                                <w:color w:val="auto"/>
                              </w:rPr>
                            </m:ctrlPr>
                          </m:sSubPr>
                          <m:e>
                            <m:r>
                              <m:rPr/>
                              <w:rPr>
                                <w:rFonts w:ascii="Cambria Math" w:hAnsi="Cambria Math" w:cs="Times New Roman"/>
                                <w:color w:val="auto"/>
                              </w:rPr>
                              <m:t>x</m:t>
                            </m:r>
                            <m:ctrlPr>
                              <w:rPr>
                                <w:rFonts w:ascii="Cambria Math" w:hAnsi="Cambria Math" w:cs="Times New Roman"/>
                                <w:i/>
                                <w:color w:val="auto"/>
                              </w:rPr>
                            </m:ctrlPr>
                          </m:e>
                          <m:sub>
                            <m:r>
                              <m:rPr/>
                              <w:rPr>
                                <w:rFonts w:ascii="Cambria Math" w:hAnsi="Cambria Math" w:cs="Times New Roman"/>
                                <w:color w:val="auto"/>
                              </w:rPr>
                              <m:t>0</m:t>
                            </m:r>
                            <m:ctrlPr>
                              <w:rPr>
                                <w:rFonts w:ascii="Cambria Math" w:hAnsi="Cambria Math" w:cs="Times New Roman"/>
                                <w:i/>
                                <w:color w:val="auto"/>
                              </w:rPr>
                            </m:ctrlPr>
                          </m:sub>
                        </m:sSub>
                        <m:r>
                          <m:rPr/>
                          <w:rPr>
                            <w:rFonts w:ascii="Cambria Math" w:hAnsi="Cambria Math" w:cs="Times New Roman"/>
                            <w:color w:val="auto"/>
                          </w:rPr>
                          <m:t>−</m:t>
                        </m:r>
                        <m:sSup>
                          <m:sSupPr>
                            <m:ctrlPr>
                              <w:rPr>
                                <w:rFonts w:ascii="Cambria Math" w:hAnsi="Cambria Math" w:cs="Times New Roman"/>
                                <w:i/>
                                <w:color w:val="auto"/>
                              </w:rPr>
                            </m:ctrlPr>
                          </m:sSupPr>
                          <m:e>
                            <m:r>
                              <m:rPr/>
                              <w:rPr>
                                <w:rFonts w:ascii="Cambria Math" w:hAnsi="Cambria Math" w:cs="Times New Roman"/>
                                <w:color w:val="auto"/>
                              </w:rPr>
                              <m:t>x</m:t>
                            </m:r>
                            <m:ctrlPr>
                              <w:rPr>
                                <w:rFonts w:ascii="Cambria Math" w:hAnsi="Cambria Math" w:cs="Times New Roman"/>
                                <w:i/>
                                <w:color w:val="auto"/>
                              </w:rPr>
                            </m:ctrlPr>
                          </m:e>
                          <m:sup>
                            <m:r>
                              <m:rPr/>
                              <w:rPr>
                                <w:rFonts w:ascii="Cambria Math" w:hAnsi="Cambria Math" w:cs="Times New Roman"/>
                                <w:color w:val="auto"/>
                              </w:rPr>
                              <m:t>'</m:t>
                            </m:r>
                            <m:ctrlPr>
                              <w:rPr>
                                <w:rFonts w:ascii="Cambria Math" w:hAnsi="Cambria Math" w:cs="Times New Roman"/>
                                <w:i/>
                                <w:color w:val="auto"/>
                              </w:rPr>
                            </m:ctrlPr>
                          </m:sup>
                        </m:sSup>
                        <m:ctrlPr>
                          <w:rPr>
                            <w:rFonts w:ascii="Cambria Math" w:hAnsi="Cambria Math" w:cs="Times New Roman"/>
                            <w:i/>
                            <w:color w:val="auto"/>
                          </w:rPr>
                        </m:ctrlPr>
                      </m:num>
                      <m:den>
                        <m:r>
                          <m:rPr/>
                          <w:rPr>
                            <w:rFonts w:ascii="Cambria Math" w:hAnsi="Cambria Math" w:cs="Times New Roman"/>
                            <w:color w:val="auto"/>
                          </w:rPr>
                          <m:t>2</m:t>
                        </m:r>
                        <m:ctrlPr>
                          <w:rPr>
                            <w:rFonts w:ascii="Cambria Math" w:hAnsi="Cambria Math" w:cs="Times New Roman"/>
                            <w:i/>
                            <w:color w:val="auto"/>
                          </w:rPr>
                        </m:ctrlPr>
                      </m:den>
                    </m:f>
                    <m:r>
                      <m:rPr/>
                      <w:rPr>
                        <w:rFonts w:ascii="Cambria Math" w:hAnsi="Cambria Math" w:cs="Times New Roman"/>
                        <w:color w:val="auto"/>
                      </w:rPr>
                      <m:t>+</m:t>
                    </m:r>
                    <m:sSup>
                      <m:sSupPr>
                        <m:ctrlPr>
                          <w:rPr>
                            <w:rFonts w:ascii="Cambria Math" w:hAnsi="Cambria Math" w:cs="Times New Roman"/>
                            <w:i/>
                            <w:color w:val="auto"/>
                          </w:rPr>
                        </m:ctrlPr>
                      </m:sSupPr>
                      <m:e>
                        <m:r>
                          <m:rPr/>
                          <w:rPr>
                            <w:rFonts w:ascii="Cambria Math" w:hAnsi="Cambria Math" w:cs="Times New Roman"/>
                            <w:color w:val="auto"/>
                          </w:rPr>
                          <m:t>x</m:t>
                        </m:r>
                        <m:ctrlPr>
                          <w:rPr>
                            <w:rFonts w:ascii="Cambria Math" w:hAnsi="Cambria Math" w:cs="Times New Roman"/>
                            <w:i/>
                            <w:color w:val="auto"/>
                          </w:rPr>
                        </m:ctrlPr>
                      </m:e>
                      <m:sup>
                        <m:r>
                          <m:rPr/>
                          <w:rPr>
                            <w:rFonts w:ascii="Cambria Math" w:hAnsi="Cambria Math" w:cs="Times New Roman"/>
                            <w:color w:val="auto"/>
                          </w:rPr>
                          <m:t>'</m:t>
                        </m:r>
                        <m:ctrlPr>
                          <w:rPr>
                            <w:rFonts w:ascii="Cambria Math" w:hAnsi="Cambria Math" w:cs="Times New Roman"/>
                            <w:i/>
                            <w:color w:val="auto"/>
                          </w:rPr>
                        </m:ctrlPr>
                      </m:sup>
                    </m:sSup>
                    <m:ctrlPr>
                      <w:rPr>
                        <w:rFonts w:ascii="Cambria Math" w:hAnsi="Cambria Math" w:cs="Times New Roman"/>
                        <w:i/>
                        <w:color w:val="auto"/>
                      </w:rPr>
                    </m:ctrlPr>
                  </m:e>
                </m:d>
                <m:r>
                  <m:rPr/>
                  <w:rPr>
                    <w:rFonts w:ascii="Cambria Math" w:hAnsi="Cambria Math" w:cs="Times New Roman"/>
                    <w:color w:val="auto"/>
                  </w:rPr>
                  <m:t>+</m:t>
                </m:r>
                <m:sSub>
                  <m:sSubPr>
                    <m:ctrlPr>
                      <w:rPr>
                        <w:rFonts w:ascii="Cambria Math" w:hAnsi="Cambria Math" w:cs="Times New Roman"/>
                        <w:i/>
                        <w:color w:val="auto"/>
                      </w:rPr>
                    </m:ctrlPr>
                  </m:sSubPr>
                  <m:e>
                    <m:r>
                      <m:rPr/>
                      <w:rPr>
                        <w:rFonts w:ascii="Cambria Math" w:hAnsi="Cambria Math" w:cs="Times New Roman"/>
                        <w:color w:val="auto"/>
                      </w:rPr>
                      <m:t>T</m:t>
                    </m:r>
                    <m:ctrlPr>
                      <w:rPr>
                        <w:rFonts w:ascii="Cambria Math" w:hAnsi="Cambria Math" w:cs="Times New Roman"/>
                        <w:i/>
                        <w:color w:val="auto"/>
                      </w:rPr>
                    </m:ctrlPr>
                  </m:e>
                  <m:sub>
                    <m:r>
                      <m:rPr/>
                      <w:rPr>
                        <w:rFonts w:ascii="Cambria Math" w:hAnsi="Cambria Math" w:cs="Times New Roman"/>
                        <w:color w:val="auto"/>
                      </w:rPr>
                      <m:t>sc</m:t>
                    </m:r>
                    <m:ctrlPr>
                      <w:rPr>
                        <w:rFonts w:ascii="Cambria Math" w:hAnsi="Cambria Math" w:cs="Times New Roman"/>
                        <w:i/>
                        <w:color w:val="auto"/>
                      </w:rPr>
                    </m:ctrlPr>
                  </m:sub>
                </m:sSub>
                <m:r>
                  <m:rPr/>
                  <w:rPr>
                    <w:rFonts w:ascii="Cambria Math" w:hAnsi="Cambria Math" w:cs="Times New Roman"/>
                    <w:color w:val="auto"/>
                  </w:rPr>
                  <m:t>∙</m:t>
                </m:r>
                <m:d>
                  <m:dPr>
                    <m:ctrlPr>
                      <w:rPr>
                        <w:rFonts w:ascii="Cambria Math" w:hAnsi="Cambria Math" w:cs="Times New Roman"/>
                        <w:i/>
                        <w:color w:val="auto"/>
                      </w:rPr>
                    </m:ctrlPr>
                  </m:dPr>
                  <m:e>
                    <m:r>
                      <m:rPr/>
                      <w:rPr>
                        <w:rFonts w:ascii="Cambria Math" w:hAnsi="Cambria Math" w:cs="Times New Roman"/>
                        <w:color w:val="auto"/>
                      </w:rPr>
                      <m:t>ℎ−</m:t>
                    </m:r>
                    <m:sSub>
                      <m:sSubPr>
                        <m:ctrlPr>
                          <w:rPr>
                            <w:rFonts w:ascii="Cambria Math" w:hAnsi="Cambria Math" w:cs="Times New Roman"/>
                            <w:i/>
                            <w:color w:val="auto"/>
                          </w:rPr>
                        </m:ctrlPr>
                      </m:sSubPr>
                      <m:e>
                        <m:r>
                          <m:rPr/>
                          <w:rPr>
                            <w:rFonts w:ascii="Cambria Math" w:hAnsi="Cambria Math" w:cs="Times New Roman"/>
                            <w:color w:val="auto"/>
                          </w:rPr>
                          <m:t>x</m:t>
                        </m:r>
                        <m:ctrlPr>
                          <w:rPr>
                            <w:rFonts w:ascii="Cambria Math" w:hAnsi="Cambria Math" w:cs="Times New Roman"/>
                            <w:i/>
                            <w:color w:val="auto"/>
                          </w:rPr>
                        </m:ctrlPr>
                      </m:e>
                      <m:sub>
                        <m:r>
                          <m:rPr/>
                          <w:rPr>
                            <w:rFonts w:ascii="Cambria Math" w:hAnsi="Cambria Math" w:cs="Times New Roman"/>
                            <w:color w:val="auto"/>
                          </w:rPr>
                          <m:t>0</m:t>
                        </m:r>
                        <m:ctrlPr>
                          <w:rPr>
                            <w:rFonts w:ascii="Cambria Math" w:hAnsi="Cambria Math" w:cs="Times New Roman"/>
                            <w:i/>
                            <w:color w:val="auto"/>
                          </w:rPr>
                        </m:ctrlPr>
                      </m:sub>
                    </m:sSub>
                    <m:r>
                      <m:rPr/>
                      <w:rPr>
                        <w:rFonts w:ascii="Cambria Math" w:hAnsi="Cambria Math" w:cs="Times New Roman"/>
                        <w:color w:val="auto"/>
                      </w:rPr>
                      <m:t>−</m:t>
                    </m:r>
                    <m:sSub>
                      <m:sSubPr>
                        <m:ctrlPr>
                          <w:rPr>
                            <w:rFonts w:ascii="Cambria Math" w:hAnsi="Cambria Math" w:cs="Times New Roman"/>
                            <w:i/>
                            <w:color w:val="auto"/>
                          </w:rPr>
                        </m:ctrlPr>
                      </m:sSubPr>
                      <m:e>
                        <m:r>
                          <m:rPr/>
                          <w:rPr>
                            <w:rFonts w:ascii="Cambria Math" w:hAnsi="Cambria Math" w:cs="Times New Roman"/>
                            <w:color w:val="auto"/>
                          </w:rPr>
                          <m:t>a</m:t>
                        </m:r>
                        <m:ctrlPr>
                          <w:rPr>
                            <w:rFonts w:ascii="Cambria Math" w:hAnsi="Cambria Math" w:cs="Times New Roman"/>
                            <w:i/>
                            <w:color w:val="auto"/>
                          </w:rPr>
                        </m:ctrlPr>
                      </m:e>
                      <m:sub>
                        <m:r>
                          <m:rPr/>
                          <w:rPr>
                            <w:rFonts w:ascii="Cambria Math" w:hAnsi="Cambria Math" w:cs="Times New Roman"/>
                            <w:color w:val="auto"/>
                          </w:rPr>
                          <m:t>s1</m:t>
                        </m:r>
                        <m:ctrlPr>
                          <w:rPr>
                            <w:rFonts w:ascii="Cambria Math" w:hAnsi="Cambria Math" w:cs="Times New Roman"/>
                            <w:i/>
                            <w:color w:val="auto"/>
                          </w:rPr>
                        </m:ctrlPr>
                      </m:sub>
                    </m:sSub>
                    <m:ctrlPr>
                      <w:rPr>
                        <w:rFonts w:ascii="Cambria Math" w:hAnsi="Cambria Math" w:cs="Times New Roman"/>
                        <w:i/>
                        <w:color w:val="auto"/>
                      </w:rPr>
                    </m:ctrlPr>
                  </m:e>
                </m:d>
                <m:r>
                  <m:rPr/>
                  <w:rPr>
                    <w:rFonts w:ascii="Cambria Math" w:hAnsi="Cambria Math" w:cs="Times New Roman"/>
                    <w:color w:val="auto"/>
                  </w:rPr>
                  <m:t>+</m:t>
                </m:r>
                <m:sSub>
                  <m:sSubPr>
                    <m:ctrlPr>
                      <w:rPr>
                        <w:rFonts w:ascii="Cambria Math" w:hAnsi="Cambria Math" w:cs="Times New Roman"/>
                        <w:i/>
                        <w:color w:val="auto"/>
                      </w:rPr>
                    </m:ctrlPr>
                  </m:sSubPr>
                  <m:e>
                    <m:r>
                      <m:rPr/>
                      <w:rPr>
                        <w:rFonts w:ascii="Cambria Math" w:hAnsi="Cambria Math" w:cs="Times New Roman"/>
                        <w:color w:val="auto"/>
                      </w:rPr>
                      <m:t>T</m:t>
                    </m:r>
                    <m:ctrlPr>
                      <w:rPr>
                        <w:rFonts w:ascii="Cambria Math" w:hAnsi="Cambria Math" w:cs="Times New Roman"/>
                        <w:i/>
                        <w:color w:val="auto"/>
                      </w:rPr>
                    </m:ctrlPr>
                  </m:e>
                  <m:sub>
                    <m:r>
                      <m:rPr/>
                      <w:rPr>
                        <w:rFonts w:ascii="Cambria Math" w:hAnsi="Cambria Math" w:cs="Times New Roman"/>
                        <w:color w:val="auto"/>
                      </w:rPr>
                      <m:t>su</m:t>
                    </m:r>
                    <m:ctrlPr>
                      <w:rPr>
                        <w:rFonts w:ascii="Cambria Math" w:hAnsi="Cambria Math" w:cs="Times New Roman"/>
                        <w:i/>
                        <w:color w:val="auto"/>
                      </w:rPr>
                    </m:ctrlPr>
                  </m:sub>
                </m:sSub>
                <m:r>
                  <m:rPr/>
                  <w:rPr>
                    <w:rFonts w:ascii="Cambria Math" w:hAnsi="Cambria Math" w:cs="Times New Roman"/>
                    <w:color w:val="auto"/>
                  </w:rPr>
                  <m:t>∙</m:t>
                </m:r>
                <m:d>
                  <m:dPr>
                    <m:ctrlPr>
                      <w:rPr>
                        <w:rFonts w:ascii="Cambria Math" w:hAnsi="Cambria Math" w:cs="Times New Roman"/>
                        <w:i/>
                        <w:color w:val="auto"/>
                      </w:rPr>
                    </m:ctrlPr>
                  </m:dPr>
                  <m:e>
                    <m:r>
                      <m:rPr/>
                      <w:rPr>
                        <w:rFonts w:ascii="Cambria Math" w:hAnsi="Cambria Math" w:cs="Times New Roman"/>
                        <w:color w:val="auto"/>
                      </w:rPr>
                      <m:t>ℎ−</m:t>
                    </m:r>
                    <m:sSub>
                      <m:sSubPr>
                        <m:ctrlPr>
                          <w:rPr>
                            <w:rFonts w:ascii="Cambria Math" w:hAnsi="Cambria Math" w:cs="Times New Roman"/>
                            <w:i/>
                            <w:color w:val="auto"/>
                          </w:rPr>
                        </m:ctrlPr>
                      </m:sSubPr>
                      <m:e>
                        <m:r>
                          <m:rPr/>
                          <w:rPr>
                            <w:rFonts w:ascii="Cambria Math" w:hAnsi="Cambria Math" w:cs="Times New Roman"/>
                            <w:color w:val="auto"/>
                          </w:rPr>
                          <m:t>x</m:t>
                        </m:r>
                        <m:ctrlPr>
                          <w:rPr>
                            <w:rFonts w:ascii="Cambria Math" w:hAnsi="Cambria Math" w:cs="Times New Roman"/>
                            <w:i/>
                            <w:color w:val="auto"/>
                          </w:rPr>
                        </m:ctrlPr>
                      </m:e>
                      <m:sub>
                        <m:r>
                          <m:rPr/>
                          <w:rPr>
                            <w:rFonts w:ascii="Cambria Math" w:hAnsi="Cambria Math" w:cs="Times New Roman"/>
                            <w:color w:val="auto"/>
                          </w:rPr>
                          <m:t>0</m:t>
                        </m:r>
                        <m:ctrlPr>
                          <w:rPr>
                            <w:rFonts w:ascii="Cambria Math" w:hAnsi="Cambria Math" w:cs="Times New Roman"/>
                            <w:i/>
                            <w:color w:val="auto"/>
                          </w:rPr>
                        </m:ctrlPr>
                      </m:sub>
                    </m:sSub>
                    <m:r>
                      <m:rPr/>
                      <w:rPr>
                        <w:rFonts w:ascii="Cambria Math" w:hAnsi="Cambria Math" w:cs="Times New Roman"/>
                        <w:color w:val="auto"/>
                      </w:rPr>
                      <m:t>−</m:t>
                    </m:r>
                    <m:sSub>
                      <m:sSubPr>
                        <m:ctrlPr>
                          <w:rPr>
                            <w:rFonts w:ascii="Cambria Math" w:hAnsi="Cambria Math" w:cs="Times New Roman"/>
                            <w:i/>
                            <w:color w:val="auto"/>
                          </w:rPr>
                        </m:ctrlPr>
                      </m:sSubPr>
                      <m:e>
                        <m:r>
                          <m:rPr/>
                          <w:rPr>
                            <w:rFonts w:ascii="Cambria Math" w:hAnsi="Cambria Math" w:cs="Times New Roman"/>
                            <w:color w:val="auto"/>
                          </w:rPr>
                          <m:t>a</m:t>
                        </m:r>
                        <m:ctrlPr>
                          <w:rPr>
                            <w:rFonts w:ascii="Cambria Math" w:hAnsi="Cambria Math" w:cs="Times New Roman"/>
                            <w:i/>
                            <w:color w:val="auto"/>
                          </w:rPr>
                        </m:ctrlPr>
                      </m:e>
                      <m:sub>
                        <m:r>
                          <m:rPr/>
                          <w:rPr>
                            <w:rFonts w:ascii="Cambria Math" w:hAnsi="Cambria Math" w:cs="Times New Roman"/>
                            <w:color w:val="auto"/>
                          </w:rPr>
                          <m:t>s2</m:t>
                        </m:r>
                        <m:ctrlPr>
                          <w:rPr>
                            <w:rFonts w:ascii="Cambria Math" w:hAnsi="Cambria Math" w:cs="Times New Roman"/>
                            <w:i/>
                            <w:color w:val="auto"/>
                          </w:rPr>
                        </m:ctrlPr>
                      </m:sub>
                    </m:sSub>
                    <m:ctrlPr>
                      <w:rPr>
                        <w:rFonts w:ascii="Cambria Math" w:hAnsi="Cambria Math" w:cs="Times New Roman"/>
                        <w:i/>
                        <w:color w:val="auto"/>
                      </w:rPr>
                    </m:ctrlPr>
                  </m:e>
                </m:d>
              </m:oMath>
            </m:oMathPara>
          </w:p>
        </w:tc>
        <w:tc>
          <w:tcPr>
            <w:tcW w:w="645" w:type="pct"/>
            <w:vMerge w:val="continue"/>
            <w:vAlign w:val="center"/>
          </w:tcPr>
          <w:p w14:paraId="2F3E0DFC">
            <w:pPr>
              <w:spacing w:line="360" w:lineRule="auto"/>
              <w:jc w:val="right"/>
              <w:rPr>
                <w:rFonts w:ascii="Times New Roman" w:hAnsi="Times New Roman" w:eastAsia="宋体"/>
                <w:color w:val="auto"/>
                <w:szCs w:val="21"/>
              </w:rPr>
            </w:pPr>
          </w:p>
        </w:tc>
      </w:tr>
    </w:tbl>
    <w:p w14:paraId="191291AB">
      <w:pPr>
        <w:spacing w:line="360" w:lineRule="auto"/>
        <w:ind w:firstLine="422" w:firstLineChars="200"/>
        <w:rPr>
          <w:rFonts w:ascii="Times New Roman" w:hAnsi="Times New Roman" w:eastAsia="宋体"/>
          <w:color w:val="auto"/>
          <w:szCs w:val="21"/>
        </w:rPr>
      </w:pPr>
      <w:r>
        <w:rPr>
          <w:rFonts w:hint="eastAsia" w:ascii="Times New Roman" w:hAnsi="Times New Roman" w:eastAsia="宋体"/>
          <w:b/>
          <w:color w:val="auto"/>
          <w:szCs w:val="21"/>
        </w:rPr>
        <w:t xml:space="preserve">3 </w:t>
      </w:r>
      <w:r>
        <w:rPr>
          <w:rFonts w:hint="eastAsia" w:ascii="Times New Roman" w:hAnsi="Times New Roman" w:eastAsia="宋体"/>
          <w:color w:val="auto"/>
          <w:szCs w:val="21"/>
        </w:rPr>
        <w:t>求解轴力平衡方程（式</w:t>
      </w:r>
      <w:r>
        <w:rPr>
          <w:rFonts w:ascii="Times New Roman" w:hAnsi="Times New Roman" w:eastAsia="宋体"/>
          <w:color w:val="auto"/>
          <w:szCs w:val="21"/>
        </w:rPr>
        <w:t>6</w:t>
      </w:r>
      <w:r>
        <w:rPr>
          <w:rFonts w:hint="eastAsia" w:ascii="Times New Roman" w:hAnsi="Times New Roman" w:eastAsia="宋体"/>
          <w:color w:val="auto"/>
          <w:szCs w:val="21"/>
        </w:rPr>
        <w:t>）与弯矩平衡方程（式</w:t>
      </w:r>
      <w:r>
        <w:rPr>
          <w:rFonts w:ascii="Times New Roman" w:hAnsi="Times New Roman" w:eastAsia="宋体"/>
          <w:color w:val="auto"/>
          <w:szCs w:val="21"/>
        </w:rPr>
        <w:t>7</w:t>
      </w:r>
      <w:r>
        <w:rPr>
          <w:rFonts w:hint="eastAsia" w:ascii="Times New Roman" w:hAnsi="Times New Roman" w:eastAsia="宋体"/>
          <w:color w:val="auto"/>
          <w:szCs w:val="21"/>
        </w:rPr>
        <w:t>），确定截面曲率大小</w:t>
      </w:r>
      <m:oMath>
        <m:r>
          <m:rPr>
            <m:sty m:val="p"/>
          </m:rPr>
          <w:rPr>
            <w:rFonts w:ascii="Cambria Math" w:hAnsi="Cambria Math"/>
            <w:color w:val="auto"/>
          </w:rPr>
          <m:t>φ</m:t>
        </m:r>
      </m:oMath>
      <w:r>
        <w:rPr>
          <w:rFonts w:hint="eastAsia" w:ascii="Times New Roman" w:hAnsi="Times New Roman" w:eastAsia="宋体"/>
          <w:color w:val="auto"/>
          <w:szCs w:val="21"/>
        </w:rPr>
        <w:t>与中和轴位置</w:t>
      </w:r>
      <m:oMath>
        <m:sSub>
          <m:sSubPr>
            <m:ctrlPr>
              <w:rPr>
                <w:rFonts w:ascii="Cambria Math" w:hAnsi="Cambria Math"/>
                <w:i/>
                <w:color w:val="auto"/>
              </w:rPr>
            </m:ctrlPr>
          </m:sSubPr>
          <m:e>
            <m:r>
              <m:rPr/>
              <w:rPr>
                <w:rFonts w:ascii="Cambria Math" w:hAnsi="Cambria Math"/>
                <w:color w:val="auto"/>
              </w:rPr>
              <m:t>x</m:t>
            </m:r>
            <m:ctrlPr>
              <w:rPr>
                <w:rFonts w:ascii="Cambria Math" w:hAnsi="Cambria Math"/>
                <w:i/>
                <w:color w:val="auto"/>
              </w:rPr>
            </m:ctrlPr>
          </m:e>
          <m:sub>
            <m:r>
              <m:rPr/>
              <w:rPr>
                <w:rFonts w:ascii="Cambria Math" w:hAnsi="Cambria Math"/>
                <w:color w:val="auto"/>
              </w:rPr>
              <m:t>c</m:t>
            </m:r>
            <m:ctrlPr>
              <w:rPr>
                <w:rFonts w:ascii="Cambria Math" w:hAnsi="Cambria Math"/>
                <w:i/>
                <w:color w:val="auto"/>
              </w:rPr>
            </m:ctrlPr>
          </m:sub>
        </m:sSub>
      </m:oMath>
      <w:r>
        <w:rPr>
          <w:rFonts w:hint="eastAsia" w:ascii="Times New Roman" w:hAnsi="Times New Roman" w:eastAsia="宋体"/>
          <w:color w:val="auto"/>
          <w:szCs w:val="21"/>
        </w:rPr>
        <w:t>，进而可根据截面分布求解获得钢筋应力</w:t>
      </w:r>
      <m:oMath>
        <m:sSub>
          <m:sSubPr>
            <m:ctrlPr>
              <w:rPr>
                <w:rFonts w:ascii="Cambria Math" w:hAnsi="Cambria Math"/>
                <w:i/>
                <w:color w:val="auto"/>
              </w:rPr>
            </m:ctrlPr>
          </m:sSubPr>
          <m:e>
            <m:r>
              <m:rPr/>
              <w:rPr>
                <w:rFonts w:ascii="Cambria Math" w:hAnsi="Cambria Math"/>
                <w:color w:val="auto"/>
              </w:rPr>
              <m:t>σ</m:t>
            </m:r>
            <m:ctrlPr>
              <w:rPr>
                <w:rFonts w:ascii="Cambria Math" w:hAnsi="Cambria Math"/>
                <w:i/>
                <w:color w:val="auto"/>
              </w:rPr>
            </m:ctrlPr>
          </m:e>
          <m:sub>
            <m:r>
              <m:rPr/>
              <w:rPr>
                <w:rFonts w:ascii="Cambria Math" w:hAnsi="Cambria Math"/>
                <w:color w:val="auto"/>
              </w:rPr>
              <m:t>sc</m:t>
            </m:r>
            <m:ctrlPr>
              <w:rPr>
                <w:rFonts w:ascii="Cambria Math" w:hAnsi="Cambria Math"/>
                <w:i/>
                <w:color w:val="auto"/>
              </w:rPr>
            </m:ctrlPr>
          </m:sub>
        </m:sSub>
        <m:r>
          <m:rPr>
            <m:sty m:val="p"/>
          </m:rPr>
          <w:rPr>
            <w:rFonts w:ascii="Cambria Math" w:hAnsi="Cambria Math"/>
            <w:color w:val="auto"/>
          </w:rPr>
          <m:t>=</m:t>
        </m:r>
        <m:d>
          <m:dPr>
            <m:ctrlPr>
              <w:rPr>
                <w:rFonts w:ascii="Cambria Math" w:hAnsi="Cambria Math"/>
                <w:color w:val="auto"/>
              </w:rPr>
            </m:ctrlPr>
          </m:dPr>
          <m:e>
            <m:r>
              <m:rPr/>
              <w:rPr>
                <w:rFonts w:ascii="Cambria Math" w:hAnsi="Cambria Math"/>
                <w:color w:val="auto"/>
              </w:rPr>
              <m:t>ℎ</m:t>
            </m:r>
            <m:r>
              <m:rPr>
                <m:sty m:val="p"/>
              </m:rPr>
              <w:rPr>
                <w:rFonts w:ascii="Cambria Math" w:hAnsi="Cambria Math"/>
                <w:color w:val="auto"/>
              </w:rPr>
              <m:t>−</m:t>
            </m:r>
            <m:sSub>
              <m:sSubPr>
                <m:ctrlPr>
                  <w:rPr>
                    <w:rFonts w:ascii="Cambria Math" w:hAnsi="Cambria Math"/>
                    <w:color w:val="auto"/>
                  </w:rPr>
                </m:ctrlPr>
              </m:sSubPr>
              <m:e>
                <m:r>
                  <m:rPr/>
                  <w:rPr>
                    <w:rFonts w:ascii="Cambria Math" w:hAnsi="Cambria Math"/>
                    <w:color w:val="auto"/>
                  </w:rPr>
                  <m:t>x</m:t>
                </m:r>
                <m:ctrlPr>
                  <w:rPr>
                    <w:rFonts w:ascii="Cambria Math" w:hAnsi="Cambria Math"/>
                    <w:color w:val="auto"/>
                  </w:rPr>
                </m:ctrlPr>
              </m:e>
              <m:sub>
                <m:r>
                  <m:rPr/>
                  <w:rPr>
                    <w:rFonts w:ascii="Cambria Math" w:hAnsi="Cambria Math"/>
                    <w:color w:val="auto"/>
                  </w:rPr>
                  <m:t>0</m:t>
                </m:r>
                <m:ctrlPr>
                  <w:rPr>
                    <w:rFonts w:ascii="Cambria Math" w:hAnsi="Cambria Math"/>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s1</m:t>
                </m:r>
                <m:ctrlPr>
                  <w:rPr>
                    <w:rFonts w:ascii="Cambria Math" w:hAnsi="Cambria Math"/>
                    <w:i/>
                    <w:color w:val="auto"/>
                  </w:rPr>
                </m:ctrlPr>
              </m:sub>
            </m:sSub>
            <m:ctrlPr>
              <w:rPr>
                <w:rFonts w:ascii="Cambria Math" w:hAnsi="Cambria Math"/>
                <w:color w:val="auto"/>
              </w:rPr>
            </m:ctrlPr>
          </m:e>
        </m:d>
        <m:r>
          <m:rPr/>
          <w:rPr>
            <w:rFonts w:ascii="Cambria Math" w:hAnsi="Cambria Math"/>
            <w:color w:val="auto"/>
          </w:rPr>
          <m:t>φ</m:t>
        </m:r>
        <m:sSub>
          <m:sSubPr>
            <m:ctrlPr>
              <w:rPr>
                <w:rFonts w:ascii="Cambria Math" w:hAnsi="Cambria Math"/>
                <w:i/>
                <w:color w:val="auto"/>
              </w:rPr>
            </m:ctrlPr>
          </m:sSubPr>
          <m:e>
            <m:r>
              <m:rPr/>
              <w:rPr>
                <w:rFonts w:ascii="Cambria Math" w:hAnsi="Cambria Math"/>
                <w:color w:val="auto"/>
              </w:rPr>
              <m:t>E</m:t>
            </m:r>
            <m:ctrlPr>
              <w:rPr>
                <w:rFonts w:ascii="Cambria Math" w:hAnsi="Cambria Math"/>
                <w:i/>
                <w:color w:val="auto"/>
              </w:rPr>
            </m:ctrlPr>
          </m:e>
          <m:sub>
            <m:r>
              <m:rPr/>
              <w:rPr>
                <w:rFonts w:ascii="Cambria Math" w:hAnsi="Cambria Math"/>
                <w:color w:val="auto"/>
              </w:rPr>
              <m:t>s</m:t>
            </m:r>
            <m:ctrlPr>
              <w:rPr>
                <w:rFonts w:ascii="Cambria Math" w:hAnsi="Cambria Math"/>
                <w:i/>
                <w:color w:val="auto"/>
              </w:rPr>
            </m:ctrlPr>
          </m:sub>
        </m:sSub>
      </m:oMath>
      <w:r>
        <w:rPr>
          <w:rFonts w:hint="eastAsia" w:ascii="Times New Roman" w:hAnsi="Times New Roman" w:eastAsia="宋体"/>
          <w:color w:val="auto"/>
          <w:szCs w:val="21"/>
        </w:rPr>
        <w:t>、</w:t>
      </w:r>
      <m:oMath>
        <m:sSub>
          <m:sSubPr>
            <m:ctrlPr>
              <w:rPr>
                <w:rFonts w:ascii="Cambria Math" w:hAnsi="Cambria Math"/>
                <w:i/>
                <w:color w:val="auto"/>
              </w:rPr>
            </m:ctrlPr>
          </m:sSubPr>
          <m:e>
            <m:r>
              <m:rPr/>
              <w:rPr>
                <w:rFonts w:ascii="Cambria Math" w:hAnsi="Cambria Math"/>
                <w:color w:val="auto"/>
              </w:rPr>
              <m:t>σ</m:t>
            </m:r>
            <m:ctrlPr>
              <w:rPr>
                <w:rFonts w:ascii="Cambria Math" w:hAnsi="Cambria Math"/>
                <w:i/>
                <w:color w:val="auto"/>
              </w:rPr>
            </m:ctrlPr>
          </m:e>
          <m:sub>
            <m:r>
              <m:rPr/>
              <w:rPr>
                <w:rFonts w:ascii="Cambria Math" w:hAnsi="Cambria Math"/>
                <w:color w:val="auto"/>
              </w:rPr>
              <m:t>su</m:t>
            </m:r>
            <m:ctrlPr>
              <w:rPr>
                <w:rFonts w:ascii="Cambria Math" w:hAnsi="Cambria Math"/>
                <w:i/>
                <w:color w:val="auto"/>
              </w:rPr>
            </m:ctrlPr>
          </m:sub>
        </m:sSub>
        <m:r>
          <m:rPr>
            <m:sty m:val="p"/>
          </m:rPr>
          <w:rPr>
            <w:rFonts w:ascii="Cambria Math" w:hAnsi="Cambria Math"/>
            <w:color w:val="auto"/>
          </w:rPr>
          <m:t>=</m:t>
        </m:r>
        <m:d>
          <m:dPr>
            <m:ctrlPr>
              <w:rPr>
                <w:rFonts w:ascii="Cambria Math" w:hAnsi="Cambria Math"/>
                <w:color w:val="auto"/>
              </w:rPr>
            </m:ctrlPr>
          </m:dPr>
          <m:e>
            <m:r>
              <m:rPr/>
              <w:rPr>
                <w:rFonts w:ascii="Cambria Math" w:hAnsi="Cambria Math"/>
                <w:color w:val="auto"/>
              </w:rPr>
              <m:t>ℎ</m:t>
            </m:r>
            <m:r>
              <m:rPr>
                <m:sty m:val="p"/>
              </m:rPr>
              <w:rPr>
                <w:rFonts w:ascii="Cambria Math" w:hAnsi="Cambria Math"/>
                <w:color w:val="auto"/>
              </w:rPr>
              <m:t>−</m:t>
            </m:r>
            <m:sSub>
              <m:sSubPr>
                <m:ctrlPr>
                  <w:rPr>
                    <w:rFonts w:ascii="Cambria Math" w:hAnsi="Cambria Math"/>
                    <w:color w:val="auto"/>
                  </w:rPr>
                </m:ctrlPr>
              </m:sSubPr>
              <m:e>
                <m:r>
                  <m:rPr/>
                  <w:rPr>
                    <w:rFonts w:ascii="Cambria Math" w:hAnsi="Cambria Math"/>
                    <w:color w:val="auto"/>
                  </w:rPr>
                  <m:t>x</m:t>
                </m:r>
                <m:ctrlPr>
                  <w:rPr>
                    <w:rFonts w:ascii="Cambria Math" w:hAnsi="Cambria Math"/>
                    <w:color w:val="auto"/>
                  </w:rPr>
                </m:ctrlPr>
              </m:e>
              <m:sub>
                <m:r>
                  <m:rPr/>
                  <w:rPr>
                    <w:rFonts w:ascii="Cambria Math" w:hAnsi="Cambria Math"/>
                    <w:color w:val="auto"/>
                  </w:rPr>
                  <m:t>0</m:t>
                </m:r>
                <m:ctrlPr>
                  <w:rPr>
                    <w:rFonts w:ascii="Cambria Math" w:hAnsi="Cambria Math"/>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s2</m:t>
                </m:r>
                <m:ctrlPr>
                  <w:rPr>
                    <w:rFonts w:ascii="Cambria Math" w:hAnsi="Cambria Math"/>
                    <w:i/>
                    <w:color w:val="auto"/>
                  </w:rPr>
                </m:ctrlPr>
              </m:sub>
            </m:sSub>
            <m:ctrlPr>
              <w:rPr>
                <w:rFonts w:ascii="Cambria Math" w:hAnsi="Cambria Math"/>
                <w:color w:val="auto"/>
              </w:rPr>
            </m:ctrlPr>
          </m:e>
        </m:d>
        <m:r>
          <m:rPr/>
          <w:rPr>
            <w:rFonts w:ascii="Cambria Math" w:hAnsi="Cambria Math"/>
            <w:color w:val="auto"/>
          </w:rPr>
          <m:t>φ</m:t>
        </m:r>
        <m:sSub>
          <m:sSubPr>
            <m:ctrlPr>
              <w:rPr>
                <w:rFonts w:ascii="Cambria Math" w:hAnsi="Cambria Math"/>
                <w:i/>
                <w:color w:val="auto"/>
              </w:rPr>
            </m:ctrlPr>
          </m:sSubPr>
          <m:e>
            <m:r>
              <m:rPr/>
              <w:rPr>
                <w:rFonts w:ascii="Cambria Math" w:hAnsi="Cambria Math"/>
                <w:color w:val="auto"/>
              </w:rPr>
              <m:t>E</m:t>
            </m:r>
            <m:ctrlPr>
              <w:rPr>
                <w:rFonts w:ascii="Cambria Math" w:hAnsi="Cambria Math"/>
                <w:i/>
                <w:color w:val="auto"/>
              </w:rPr>
            </m:ctrlPr>
          </m:e>
          <m:sub>
            <m:r>
              <m:rPr/>
              <w:rPr>
                <w:rFonts w:ascii="Cambria Math" w:hAnsi="Cambria Math"/>
                <w:color w:val="auto"/>
              </w:rPr>
              <m:t>s</m:t>
            </m:r>
            <m:ctrlPr>
              <w:rPr>
                <w:rFonts w:ascii="Cambria Math" w:hAnsi="Cambria Math"/>
                <w:i/>
                <w:color w:val="auto"/>
              </w:rPr>
            </m:ctrlPr>
          </m:sub>
        </m:sSub>
      </m:oMath>
      <w:r>
        <w:rPr>
          <w:rFonts w:hint="eastAsia" w:ascii="Times New Roman" w:hAnsi="Times New Roman" w:eastAsia="宋体"/>
          <w:color w:val="auto"/>
          <w:szCs w:val="21"/>
        </w:rPr>
        <w:t>。</w:t>
      </w:r>
    </w:p>
    <w:p w14:paraId="786AFFD8">
      <w:pPr>
        <w:rPr>
          <w:rFonts w:ascii="Times New Roman" w:hAnsi="Times New Roman" w:eastAsia="宋体"/>
          <w:color w:val="auto"/>
          <w:szCs w:val="21"/>
        </w:rPr>
      </w:pPr>
      <w:r>
        <w:rPr>
          <w:rFonts w:ascii="Times New Roman" w:hAnsi="Times New Roman" w:eastAsia="黑体" w:cs="Times New Roman"/>
          <w:color w:val="auto"/>
          <w:szCs w:val="21"/>
        </w:rPr>
        <w:object>
          <v:shape id="_x0000_i1148" o:spt="75" type="#_x0000_t75" style="height:131.25pt;width:415.65pt;" o:ole="t" filled="f" o:preferrelative="t" stroked="f" coordsize="21600,21600">
            <v:path/>
            <v:fill on="f" focussize="0,0"/>
            <v:stroke on="f" joinstyle="miter"/>
            <v:imagedata r:id="rId258" o:title=""/>
            <o:lock v:ext="edit" aspectratio="f"/>
            <w10:wrap type="none"/>
            <w10:anchorlock/>
          </v:shape>
          <o:OLEObject Type="Embed" ProgID="Visio.Drawing.15" ShapeID="_x0000_i1148" DrawAspect="Content" ObjectID="_1468075846" r:id="rId257">
            <o:LockedField>false</o:LockedField>
          </o:OLEObject>
        </w:object>
      </w:r>
    </w:p>
    <w:p w14:paraId="3BE6008C">
      <w:pPr>
        <w:spacing w:line="360" w:lineRule="auto"/>
        <w:jc w:val="center"/>
        <w:rPr>
          <w:rFonts w:hint="eastAsia" w:eastAsia="黑体" w:asciiTheme="majorHAnsi" w:hAnsiTheme="majorHAnsi" w:cstheme="majorBidi"/>
          <w:color w:val="auto"/>
          <w:sz w:val="18"/>
          <w:szCs w:val="20"/>
        </w:rPr>
      </w:pPr>
      <w:r>
        <w:rPr>
          <w:rFonts w:hint="eastAsia" w:eastAsia="黑体" w:asciiTheme="majorHAnsi" w:hAnsiTheme="majorHAnsi" w:cstheme="majorBidi"/>
          <w:color w:val="auto"/>
          <w:sz w:val="18"/>
          <w:szCs w:val="20"/>
        </w:rPr>
        <w:t>图</w:t>
      </w:r>
      <w:r>
        <w:rPr>
          <w:rFonts w:eastAsia="黑体" w:asciiTheme="majorHAnsi" w:hAnsiTheme="majorHAnsi" w:cstheme="majorBidi"/>
          <w:color w:val="auto"/>
          <w:sz w:val="18"/>
          <w:szCs w:val="20"/>
        </w:rPr>
        <w:t>2</w:t>
      </w:r>
      <w:r>
        <w:rPr>
          <w:rFonts w:hint="eastAsia" w:eastAsia="黑体" w:asciiTheme="majorHAnsi" w:hAnsiTheme="majorHAnsi" w:cstheme="majorBidi"/>
          <w:color w:val="auto"/>
          <w:sz w:val="18"/>
          <w:szCs w:val="20"/>
        </w:rPr>
        <w:t xml:space="preserve"> 倒T形盖板结构正常使用极限状态中和轴和曲率计算图示</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52"/>
        <w:gridCol w:w="7070"/>
      </w:tblGrid>
      <w:tr w14:paraId="7244F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 w:type="pct"/>
          </w:tcPr>
          <w:p w14:paraId="01AFD71A">
            <w:pPr>
              <w:wordWrap w:val="0"/>
              <w:spacing w:line="360" w:lineRule="auto"/>
              <w:jc w:val="right"/>
              <w:rPr>
                <w:rFonts w:ascii="Times New Roman" w:hAnsi="Times New Roman" w:eastAsia="宋体"/>
                <w:color w:val="auto"/>
                <w:szCs w:val="21"/>
              </w:rPr>
            </w:pPr>
            <w:r>
              <w:rPr>
                <w:rFonts w:hint="eastAsia" w:ascii="Times New Roman" w:hAnsi="Times New Roman" w:eastAsia="宋体"/>
                <w:color w:val="auto"/>
                <w:szCs w:val="21"/>
              </w:rPr>
              <w:t xml:space="preserve">图中： </w:t>
            </w:r>
            <w:r>
              <w:rPr>
                <w:rFonts w:ascii="Times New Roman" w:hAnsi="Times New Roman" w:eastAsia="宋体"/>
                <w:color w:val="auto"/>
                <w:szCs w:val="21"/>
              </w:rPr>
              <w:t xml:space="preserve"> </w:t>
            </w:r>
            <w:r>
              <w:rPr>
                <w:rFonts w:hint="eastAsia" w:ascii="Times New Roman" w:hAnsi="Times New Roman" w:eastAsia="宋体"/>
                <w:color w:val="auto"/>
                <w:szCs w:val="21"/>
              </w:rPr>
              <w:t xml:space="preserve"> </w:t>
            </w:r>
            <w:r>
              <w:rPr>
                <w:rFonts w:ascii="Times New Roman" w:hAnsi="Times New Roman" w:eastAsia="宋体"/>
                <w:color w:val="auto"/>
                <w:szCs w:val="21"/>
              </w:rPr>
              <w:t xml:space="preserve"> </w:t>
            </w:r>
            <m:oMath>
              <m:r>
                <m:rPr/>
                <w:rPr>
                  <w:rFonts w:ascii="Cambria Math" w:hAnsi="Cambria Math"/>
                  <w:color w:val="auto"/>
                </w:rPr>
                <m:t>ℎ</m:t>
              </m:r>
            </m:oMath>
          </w:p>
        </w:tc>
        <w:tc>
          <w:tcPr>
            <w:tcW w:w="4148" w:type="pct"/>
          </w:tcPr>
          <w:p w14:paraId="51DBA48F">
            <w:pPr>
              <w:spacing w:line="360" w:lineRule="auto"/>
              <w:rPr>
                <w:rFonts w:ascii="Times New Roman" w:hAnsi="Times New Roman" w:eastAsia="宋体"/>
                <w:color w:val="auto"/>
                <w:szCs w:val="21"/>
              </w:rPr>
            </w:pPr>
            <w:r>
              <w:rPr>
                <w:rFonts w:hint="eastAsia" w:ascii="Times New Roman" w:hAnsi="Times New Roman" w:eastAsia="宋体"/>
                <w:color w:val="auto"/>
                <w:szCs w:val="21"/>
              </w:rPr>
              <w:t>——截面高度（mm）；</w:t>
            </w:r>
          </w:p>
        </w:tc>
      </w:tr>
      <w:tr w14:paraId="5D3D8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 w:type="pct"/>
          </w:tcPr>
          <w:p w14:paraId="59DB5896">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a</m:t>
                    </m:r>
                    <m:ctrlPr>
                      <w:rPr>
                        <w:rFonts w:ascii="Cambria Math" w:hAnsi="Cambria Math"/>
                        <w:color w:val="auto"/>
                      </w:rPr>
                    </m:ctrlPr>
                  </m:e>
                  <m:sub>
                    <m:r>
                      <m:rPr/>
                      <w:rPr>
                        <w:rFonts w:ascii="Cambria Math" w:hAnsi="Cambria Math"/>
                        <w:color w:val="auto"/>
                      </w:rPr>
                      <m:t>s1</m:t>
                    </m:r>
                    <m:ctrlPr>
                      <w:rPr>
                        <w:rFonts w:ascii="Cambria Math" w:hAnsi="Cambria Math"/>
                        <w:color w:val="auto"/>
                      </w:rPr>
                    </m:ctrlPr>
                  </m:sub>
                </m:sSub>
                <m:r>
                  <m:rPr>
                    <m:sty m:val="p"/>
                  </m:rPr>
                  <w:rPr>
                    <w:rFonts w:hint="eastAsia" w:ascii="Cambria Math" w:hAnsi="Cambria Math"/>
                    <w:color w:val="auto"/>
                  </w:rPr>
                  <m:t>、</m:t>
                </m:r>
                <m:sSub>
                  <m:sSubPr>
                    <m:ctrlPr>
                      <w:rPr>
                        <w:rFonts w:ascii="Cambria Math" w:hAnsi="Cambria Math"/>
                        <w:color w:val="auto"/>
                      </w:rPr>
                    </m:ctrlPr>
                  </m:sSubPr>
                  <m:e>
                    <m:r>
                      <m:rPr/>
                      <w:rPr>
                        <w:rFonts w:ascii="Cambria Math" w:hAnsi="Cambria Math"/>
                        <w:color w:val="auto"/>
                      </w:rPr>
                      <m:t>a</m:t>
                    </m:r>
                    <m:ctrlPr>
                      <w:rPr>
                        <w:rFonts w:ascii="Cambria Math" w:hAnsi="Cambria Math"/>
                        <w:color w:val="auto"/>
                      </w:rPr>
                    </m:ctrlPr>
                  </m:e>
                  <m:sub>
                    <m:r>
                      <m:rPr/>
                      <w:rPr>
                        <w:rFonts w:ascii="Cambria Math" w:hAnsi="Cambria Math"/>
                        <w:color w:val="auto"/>
                      </w:rPr>
                      <m:t>s2</m:t>
                    </m:r>
                    <m:ctrlPr>
                      <w:rPr>
                        <w:rFonts w:ascii="Cambria Math" w:hAnsi="Cambria Math"/>
                        <w:color w:val="auto"/>
                      </w:rPr>
                    </m:ctrlPr>
                  </m:sub>
                </m:sSub>
              </m:oMath>
            </m:oMathPara>
          </w:p>
        </w:tc>
        <w:tc>
          <w:tcPr>
            <w:tcW w:w="4148" w:type="pct"/>
          </w:tcPr>
          <w:p w14:paraId="4EE25E04">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——分别为受拉区NSC和UHPC的纵向受力钢筋到受拉边缘的高度（mm）；</w:t>
            </w:r>
          </w:p>
        </w:tc>
      </w:tr>
      <w:tr w14:paraId="5D315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 w:type="pct"/>
          </w:tcPr>
          <w:p w14:paraId="1D31DAD0">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x</m:t>
                    </m:r>
                    <m:ctrlPr>
                      <w:rPr>
                        <w:rFonts w:ascii="Cambria Math" w:hAnsi="Cambria Math"/>
                        <w:color w:val="auto"/>
                      </w:rPr>
                    </m:ctrlPr>
                  </m:e>
                  <m:sub>
                    <m:r>
                      <m:rPr/>
                      <w:rPr>
                        <w:rFonts w:ascii="Cambria Math" w:hAnsi="Cambria Math"/>
                        <w:color w:val="auto"/>
                      </w:rPr>
                      <m:t>0</m:t>
                    </m:r>
                    <m:ctrlPr>
                      <w:rPr>
                        <w:rFonts w:ascii="Cambria Math" w:hAnsi="Cambria Math"/>
                        <w:color w:val="auto"/>
                      </w:rPr>
                    </m:ctrlPr>
                  </m:sub>
                </m:sSub>
              </m:oMath>
            </m:oMathPara>
          </w:p>
        </w:tc>
        <w:tc>
          <w:tcPr>
            <w:tcW w:w="4148" w:type="pct"/>
          </w:tcPr>
          <w:p w14:paraId="1CA4111E">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——截面受压区的高度或中和轴到受压边缘的距离（mm）；</w:t>
            </w:r>
          </w:p>
        </w:tc>
      </w:tr>
      <w:tr w14:paraId="22021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 w:type="pct"/>
          </w:tcPr>
          <w:p w14:paraId="49F6B99E">
            <w:pPr>
              <w:spacing w:line="360" w:lineRule="auto"/>
              <w:jc w:val="right"/>
              <w:rPr>
                <w:rFonts w:ascii="Times New Roman" w:hAnsi="Times New Roman" w:eastAsia="宋体" w:cs="Times New Roman"/>
                <w:color w:val="auto"/>
                <w:szCs w:val="21"/>
              </w:rPr>
            </w:pPr>
            <m:oMathPara>
              <m:oMathParaPr>
                <m:jc m:val="right"/>
              </m:oMathParaPr>
              <m:oMath>
                <m:sSup>
                  <m:sSupPr>
                    <m:ctrlPr>
                      <w:rPr>
                        <w:rFonts w:ascii="Cambria Math" w:hAnsi="Cambria Math"/>
                        <w:i/>
                        <w:color w:val="auto"/>
                      </w:rPr>
                    </m:ctrlPr>
                  </m:sSupPr>
                  <m:e>
                    <m:r>
                      <m:rPr/>
                      <w:rPr>
                        <w:rFonts w:ascii="Cambria Math" w:hAnsi="Cambria Math"/>
                        <w:color w:val="auto"/>
                      </w:rPr>
                      <m:t>x</m:t>
                    </m:r>
                    <m:ctrlPr>
                      <w:rPr>
                        <w:rFonts w:ascii="Cambria Math" w:hAnsi="Cambria Math"/>
                        <w:i/>
                        <w:color w:val="auto"/>
                      </w:rPr>
                    </m:ctrlPr>
                  </m:e>
                  <m:sup>
                    <m:r>
                      <m:rPr/>
                      <w:rPr>
                        <w:rFonts w:ascii="Cambria Math" w:hAnsi="Cambria Math"/>
                        <w:color w:val="auto"/>
                      </w:rPr>
                      <m:t>'</m:t>
                    </m:r>
                    <m:ctrlPr>
                      <w:rPr>
                        <w:rFonts w:ascii="Cambria Math" w:hAnsi="Cambria Math"/>
                        <w:i/>
                        <w:color w:val="auto"/>
                      </w:rPr>
                    </m:ctrlPr>
                  </m:sup>
                </m:sSup>
              </m:oMath>
            </m:oMathPara>
          </w:p>
        </w:tc>
        <w:tc>
          <w:tcPr>
            <w:tcW w:w="4148" w:type="pct"/>
          </w:tcPr>
          <w:p w14:paraId="193BB100">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——受拉未开裂高度（mm，超高性能混凝土拉应力在</w:t>
            </w:r>
            <m:oMath>
              <m:r>
                <m:rPr>
                  <m:sty m:val="p"/>
                </m:rPr>
                <w:rPr>
                  <w:rFonts w:ascii="Cambria Math" w:hAnsi="Cambria Math"/>
                  <w:color w:val="auto"/>
                </w:rPr>
                <m:t>0~</m:t>
              </m:r>
              <m:f>
                <m:fPr>
                  <m:type m:val="lin"/>
                  <m:ctrlPr>
                    <w:rPr>
                      <w:rFonts w:ascii="Cambria Math" w:hAnsi="Cambria Math"/>
                      <w:color w:val="auto"/>
                    </w:rPr>
                  </m:ctrlPr>
                </m:fPr>
                <m:num>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tk</m:t>
                      </m:r>
                      <m:ctrlPr>
                        <w:rPr>
                          <w:rFonts w:ascii="Cambria Math" w:hAnsi="Cambria Math"/>
                          <w:i/>
                          <w:color w:val="auto"/>
                        </w:rPr>
                      </m:ctrlPr>
                    </m:sub>
                  </m:sSub>
                  <m:ctrlPr>
                    <w:rPr>
                      <w:rFonts w:ascii="Cambria Math" w:hAnsi="Cambria Math"/>
                      <w:color w:val="auto"/>
                    </w:rPr>
                  </m:ctrlPr>
                </m:num>
                <m:den>
                  <m:r>
                    <m:rPr/>
                    <w:rPr>
                      <w:rFonts w:ascii="Cambria Math" w:hAnsi="Cambria Math"/>
                      <w:color w:val="auto"/>
                    </w:rPr>
                    <m:t>K</m:t>
                  </m:r>
                  <m:ctrlPr>
                    <w:rPr>
                      <w:rFonts w:ascii="Cambria Math" w:hAnsi="Cambria Math"/>
                      <w:color w:val="auto"/>
                    </w:rPr>
                  </m:ctrlPr>
                </m:den>
              </m:f>
            </m:oMath>
            <w:r>
              <w:rPr>
                <w:rFonts w:hint="eastAsia" w:ascii="Times New Roman" w:hAnsi="Times New Roman" w:eastAsia="宋体"/>
                <w:color w:val="auto"/>
                <w:szCs w:val="21"/>
              </w:rPr>
              <w:t>之间）；</w:t>
            </w:r>
          </w:p>
        </w:tc>
      </w:tr>
      <w:tr w14:paraId="3EB75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 w:type="pct"/>
          </w:tcPr>
          <w:p w14:paraId="44F5562B">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ε</m:t>
                    </m:r>
                    <m:ctrlPr>
                      <w:rPr>
                        <w:rFonts w:ascii="Cambria Math" w:hAnsi="Cambria Math"/>
                        <w:color w:val="auto"/>
                      </w:rPr>
                    </m:ctrlPr>
                  </m:e>
                  <m:sub>
                    <m:r>
                      <m:rPr/>
                      <w:rPr>
                        <w:rFonts w:ascii="Cambria Math" w:hAnsi="Cambria Math"/>
                        <w:color w:val="auto"/>
                      </w:rPr>
                      <m:t>c</m:t>
                    </m:r>
                    <m:ctrlPr>
                      <w:rPr>
                        <w:rFonts w:ascii="Cambria Math" w:hAnsi="Cambria Math"/>
                        <w:color w:val="auto"/>
                      </w:rPr>
                    </m:ctrlPr>
                  </m:sub>
                </m:sSub>
                <m:r>
                  <m:rPr>
                    <m:sty m:val="p"/>
                  </m:rPr>
                  <w:rPr>
                    <w:rFonts w:hint="eastAsia" w:ascii="Cambria Math" w:hAnsi="Cambria Math"/>
                    <w:color w:val="auto"/>
                  </w:rPr>
                  <m:t>、</m:t>
                </m:r>
                <m:sSub>
                  <m:sSubPr>
                    <m:ctrlPr>
                      <w:rPr>
                        <w:rFonts w:ascii="Cambria Math" w:hAnsi="Cambria Math"/>
                        <w:color w:val="auto"/>
                      </w:rPr>
                    </m:ctrlPr>
                  </m:sSubPr>
                  <m:e>
                    <m:r>
                      <m:rPr/>
                      <w:rPr>
                        <w:rFonts w:ascii="Cambria Math" w:hAnsi="Cambria Math"/>
                        <w:color w:val="auto"/>
                      </w:rPr>
                      <m:t>σ</m:t>
                    </m:r>
                    <m:ctrlPr>
                      <w:rPr>
                        <w:rFonts w:ascii="Cambria Math" w:hAnsi="Cambria Math"/>
                        <w:color w:val="auto"/>
                      </w:rPr>
                    </m:ctrlPr>
                  </m:e>
                  <m:sub>
                    <m:r>
                      <m:rPr/>
                      <w:rPr>
                        <w:rFonts w:ascii="Cambria Math" w:hAnsi="Cambria Math"/>
                        <w:color w:val="auto"/>
                      </w:rPr>
                      <m:t>c</m:t>
                    </m:r>
                    <m:ctrlPr>
                      <w:rPr>
                        <w:rFonts w:ascii="Cambria Math" w:hAnsi="Cambria Math"/>
                        <w:color w:val="auto"/>
                      </w:rPr>
                    </m:ctrlPr>
                  </m:sub>
                </m:sSub>
              </m:oMath>
            </m:oMathPara>
          </w:p>
        </w:tc>
        <w:tc>
          <w:tcPr>
            <w:tcW w:w="4148" w:type="pct"/>
          </w:tcPr>
          <w:p w14:paraId="12F79261">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——受压边缘普通混凝土的应变和应力（N/mm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w:t>
            </w:r>
          </w:p>
        </w:tc>
      </w:tr>
      <w:tr w14:paraId="433E1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 w:type="pct"/>
          </w:tcPr>
          <w:p w14:paraId="1A70D184">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ε</m:t>
                    </m:r>
                    <m:ctrlPr>
                      <w:rPr>
                        <w:rFonts w:ascii="Cambria Math" w:hAnsi="Cambria Math"/>
                        <w:color w:val="auto"/>
                      </w:rPr>
                    </m:ctrlPr>
                  </m:e>
                  <m:sub>
                    <m:r>
                      <m:rPr/>
                      <w:rPr>
                        <w:rFonts w:ascii="Cambria Math" w:hAnsi="Cambria Math"/>
                        <w:color w:val="auto"/>
                      </w:rPr>
                      <m:t>sc</m:t>
                    </m:r>
                    <m:ctrlPr>
                      <w:rPr>
                        <w:rFonts w:ascii="Cambria Math" w:hAnsi="Cambria Math"/>
                        <w:color w:val="auto"/>
                      </w:rPr>
                    </m:ctrlPr>
                  </m:sub>
                </m:sSub>
                <m:r>
                  <m:rPr>
                    <m:sty m:val="p"/>
                  </m:rPr>
                  <w:rPr>
                    <w:rFonts w:hint="eastAsia" w:ascii="Cambria Math" w:hAnsi="Cambria Math"/>
                    <w:color w:val="auto"/>
                  </w:rPr>
                  <m:t>、</m:t>
                </m:r>
                <m:sSub>
                  <m:sSubPr>
                    <m:ctrlPr>
                      <w:rPr>
                        <w:rFonts w:ascii="Cambria Math" w:hAnsi="Cambria Math"/>
                        <w:color w:val="auto"/>
                      </w:rPr>
                    </m:ctrlPr>
                  </m:sSubPr>
                  <m:e>
                    <m:r>
                      <m:rPr/>
                      <w:rPr>
                        <w:rFonts w:ascii="Cambria Math" w:hAnsi="Cambria Math"/>
                        <w:color w:val="auto"/>
                      </w:rPr>
                      <m:t>σ</m:t>
                    </m:r>
                    <m:ctrlPr>
                      <w:rPr>
                        <w:rFonts w:ascii="Cambria Math" w:hAnsi="Cambria Math"/>
                        <w:color w:val="auto"/>
                      </w:rPr>
                    </m:ctrlPr>
                  </m:e>
                  <m:sub>
                    <m:r>
                      <m:rPr/>
                      <w:rPr>
                        <w:rFonts w:ascii="Cambria Math" w:hAnsi="Cambria Math"/>
                        <w:color w:val="auto"/>
                      </w:rPr>
                      <m:t>sc</m:t>
                    </m:r>
                    <m:ctrlPr>
                      <w:rPr>
                        <w:rFonts w:ascii="Cambria Math" w:hAnsi="Cambria Math"/>
                        <w:color w:val="auto"/>
                      </w:rPr>
                    </m:ctrlPr>
                  </m:sub>
                </m:sSub>
              </m:oMath>
            </m:oMathPara>
          </w:p>
        </w:tc>
        <w:tc>
          <w:tcPr>
            <w:tcW w:w="4148" w:type="pct"/>
          </w:tcPr>
          <w:p w14:paraId="75226308">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——受拉区普通混凝土层钢筋的应变和应力（N/mm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w:t>
            </w:r>
          </w:p>
        </w:tc>
      </w:tr>
      <w:tr w14:paraId="2D801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 w:type="pct"/>
          </w:tcPr>
          <w:p w14:paraId="4135F943">
            <w:pPr>
              <w:spacing w:line="360" w:lineRule="auto"/>
              <w:jc w:val="right"/>
              <w:rPr>
                <w:rFonts w:ascii="Times New Roman" w:hAnsi="Times New Roman" w:eastAsia="宋体"/>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ε</m:t>
                    </m:r>
                    <m:ctrlPr>
                      <w:rPr>
                        <w:rFonts w:ascii="Cambria Math" w:hAnsi="Cambria Math"/>
                        <w:color w:val="auto"/>
                      </w:rPr>
                    </m:ctrlPr>
                  </m:e>
                  <m:sub>
                    <m:r>
                      <m:rPr/>
                      <w:rPr>
                        <w:rFonts w:ascii="Cambria Math" w:hAnsi="Cambria Math"/>
                        <w:color w:val="auto"/>
                      </w:rPr>
                      <m:t>su</m:t>
                    </m:r>
                    <m:ctrlPr>
                      <w:rPr>
                        <w:rFonts w:ascii="Cambria Math" w:hAnsi="Cambria Math"/>
                        <w:color w:val="auto"/>
                      </w:rPr>
                    </m:ctrlPr>
                  </m:sub>
                </m:sSub>
                <m:r>
                  <m:rPr>
                    <m:sty m:val="p"/>
                  </m:rPr>
                  <w:rPr>
                    <w:rFonts w:hint="eastAsia" w:ascii="Cambria Math" w:hAnsi="Cambria Math"/>
                    <w:color w:val="auto"/>
                  </w:rPr>
                  <m:t>、</m:t>
                </m:r>
                <m:sSub>
                  <m:sSubPr>
                    <m:ctrlPr>
                      <w:rPr>
                        <w:rFonts w:ascii="Cambria Math" w:hAnsi="Cambria Math"/>
                        <w:color w:val="auto"/>
                      </w:rPr>
                    </m:ctrlPr>
                  </m:sSubPr>
                  <m:e>
                    <m:r>
                      <m:rPr/>
                      <w:rPr>
                        <w:rFonts w:ascii="Cambria Math" w:hAnsi="Cambria Math"/>
                        <w:color w:val="auto"/>
                      </w:rPr>
                      <m:t>σ</m:t>
                    </m:r>
                    <m:ctrlPr>
                      <w:rPr>
                        <w:rFonts w:ascii="Cambria Math" w:hAnsi="Cambria Math"/>
                        <w:color w:val="auto"/>
                      </w:rPr>
                    </m:ctrlPr>
                  </m:e>
                  <m:sub>
                    <m:r>
                      <m:rPr/>
                      <w:rPr>
                        <w:rFonts w:ascii="Cambria Math" w:hAnsi="Cambria Math"/>
                        <w:color w:val="auto"/>
                      </w:rPr>
                      <m:t>su</m:t>
                    </m:r>
                    <m:ctrlPr>
                      <w:rPr>
                        <w:rFonts w:ascii="Cambria Math" w:hAnsi="Cambria Math"/>
                        <w:color w:val="auto"/>
                      </w:rPr>
                    </m:ctrlPr>
                  </m:sub>
                </m:sSub>
              </m:oMath>
            </m:oMathPara>
          </w:p>
        </w:tc>
        <w:tc>
          <w:tcPr>
            <w:tcW w:w="4148" w:type="pct"/>
          </w:tcPr>
          <w:p w14:paraId="4EA866E4">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——受拉区超高性能混凝土层钢筋的应变和应力（N/mm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w:t>
            </w:r>
          </w:p>
        </w:tc>
      </w:tr>
      <w:tr w14:paraId="5D609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 w:type="pct"/>
          </w:tcPr>
          <w:p w14:paraId="258139FC">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f</m:t>
                    </m:r>
                    <m:ctrlPr>
                      <w:rPr>
                        <w:rFonts w:ascii="Cambria Math" w:hAnsi="Cambria Math"/>
                        <w:color w:val="auto"/>
                      </w:rPr>
                    </m:ctrlPr>
                  </m:e>
                  <m:sub>
                    <m:r>
                      <m:rPr/>
                      <w:rPr>
                        <w:rFonts w:ascii="Cambria Math" w:hAnsi="Cambria Math"/>
                        <w:color w:val="auto"/>
                      </w:rPr>
                      <m:t>ftk</m:t>
                    </m:r>
                    <m:ctrlPr>
                      <w:rPr>
                        <w:rFonts w:ascii="Cambria Math" w:hAnsi="Cambria Math"/>
                        <w:color w:val="auto"/>
                      </w:rPr>
                    </m:ctrlPr>
                  </m:sub>
                </m:sSub>
              </m:oMath>
            </m:oMathPara>
          </w:p>
        </w:tc>
        <w:tc>
          <w:tcPr>
            <w:tcW w:w="4148" w:type="pct"/>
          </w:tcPr>
          <w:p w14:paraId="699A3E9A">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——超高性能混凝土抗拉强度标准值（N/mm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w:t>
            </w:r>
          </w:p>
        </w:tc>
      </w:tr>
      <w:tr w14:paraId="5E794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 w:type="pct"/>
          </w:tcPr>
          <w:p w14:paraId="5D122078">
            <w:pPr>
              <w:spacing w:line="360" w:lineRule="auto"/>
              <w:jc w:val="right"/>
              <w:rPr>
                <w:rFonts w:ascii="Times New Roman" w:hAnsi="Times New Roman" w:eastAsia="宋体" w:cs="Times New Roman"/>
                <w:i/>
                <w:color w:val="auto"/>
                <w:szCs w:val="21"/>
              </w:rPr>
            </w:pPr>
            <m:oMathPara>
              <m:oMathParaPr>
                <m:jc m:val="right"/>
              </m:oMathParaPr>
              <m:oMath>
                <m:r>
                  <m:rPr/>
                  <w:rPr>
                    <w:rFonts w:ascii="Cambria Math" w:hAnsi="Cambria Math"/>
                    <w:color w:val="auto"/>
                  </w:rPr>
                  <m:t>K</m:t>
                </m:r>
              </m:oMath>
            </m:oMathPara>
          </w:p>
        </w:tc>
        <w:tc>
          <w:tcPr>
            <w:tcW w:w="4148" w:type="pct"/>
          </w:tcPr>
          <w:p w14:paraId="1B747A02">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——超高性能混凝土纤维取向系数；</w:t>
            </w:r>
          </w:p>
        </w:tc>
      </w:tr>
      <w:tr w14:paraId="475B2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 w:type="pct"/>
          </w:tcPr>
          <w:p w14:paraId="6E8FEF5B">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C</m:t>
                    </m:r>
                    <m:ctrlPr>
                      <w:rPr>
                        <w:rFonts w:ascii="Cambria Math" w:hAnsi="Cambria Math"/>
                        <w:color w:val="auto"/>
                      </w:rPr>
                    </m:ctrlPr>
                  </m:e>
                  <m:sub>
                    <m:r>
                      <m:rPr/>
                      <w:rPr>
                        <w:rFonts w:ascii="Cambria Math" w:hAnsi="Cambria Math"/>
                        <w:color w:val="auto"/>
                      </w:rPr>
                      <m:t>NSC</m:t>
                    </m:r>
                    <m:ctrlPr>
                      <w:rPr>
                        <w:rFonts w:ascii="Cambria Math" w:hAnsi="Cambria Math"/>
                        <w:color w:val="auto"/>
                      </w:rPr>
                    </m:ctrlPr>
                  </m:sub>
                </m:sSub>
              </m:oMath>
            </m:oMathPara>
          </w:p>
        </w:tc>
        <w:tc>
          <w:tcPr>
            <w:tcW w:w="4148" w:type="pct"/>
          </w:tcPr>
          <w:p w14:paraId="22DE5B24">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——受压区超高性能混凝土压力合力（N）；</w:t>
            </w:r>
          </w:p>
        </w:tc>
      </w:tr>
      <w:tr w14:paraId="6F439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 w:type="pct"/>
          </w:tcPr>
          <w:p w14:paraId="0F3D01EF">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T</m:t>
                    </m:r>
                    <m:ctrlPr>
                      <w:rPr>
                        <w:rFonts w:ascii="Cambria Math" w:hAnsi="Cambria Math"/>
                        <w:color w:val="auto"/>
                      </w:rPr>
                    </m:ctrlPr>
                  </m:e>
                  <m:sub>
                    <m:r>
                      <m:rPr/>
                      <w:rPr>
                        <w:rFonts w:ascii="Cambria Math" w:hAnsi="Cambria Math"/>
                        <w:color w:val="auto"/>
                      </w:rPr>
                      <m:t>UHPC1</m:t>
                    </m:r>
                    <m:ctrlPr>
                      <w:rPr>
                        <w:rFonts w:ascii="Cambria Math" w:hAnsi="Cambria Math"/>
                        <w:color w:val="auto"/>
                      </w:rPr>
                    </m:ctrlPr>
                  </m:sub>
                </m:sSub>
              </m:oMath>
            </m:oMathPara>
          </w:p>
        </w:tc>
        <w:tc>
          <w:tcPr>
            <w:tcW w:w="4148" w:type="pct"/>
          </w:tcPr>
          <w:p w14:paraId="327FE366">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——受拉区超高性能混凝土受拉弹性区拉力合力（N）；</w:t>
            </w:r>
          </w:p>
        </w:tc>
      </w:tr>
      <w:tr w14:paraId="101BA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 w:type="pct"/>
          </w:tcPr>
          <w:p w14:paraId="0EB8E046">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T</m:t>
                    </m:r>
                    <m:ctrlPr>
                      <w:rPr>
                        <w:rFonts w:ascii="Cambria Math" w:hAnsi="Cambria Math"/>
                        <w:color w:val="auto"/>
                      </w:rPr>
                    </m:ctrlPr>
                  </m:e>
                  <m:sub>
                    <m:r>
                      <m:rPr/>
                      <w:rPr>
                        <w:rFonts w:ascii="Cambria Math" w:hAnsi="Cambria Math"/>
                        <w:color w:val="auto"/>
                      </w:rPr>
                      <m:t>UHPC2</m:t>
                    </m:r>
                    <m:ctrlPr>
                      <w:rPr>
                        <w:rFonts w:ascii="Cambria Math" w:hAnsi="Cambria Math"/>
                        <w:color w:val="auto"/>
                      </w:rPr>
                    </m:ctrlPr>
                  </m:sub>
                </m:sSub>
              </m:oMath>
            </m:oMathPara>
          </w:p>
        </w:tc>
        <w:tc>
          <w:tcPr>
            <w:tcW w:w="4148" w:type="pct"/>
          </w:tcPr>
          <w:p w14:paraId="65808FDB">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——受拉区超高性能混凝土受拉塑性区拉力合力（N）；</w:t>
            </w:r>
          </w:p>
        </w:tc>
      </w:tr>
      <w:tr w14:paraId="2CCC2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 w:type="pct"/>
          </w:tcPr>
          <w:p w14:paraId="0FFFD090">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T</m:t>
                    </m:r>
                    <m:ctrlPr>
                      <w:rPr>
                        <w:rFonts w:ascii="Cambria Math" w:hAnsi="Cambria Math"/>
                        <w:color w:val="auto"/>
                      </w:rPr>
                    </m:ctrlPr>
                  </m:e>
                  <m:sub>
                    <m:r>
                      <m:rPr/>
                      <w:rPr>
                        <w:rFonts w:ascii="Cambria Math" w:hAnsi="Cambria Math"/>
                        <w:color w:val="auto"/>
                      </w:rPr>
                      <m:t>sc</m:t>
                    </m:r>
                    <m:ctrlPr>
                      <w:rPr>
                        <w:rFonts w:ascii="Cambria Math" w:hAnsi="Cambria Math"/>
                        <w:color w:val="auto"/>
                      </w:rPr>
                    </m:ctrlPr>
                  </m:sub>
                </m:sSub>
              </m:oMath>
            </m:oMathPara>
          </w:p>
        </w:tc>
        <w:tc>
          <w:tcPr>
            <w:tcW w:w="4148" w:type="pct"/>
          </w:tcPr>
          <w:p w14:paraId="63F0ED4A">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——受拉区普通混凝土层钢筋拉力（N/mm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w:t>
            </w:r>
          </w:p>
        </w:tc>
      </w:tr>
      <w:tr w14:paraId="5B583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 w:type="pct"/>
          </w:tcPr>
          <w:p w14:paraId="2FE4D319">
            <w:pPr>
              <w:spacing w:line="360" w:lineRule="auto"/>
              <w:jc w:val="right"/>
              <w:rPr>
                <w:rFonts w:ascii="Times New Roman" w:hAnsi="Times New Roman" w:eastAsia="宋体" w:cs="Times New Roman"/>
                <w:color w:val="auto"/>
                <w:szCs w:val="21"/>
              </w:rPr>
            </w:pPr>
            <m:oMathPara>
              <m:oMathParaPr>
                <m:jc m:val="right"/>
              </m:oMathParaPr>
              <m:oMath>
                <m:sSub>
                  <m:sSubPr>
                    <m:ctrlPr>
                      <w:rPr>
                        <w:rFonts w:ascii="Cambria Math" w:hAnsi="Cambria Math"/>
                        <w:color w:val="auto"/>
                      </w:rPr>
                    </m:ctrlPr>
                  </m:sSubPr>
                  <m:e>
                    <m:r>
                      <m:rPr/>
                      <w:rPr>
                        <w:rFonts w:ascii="Cambria Math" w:hAnsi="Cambria Math"/>
                        <w:color w:val="auto"/>
                      </w:rPr>
                      <m:t>T</m:t>
                    </m:r>
                    <m:ctrlPr>
                      <w:rPr>
                        <w:rFonts w:ascii="Cambria Math" w:hAnsi="Cambria Math"/>
                        <w:color w:val="auto"/>
                      </w:rPr>
                    </m:ctrlPr>
                  </m:e>
                  <m:sub>
                    <m:r>
                      <m:rPr/>
                      <w:rPr>
                        <w:rFonts w:ascii="Cambria Math" w:hAnsi="Cambria Math"/>
                        <w:color w:val="auto"/>
                      </w:rPr>
                      <m:t>su</m:t>
                    </m:r>
                    <m:ctrlPr>
                      <w:rPr>
                        <w:rFonts w:ascii="Cambria Math" w:hAnsi="Cambria Math"/>
                        <w:color w:val="auto"/>
                      </w:rPr>
                    </m:ctrlPr>
                  </m:sub>
                </m:sSub>
              </m:oMath>
            </m:oMathPara>
          </w:p>
        </w:tc>
        <w:tc>
          <w:tcPr>
            <w:tcW w:w="4148" w:type="pct"/>
          </w:tcPr>
          <w:p w14:paraId="78832CBC">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——受拉区超高性能混凝土层钢筋拉力（N/mm</w:t>
            </w:r>
            <w:r>
              <w:rPr>
                <w:rFonts w:hint="eastAsia" w:ascii="Times New Roman" w:hAnsi="Times New Roman" w:eastAsia="宋体"/>
                <w:color w:val="auto"/>
                <w:szCs w:val="21"/>
                <w:vertAlign w:val="superscript"/>
              </w:rPr>
              <w:t>2</w:t>
            </w:r>
            <w:r>
              <w:rPr>
                <w:rFonts w:hint="eastAsia" w:ascii="Times New Roman" w:hAnsi="Times New Roman" w:eastAsia="宋体"/>
                <w:color w:val="auto"/>
                <w:szCs w:val="21"/>
              </w:rPr>
              <w:t>）；</w:t>
            </w:r>
          </w:p>
        </w:tc>
      </w:tr>
      <w:tr w14:paraId="2168E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 w:type="pct"/>
          </w:tcPr>
          <w:p w14:paraId="61BD154F">
            <w:pPr>
              <w:spacing w:line="360" w:lineRule="auto"/>
              <w:jc w:val="right"/>
              <w:rPr>
                <w:rFonts w:ascii="Times New Roman" w:hAnsi="Times New Roman" w:eastAsia="宋体" w:cs="Times New Roman"/>
                <w:color w:val="auto"/>
                <w:szCs w:val="21"/>
              </w:rPr>
            </w:pPr>
            <m:oMathPara>
              <m:oMathParaPr>
                <m:jc m:val="right"/>
              </m:oMathParaPr>
              <m:oMath>
                <m:r>
                  <m:rPr>
                    <m:sty m:val="p"/>
                  </m:rPr>
                  <w:rPr>
                    <w:rFonts w:ascii="Cambria Math" w:hAnsi="Cambria Math"/>
                    <w:color w:val="auto"/>
                  </w:rPr>
                  <m:t>φ</m:t>
                </m:r>
              </m:oMath>
            </m:oMathPara>
          </w:p>
        </w:tc>
        <w:tc>
          <w:tcPr>
            <w:tcW w:w="4148" w:type="pct"/>
          </w:tcPr>
          <w:p w14:paraId="2DE7670B">
            <w:pPr>
              <w:spacing w:line="360" w:lineRule="auto"/>
              <w:ind w:left="420" w:hanging="420" w:hangingChars="200"/>
              <w:rPr>
                <w:rFonts w:ascii="Times New Roman" w:hAnsi="Times New Roman" w:eastAsia="宋体"/>
                <w:color w:val="auto"/>
                <w:szCs w:val="21"/>
              </w:rPr>
            </w:pPr>
            <w:r>
              <w:rPr>
                <w:rFonts w:hint="eastAsia" w:ascii="Times New Roman" w:hAnsi="Times New Roman" w:eastAsia="宋体"/>
                <w:color w:val="auto"/>
                <w:szCs w:val="21"/>
              </w:rPr>
              <w:t>——截面曲率。</w:t>
            </w:r>
          </w:p>
        </w:tc>
      </w:tr>
    </w:tbl>
    <w:p w14:paraId="508D2AD8">
      <w:pPr>
        <w:spacing w:before="156" w:beforeLines="50" w:after="156" w:afterLines="50" w:line="480" w:lineRule="auto"/>
        <w:jc w:val="center"/>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6.3</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挠度验算</w:t>
      </w:r>
    </w:p>
    <w:p w14:paraId="52B18D7D">
      <w:p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6</w:t>
      </w:r>
      <w:r>
        <w:rPr>
          <w:rFonts w:ascii="Times New Roman" w:hAnsi="Times New Roman" w:eastAsia="黑体" w:cs="Times New Roman"/>
          <w:b/>
          <w:bCs/>
          <w:color w:val="auto"/>
          <w:szCs w:val="24"/>
        </w:rPr>
        <w:t>.3.1</w:t>
      </w:r>
      <w:r>
        <w:rPr>
          <w:rFonts w:hint="eastAsia" w:ascii="Times New Roman" w:hAnsi="Times New Roman" w:eastAsia="黑体" w:cs="Times New Roman"/>
          <w:b/>
          <w:bCs/>
          <w:color w:val="auto"/>
          <w:szCs w:val="24"/>
        </w:rPr>
        <w:t>~6</w:t>
      </w:r>
      <w:r>
        <w:rPr>
          <w:rFonts w:ascii="Times New Roman" w:hAnsi="Times New Roman" w:eastAsia="黑体" w:cs="Times New Roman"/>
          <w:b/>
          <w:bCs/>
          <w:color w:val="auto"/>
          <w:szCs w:val="24"/>
        </w:rPr>
        <w:t>.3.2</w:t>
      </w:r>
      <w:r>
        <w:rPr>
          <w:rFonts w:hint="eastAsia" w:ascii="Times New Roman" w:hAnsi="Times New Roman" w:eastAsia="宋体"/>
          <w:b/>
          <w:bCs/>
          <w:color w:val="auto"/>
          <w:szCs w:val="21"/>
        </w:rPr>
        <w:t xml:space="preserve"> </w:t>
      </w:r>
      <w:r>
        <w:rPr>
          <w:rFonts w:hint="eastAsia" w:ascii="Times New Roman" w:hAnsi="Times New Roman" w:eastAsia="宋体"/>
          <w:color w:val="auto"/>
          <w:szCs w:val="21"/>
        </w:rPr>
        <w:t xml:space="preserve"> 超高性能混凝土中掺有大量的钢纤维，显著提高了超高性能混凝土的抗拉性能，可有效增强组合式盖板结构的裂后刚度。因此，超高性能混凝土-普通混凝土组合式盖板结构的刚度宜考虑超高性能混凝土拉应力的贡献。</w:t>
      </w:r>
    </w:p>
    <w:p w14:paraId="008DD945">
      <w:pPr>
        <w:pageBreakBefore/>
        <w:numPr>
          <w:ilvl w:val="2"/>
          <w:numId w:val="0"/>
        </w:numPr>
        <w:spacing w:line="480" w:lineRule="auto"/>
        <w:jc w:val="center"/>
        <w:outlineLvl w:val="2"/>
        <w:rPr>
          <w:rFonts w:ascii="Times New Roman" w:hAnsi="Times New Roman" w:eastAsia="宋体"/>
          <w:b/>
          <w:color w:val="auto"/>
          <w:sz w:val="28"/>
          <w:szCs w:val="28"/>
        </w:rPr>
      </w:pPr>
      <w:r>
        <w:rPr>
          <w:rFonts w:hint="eastAsia" w:ascii="Times New Roman" w:hAnsi="Times New Roman" w:eastAsia="宋体"/>
          <w:b/>
          <w:color w:val="auto"/>
          <w:sz w:val="28"/>
          <w:szCs w:val="28"/>
        </w:rPr>
        <w:t>7持久状态和短暂状况构件的应力计算</w:t>
      </w:r>
    </w:p>
    <w:p w14:paraId="5CD4CBE9">
      <w:pPr>
        <w:spacing w:before="156" w:beforeLines="50" w:after="156" w:afterLines="50" w:line="480" w:lineRule="auto"/>
        <w:jc w:val="center"/>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7.1</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highlight w:val="none"/>
        </w:rPr>
        <w:t>持久状况构件应力计算</w:t>
      </w:r>
    </w:p>
    <w:p w14:paraId="6A9F8B0D">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7.1.1</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本条文根据现行行业标准《公路钢筋混凝土及预应力混凝土桥涵设计规范》JTG 3362相关条文及国内外超高性能混凝土相关研究确定。</w:t>
      </w:r>
    </w:p>
    <w:p w14:paraId="05A65C20">
      <w:pPr>
        <w:spacing w:before="156" w:beforeLines="50" w:after="156" w:afterLines="50" w:line="480" w:lineRule="auto"/>
        <w:jc w:val="center"/>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7.2</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短暂状况构件应力计算</w:t>
      </w:r>
    </w:p>
    <w:p w14:paraId="5A28E867">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7.2.1</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本条文按现行行业标准《公路钢筋混凝土及预应力混凝土桥涵设计规范》JTG 3362相关条文确定。</w:t>
      </w:r>
    </w:p>
    <w:p w14:paraId="6E689AC5">
      <w:p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7</w:t>
      </w:r>
      <w:r>
        <w:rPr>
          <w:rFonts w:ascii="Times New Roman" w:hAnsi="Times New Roman" w:eastAsia="黑体" w:cs="Times New Roman"/>
          <w:b/>
          <w:bCs/>
          <w:color w:val="auto"/>
          <w:szCs w:val="24"/>
        </w:rPr>
        <w:t>.2.2</w:t>
      </w:r>
      <w:r>
        <w:rPr>
          <w:rFonts w:hint="eastAsia" w:ascii="Times New Roman" w:hAnsi="Times New Roman" w:eastAsia="黑体" w:cs="Times New Roman"/>
          <w:b/>
          <w:bCs/>
          <w:color w:val="auto"/>
          <w:szCs w:val="24"/>
        </w:rPr>
        <w:t>~7</w:t>
      </w:r>
      <w:r>
        <w:rPr>
          <w:rFonts w:ascii="Times New Roman" w:hAnsi="Times New Roman" w:eastAsia="黑体" w:cs="Times New Roman"/>
          <w:b/>
          <w:bCs/>
          <w:color w:val="auto"/>
          <w:szCs w:val="24"/>
        </w:rPr>
        <w:t>.2.3</w:t>
      </w:r>
      <w:r>
        <w:rPr>
          <w:rFonts w:hint="eastAsia" w:ascii="Times New Roman" w:hAnsi="Times New Roman" w:eastAsia="宋体"/>
          <w:b/>
          <w:bCs/>
          <w:color w:val="auto"/>
          <w:szCs w:val="21"/>
        </w:rPr>
        <w:t xml:space="preserve"> </w:t>
      </w:r>
      <w:r>
        <w:rPr>
          <w:rFonts w:hint="eastAsia" w:ascii="Times New Roman" w:hAnsi="Times New Roman" w:eastAsia="宋体"/>
          <w:color w:val="auto"/>
          <w:szCs w:val="21"/>
        </w:rPr>
        <w:t xml:space="preserve"> 本条文按现行行业标准《公路钢筋混凝土及预应力混凝土桥涵设计规范》JTG 3362相关条文对短暂状况超高性能混凝土－普通混凝土组合式盖板结构的应力计算及应力限值做出了规定。</w:t>
      </w:r>
    </w:p>
    <w:p w14:paraId="3E067239">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7.2.4</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由于超高性能混凝土中掺有大量的钢纤维，显著提高了超高性能混凝土的抗拉性能，存在取消箍筋的可能。本条文在现行行业标准《公路钢筋混凝土及预应力混凝土桥涵设计规范》JTG 3362的基础上，综合考虑超高性能混凝土抗拉性能，规定</w:t>
      </w:r>
      <m:oMath>
        <m:sSubSup>
          <m:sSubSupPr>
            <m:ctrlPr>
              <w:rPr>
                <w:rFonts w:ascii="Cambria Math" w:hAnsi="Cambria Math"/>
                <w:color w:val="auto"/>
              </w:rPr>
            </m:ctrlPr>
          </m:sSubSupPr>
          <m:e>
            <m:r>
              <m:rPr/>
              <w:rPr>
                <w:rFonts w:ascii="Cambria Math" w:hAnsi="Cambria Math"/>
                <w:color w:val="auto"/>
              </w:rPr>
              <m:t>σ</m:t>
            </m:r>
            <m:ctrlPr>
              <w:rPr>
                <w:rFonts w:ascii="Cambria Math" w:hAnsi="Cambria Math"/>
                <w:color w:val="auto"/>
              </w:rPr>
            </m:ctrlPr>
          </m:e>
          <m:sub>
            <m:r>
              <m:rPr/>
              <w:rPr>
                <w:rFonts w:ascii="Cambria Math" w:hAnsi="Cambria Math"/>
                <w:color w:val="auto"/>
              </w:rPr>
              <m:t>tp</m:t>
            </m:r>
            <m:ctrlPr>
              <w:rPr>
                <w:rFonts w:ascii="Cambria Math" w:hAnsi="Cambria Math"/>
                <w:color w:val="auto"/>
              </w:rPr>
            </m:ctrlPr>
          </m:sub>
          <m:sup>
            <m:r>
              <m:rPr/>
              <w:rPr>
                <w:rFonts w:ascii="Cambria Math" w:hAnsi="Cambria Math"/>
                <w:color w:val="auto"/>
              </w:rPr>
              <m:t>t</m:t>
            </m:r>
            <m:ctrlPr>
              <w:rPr>
                <w:rFonts w:ascii="Cambria Math" w:hAnsi="Cambria Math"/>
                <w:color w:val="auto"/>
              </w:rPr>
            </m:ctrlPr>
          </m:sup>
        </m:sSubSup>
        <m:r>
          <m:rPr/>
          <w:rPr>
            <w:rFonts w:ascii="Cambria Math" w:hAnsi="Cambria Math"/>
            <w:color w:val="auto"/>
          </w:rPr>
          <m:t>≤</m:t>
        </m:r>
        <m:f>
          <m:fPr>
            <m:type m:val="lin"/>
            <m:ctrlPr>
              <w:rPr>
                <w:rFonts w:ascii="Cambria Math" w:hAnsi="Cambria Math"/>
                <w:i/>
                <w:color w:val="auto"/>
              </w:rPr>
            </m:ctrlPr>
          </m:fPr>
          <m:num>
            <m:r>
              <m:rPr/>
              <w:rPr>
                <w:rFonts w:ascii="Cambria Math" w:hAnsi="Cambria Math"/>
                <w:color w:val="auto"/>
              </w:rPr>
              <m:t>0.25</m:t>
            </m:r>
            <m:sSubSup>
              <m:sSubSupPr>
                <m:ctrlPr>
                  <w:rPr>
                    <w:rFonts w:ascii="Cambria Math" w:hAnsi="Cambria Math"/>
                    <w:i/>
                    <w:color w:val="auto"/>
                  </w:rPr>
                </m:ctrlPr>
              </m:sSubSupPr>
              <m:e>
                <m:r>
                  <m:rPr/>
                  <w:rPr>
                    <w:rFonts w:ascii="Cambria Math" w:hAnsi="Cambria Math"/>
                    <w:color w:val="auto"/>
                  </w:rPr>
                  <m:t>f</m:t>
                </m:r>
                <m:ctrlPr>
                  <w:rPr>
                    <w:rFonts w:ascii="Cambria Math" w:hAnsi="Cambria Math"/>
                    <w:i/>
                    <w:color w:val="auto"/>
                  </w:rPr>
                </m:ctrlPr>
              </m:e>
              <m:sub>
                <m:r>
                  <m:rPr/>
                  <w:rPr>
                    <w:rFonts w:ascii="Cambria Math" w:hAnsi="Cambria Math"/>
                    <w:color w:val="auto"/>
                  </w:rPr>
                  <m:t>tk</m:t>
                </m:r>
                <m:ctrlPr>
                  <w:rPr>
                    <w:rFonts w:ascii="Cambria Math" w:hAnsi="Cambria Math"/>
                    <w:i/>
                    <w:color w:val="auto"/>
                  </w:rPr>
                </m:ctrlPr>
              </m:sub>
              <m:sup>
                <m:r>
                  <m:rPr/>
                  <w:rPr>
                    <w:rFonts w:ascii="Cambria Math" w:hAnsi="Cambria Math"/>
                    <w:color w:val="auto"/>
                  </w:rPr>
                  <m:t>'</m:t>
                </m:r>
                <m:ctrlPr>
                  <w:rPr>
                    <w:rFonts w:ascii="Cambria Math" w:hAnsi="Cambria Math"/>
                    <w:i/>
                    <w:color w:val="auto"/>
                  </w:rPr>
                </m:ctrlPr>
              </m:sup>
            </m:sSubSup>
            <m:ctrlPr>
              <w:rPr>
                <w:rFonts w:ascii="Cambria Math" w:hAnsi="Cambria Math"/>
                <w:i/>
                <w:color w:val="auto"/>
              </w:rPr>
            </m:ctrlPr>
          </m:num>
          <m:den>
            <m:sSub>
              <m:sSubPr>
                <m:ctrlPr>
                  <w:rPr>
                    <w:rFonts w:ascii="Cambria Math" w:hAnsi="Cambria Math"/>
                    <w:i/>
                    <w:color w:val="auto"/>
                  </w:rPr>
                </m:ctrlPr>
              </m:sSubPr>
              <m:e>
                <m:r>
                  <m:rPr/>
                  <w:rPr>
                    <w:rFonts w:ascii="Cambria Math" w:hAnsi="Cambria Math"/>
                    <w:color w:val="auto"/>
                  </w:rPr>
                  <m:t>K</m:t>
                </m:r>
                <m:ctrlPr>
                  <w:rPr>
                    <w:rFonts w:ascii="Cambria Math" w:hAnsi="Cambria Math"/>
                    <w:i/>
                    <w:color w:val="auto"/>
                  </w:rPr>
                </m:ctrlPr>
              </m:e>
              <m:sub>
                <m:r>
                  <m:rPr/>
                  <w:rPr>
                    <w:rFonts w:ascii="Cambria Math" w:hAnsi="Cambria Math"/>
                    <w:color w:val="auto"/>
                  </w:rPr>
                  <m:t>global</m:t>
                </m:r>
                <m:ctrlPr>
                  <w:rPr>
                    <w:rFonts w:ascii="Cambria Math" w:hAnsi="Cambria Math"/>
                    <w:i/>
                    <w:color w:val="auto"/>
                  </w:rPr>
                </m:ctrlPr>
              </m:sub>
            </m:sSub>
            <m:ctrlPr>
              <w:rPr>
                <w:rFonts w:ascii="Cambria Math" w:hAnsi="Cambria Math"/>
                <w:i/>
                <w:color w:val="auto"/>
              </w:rPr>
            </m:ctrlPr>
          </m:den>
        </m:f>
      </m:oMath>
      <w:r>
        <w:rPr>
          <w:rFonts w:hint="eastAsia" w:ascii="Times New Roman" w:hAnsi="Times New Roman" w:eastAsia="宋体"/>
          <w:color w:val="auto"/>
          <w:szCs w:val="21"/>
        </w:rPr>
        <w:t>时，可不设置箍筋；若</w:t>
      </w:r>
      <m:oMath>
        <m:sSubSup>
          <m:sSubSupPr>
            <m:ctrlPr>
              <w:rPr>
                <w:rFonts w:ascii="Cambria Math" w:hAnsi="Cambria Math"/>
                <w:color w:val="auto"/>
              </w:rPr>
            </m:ctrlPr>
          </m:sSubSupPr>
          <m:e>
            <m:r>
              <m:rPr/>
              <w:rPr>
                <w:rFonts w:ascii="Cambria Math" w:hAnsi="Cambria Math"/>
                <w:color w:val="auto"/>
              </w:rPr>
              <m:t>σ</m:t>
            </m:r>
            <m:ctrlPr>
              <w:rPr>
                <w:rFonts w:ascii="Cambria Math" w:hAnsi="Cambria Math"/>
                <w:color w:val="auto"/>
              </w:rPr>
            </m:ctrlPr>
          </m:e>
          <m:sub>
            <m:r>
              <m:rPr/>
              <w:rPr>
                <w:rFonts w:ascii="Cambria Math" w:hAnsi="Cambria Math"/>
                <w:color w:val="auto"/>
              </w:rPr>
              <m:t>tp</m:t>
            </m:r>
            <m:ctrlPr>
              <w:rPr>
                <w:rFonts w:ascii="Cambria Math" w:hAnsi="Cambria Math"/>
                <w:color w:val="auto"/>
              </w:rPr>
            </m:ctrlPr>
          </m:sub>
          <m:sup>
            <m:r>
              <m:rPr/>
              <w:rPr>
                <w:rFonts w:ascii="Cambria Math" w:hAnsi="Cambria Math"/>
                <w:color w:val="auto"/>
              </w:rPr>
              <m:t>t</m:t>
            </m:r>
            <m:ctrlPr>
              <w:rPr>
                <w:rFonts w:ascii="Cambria Math" w:hAnsi="Cambria Math"/>
                <w:color w:val="auto"/>
              </w:rPr>
            </m:ctrlPr>
          </m:sup>
        </m:sSubSup>
        <m:r>
          <m:rPr/>
          <w:rPr>
            <w:rFonts w:ascii="Cambria Math" w:hAnsi="Cambria Math"/>
            <w:color w:val="auto"/>
          </w:rPr>
          <m:t>&gt;</m:t>
        </m:r>
        <m:f>
          <m:fPr>
            <m:type m:val="lin"/>
            <m:ctrlPr>
              <w:rPr>
                <w:rFonts w:ascii="Cambria Math" w:hAnsi="Cambria Math"/>
                <w:i/>
                <w:color w:val="auto"/>
              </w:rPr>
            </m:ctrlPr>
          </m:fPr>
          <m:num>
            <m:r>
              <m:rPr/>
              <w:rPr>
                <w:rFonts w:ascii="Cambria Math" w:hAnsi="Cambria Math"/>
                <w:color w:val="auto"/>
              </w:rPr>
              <m:t>0.25</m:t>
            </m:r>
            <m:sSubSup>
              <m:sSubSupPr>
                <m:ctrlPr>
                  <w:rPr>
                    <w:rFonts w:ascii="Cambria Math" w:hAnsi="Cambria Math"/>
                    <w:i/>
                    <w:color w:val="auto"/>
                  </w:rPr>
                </m:ctrlPr>
              </m:sSubSupPr>
              <m:e>
                <m:r>
                  <m:rPr/>
                  <w:rPr>
                    <w:rFonts w:ascii="Cambria Math" w:hAnsi="Cambria Math"/>
                    <w:color w:val="auto"/>
                  </w:rPr>
                  <m:t>f</m:t>
                </m:r>
                <m:ctrlPr>
                  <w:rPr>
                    <w:rFonts w:ascii="Cambria Math" w:hAnsi="Cambria Math"/>
                    <w:i/>
                    <w:color w:val="auto"/>
                  </w:rPr>
                </m:ctrlPr>
              </m:e>
              <m:sub>
                <m:r>
                  <m:rPr/>
                  <w:rPr>
                    <w:rFonts w:ascii="Cambria Math" w:hAnsi="Cambria Math"/>
                    <w:color w:val="auto"/>
                  </w:rPr>
                  <m:t>tk</m:t>
                </m:r>
                <m:ctrlPr>
                  <w:rPr>
                    <w:rFonts w:ascii="Cambria Math" w:hAnsi="Cambria Math"/>
                    <w:i/>
                    <w:color w:val="auto"/>
                  </w:rPr>
                </m:ctrlPr>
              </m:sub>
              <m:sup>
                <m:r>
                  <m:rPr/>
                  <w:rPr>
                    <w:rFonts w:ascii="Cambria Math" w:hAnsi="Cambria Math"/>
                    <w:color w:val="auto"/>
                  </w:rPr>
                  <m:t>'</m:t>
                </m:r>
                <m:ctrlPr>
                  <w:rPr>
                    <w:rFonts w:ascii="Cambria Math" w:hAnsi="Cambria Math"/>
                    <w:i/>
                    <w:color w:val="auto"/>
                  </w:rPr>
                </m:ctrlPr>
              </m:sup>
            </m:sSubSup>
            <m:ctrlPr>
              <w:rPr>
                <w:rFonts w:ascii="Cambria Math" w:hAnsi="Cambria Math"/>
                <w:i/>
                <w:color w:val="auto"/>
              </w:rPr>
            </m:ctrlPr>
          </m:num>
          <m:den>
            <m:sSub>
              <m:sSubPr>
                <m:ctrlPr>
                  <w:rPr>
                    <w:rFonts w:ascii="Cambria Math" w:hAnsi="Cambria Math"/>
                    <w:i/>
                    <w:color w:val="auto"/>
                  </w:rPr>
                </m:ctrlPr>
              </m:sSubPr>
              <m:e>
                <m:r>
                  <m:rPr/>
                  <w:rPr>
                    <w:rFonts w:ascii="Cambria Math" w:hAnsi="Cambria Math"/>
                    <w:color w:val="auto"/>
                  </w:rPr>
                  <m:t>K</m:t>
                </m:r>
                <m:ctrlPr>
                  <w:rPr>
                    <w:rFonts w:ascii="Cambria Math" w:hAnsi="Cambria Math"/>
                    <w:i/>
                    <w:color w:val="auto"/>
                  </w:rPr>
                </m:ctrlPr>
              </m:e>
              <m:sub>
                <m:r>
                  <m:rPr/>
                  <w:rPr>
                    <w:rFonts w:ascii="Cambria Math" w:hAnsi="Cambria Math"/>
                    <w:color w:val="auto"/>
                  </w:rPr>
                  <m:t>global</m:t>
                </m:r>
                <m:ctrlPr>
                  <w:rPr>
                    <w:rFonts w:ascii="Cambria Math" w:hAnsi="Cambria Math"/>
                    <w:i/>
                    <w:color w:val="auto"/>
                  </w:rPr>
                </m:ctrlPr>
              </m:sub>
            </m:sSub>
            <m:ctrlPr>
              <w:rPr>
                <w:rFonts w:ascii="Cambria Math" w:hAnsi="Cambria Math"/>
                <w:i/>
                <w:color w:val="auto"/>
              </w:rPr>
            </m:ctrlPr>
          </m:den>
        </m:f>
      </m:oMath>
      <w:r>
        <w:rPr>
          <w:rFonts w:hint="eastAsia" w:ascii="Times New Roman" w:hAnsi="Times New Roman" w:eastAsia="宋体"/>
          <w:color w:val="auto"/>
          <w:szCs w:val="21"/>
        </w:rPr>
        <w:t>，认为超高性能混凝土主拉应力由超高性能混凝土和箍筋共同承受，箍筋间距根据计算确定。</w:t>
      </w:r>
    </w:p>
    <w:p w14:paraId="1858DBE3">
      <w:pPr>
        <w:pageBreakBefore/>
        <w:numPr>
          <w:ilvl w:val="2"/>
          <w:numId w:val="0"/>
        </w:numPr>
        <w:spacing w:line="480" w:lineRule="auto"/>
        <w:jc w:val="center"/>
        <w:outlineLvl w:val="2"/>
        <w:rPr>
          <w:rFonts w:ascii="Times New Roman" w:hAnsi="Times New Roman" w:eastAsia="宋体"/>
          <w:b/>
          <w:color w:val="auto"/>
          <w:sz w:val="28"/>
          <w:szCs w:val="28"/>
        </w:rPr>
      </w:pPr>
      <w:r>
        <w:rPr>
          <w:rFonts w:ascii="Times New Roman" w:hAnsi="Times New Roman" w:eastAsia="宋体"/>
          <w:b/>
          <w:color w:val="auto"/>
          <w:sz w:val="28"/>
          <w:szCs w:val="28"/>
        </w:rPr>
        <w:t>8</w:t>
      </w:r>
      <w:r>
        <w:rPr>
          <w:rFonts w:hint="eastAsia" w:ascii="Times New Roman" w:hAnsi="Times New Roman" w:eastAsia="宋体"/>
          <w:b/>
          <w:color w:val="auto"/>
          <w:sz w:val="28"/>
          <w:szCs w:val="28"/>
        </w:rPr>
        <w:t xml:space="preserve"> 构造要求</w:t>
      </w:r>
    </w:p>
    <w:p w14:paraId="23F84B83">
      <w:pPr>
        <w:spacing w:before="156" w:beforeLines="50" w:after="156" w:afterLines="50" w:line="480" w:lineRule="auto"/>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 xml:space="preserve">8.1  </w:t>
      </w:r>
      <w:r>
        <w:rPr>
          <w:rFonts w:hint="eastAsia" w:ascii="Times New Roman" w:hAnsi="Times New Roman" w:eastAsia="宋体" w:cs="Times New Roman"/>
          <w:b/>
          <w:bCs/>
          <w:color w:val="auto"/>
          <w:sz w:val="24"/>
          <w:szCs w:val="24"/>
        </w:rPr>
        <w:t>一般规定</w:t>
      </w:r>
    </w:p>
    <w:p w14:paraId="0775B556">
      <w:pPr>
        <w:numPr>
          <w:ilvl w:val="2"/>
          <w:numId w:val="0"/>
        </w:numPr>
        <w:spacing w:line="360" w:lineRule="auto"/>
        <w:outlineLvl w:val="2"/>
        <w:rPr>
          <w:rFonts w:ascii="Times New Roman" w:hAnsi="Times New Roman" w:eastAsia="宋体"/>
          <w:color w:val="auto"/>
          <w:szCs w:val="21"/>
        </w:rPr>
      </w:pPr>
      <w:r>
        <w:rPr>
          <w:rFonts w:ascii="Times New Roman" w:hAnsi="Times New Roman" w:eastAsia="黑体" w:cs="Times New Roman"/>
          <w:b/>
          <w:bCs/>
          <w:color w:val="auto"/>
          <w:szCs w:val="24"/>
        </w:rPr>
        <w:t>8.1.1</w:t>
      </w:r>
      <w:r>
        <w:rPr>
          <w:rFonts w:ascii="Times New Roman" w:hAnsi="Times New Roman" w:eastAsia="黑体" w:cs="Times New Roman"/>
          <w:color w:val="auto"/>
          <w:sz w:val="24"/>
          <w:szCs w:val="24"/>
        </w:rPr>
        <w:t xml:space="preserve">  </w:t>
      </w:r>
      <w:r>
        <w:rPr>
          <w:rFonts w:hint="eastAsia" w:ascii="Times New Roman" w:hAnsi="Times New Roman" w:eastAsia="宋体"/>
          <w:color w:val="auto"/>
          <w:szCs w:val="21"/>
        </w:rPr>
        <w:t>超高性能混凝土－普通混凝土组合式盖板结构的力学性能不仅受到两种材料各自材质的影响，而且与剪力连接件的选用有较大关系。应选用合理的剪力连接件保证超高性能混凝土与普通混凝土共同受力。</w:t>
      </w:r>
    </w:p>
    <w:p w14:paraId="49BA686D">
      <w:pPr>
        <w:numPr>
          <w:ilvl w:val="2"/>
          <w:numId w:val="0"/>
        </w:numPr>
        <w:spacing w:line="360" w:lineRule="auto"/>
        <w:outlineLvl w:val="2"/>
        <w:rPr>
          <w:rFonts w:ascii="Times New Roman" w:hAnsi="Times New Roman" w:eastAsia="宋体"/>
          <w:color w:val="auto"/>
          <w:szCs w:val="21"/>
        </w:rPr>
      </w:pPr>
      <w:r>
        <w:rPr>
          <w:rFonts w:ascii="Times New Roman" w:hAnsi="Times New Roman" w:eastAsia="黑体" w:cs="Times New Roman"/>
          <w:b/>
          <w:bCs/>
          <w:color w:val="auto"/>
          <w:szCs w:val="24"/>
        </w:rPr>
        <w:t>8.1.2</w:t>
      </w:r>
      <w:r>
        <w:rPr>
          <w:rFonts w:ascii="Times New Roman" w:hAnsi="Times New Roman" w:eastAsia="黑体" w:cs="Times New Roman"/>
          <w:color w:val="auto"/>
          <w:sz w:val="24"/>
          <w:szCs w:val="24"/>
        </w:rPr>
        <w:t xml:space="preserve">  </w:t>
      </w:r>
      <w:r>
        <w:rPr>
          <w:rFonts w:hint="eastAsia" w:ascii="Times New Roman" w:hAnsi="Times New Roman" w:eastAsia="宋体"/>
          <w:color w:val="auto"/>
          <w:szCs w:val="21"/>
        </w:rPr>
        <w:t>为保证正常使用极限状态下超高性能混凝土和普通混凝土间不</w:t>
      </w:r>
      <w:r>
        <w:rPr>
          <w:rFonts w:hint="eastAsia" w:ascii="Times New Roman" w:hAnsi="Times New Roman" w:eastAsia="宋体"/>
          <w:color w:val="auto"/>
          <w:szCs w:val="21"/>
          <w:lang w:eastAsia="zh-CN"/>
        </w:rPr>
        <w:t>发生</w:t>
      </w:r>
      <w:r>
        <w:rPr>
          <w:rFonts w:hint="eastAsia" w:ascii="Times New Roman" w:hAnsi="Times New Roman" w:eastAsia="宋体"/>
          <w:color w:val="auto"/>
          <w:szCs w:val="21"/>
        </w:rPr>
        <w:t>过大的相对滑移，有必要对正常使用阶段抗剪钢筋连接件所承担的剪力进行限制。抗剪连接件宜采用普通钢筋。若采用普通钢筋以外的新型抗剪连接件时，宜通过试验与分析论证后使用。</w:t>
      </w:r>
    </w:p>
    <w:p w14:paraId="0F4502AE">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8</w:t>
      </w:r>
      <w:r>
        <w:rPr>
          <w:rFonts w:ascii="Times New Roman" w:hAnsi="Times New Roman" w:eastAsia="黑体" w:cs="Times New Roman"/>
          <w:b/>
          <w:bCs/>
          <w:color w:val="auto"/>
          <w:szCs w:val="24"/>
        </w:rPr>
        <w:t>.1.</w:t>
      </w:r>
      <w:r>
        <w:rPr>
          <w:rFonts w:hint="eastAsia" w:ascii="Times New Roman" w:hAnsi="Times New Roman" w:eastAsia="黑体" w:cs="Times New Roman"/>
          <w:b/>
          <w:bCs/>
          <w:color w:val="auto"/>
          <w:szCs w:val="24"/>
        </w:rPr>
        <w:t>3</w:t>
      </w:r>
      <w:r>
        <w:rPr>
          <w:rFonts w:ascii="Times New Roman" w:hAnsi="Times New Roman" w:eastAsia="黑体" w:cs="Times New Roman"/>
          <w:b/>
          <w:bCs/>
          <w:color w:val="auto"/>
          <w:sz w:val="24"/>
          <w:szCs w:val="24"/>
        </w:rPr>
        <w:t xml:space="preserve"> </w:t>
      </w:r>
      <w:r>
        <w:rPr>
          <w:rFonts w:ascii="Times New Roman" w:hAnsi="Times New Roman" w:eastAsia="黑体" w:cs="Times New Roman"/>
          <w:color w:val="auto"/>
          <w:sz w:val="24"/>
          <w:szCs w:val="24"/>
        </w:rPr>
        <w:t xml:space="preserve"> </w:t>
      </w:r>
      <w:r>
        <w:rPr>
          <w:rFonts w:hint="eastAsia" w:ascii="Times New Roman" w:hAnsi="Times New Roman" w:eastAsia="宋体"/>
          <w:color w:val="auto"/>
          <w:szCs w:val="21"/>
        </w:rPr>
        <w:t>由于超高性能混凝土具有致密的微观结构，因而具有良好的耐久性。根据已有研究成果，综合考虑粘结力的可靠传递、钢筋抗腐蚀、结构耐火性等因素，制定本条文所规定的保护层厚度的要求。</w:t>
      </w:r>
    </w:p>
    <w:p w14:paraId="658481F5">
      <w:pPr>
        <w:spacing w:before="156" w:beforeLines="50" w:after="156" w:afterLines="50" w:line="480" w:lineRule="auto"/>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8.2</w:t>
      </w:r>
      <w:r>
        <w:rPr>
          <w:rFonts w:hint="eastAsia" w:ascii="Times New Roman" w:hAnsi="Times New Roman" w:eastAsia="宋体" w:cs="Times New Roman"/>
          <w:b/>
          <w:bCs/>
          <w:color w:val="auto"/>
          <w:sz w:val="24"/>
          <w:szCs w:val="24"/>
        </w:rPr>
        <w:t xml:space="preserve">  </w:t>
      </w:r>
      <w:r>
        <w:rPr>
          <w:rFonts w:ascii="Times New Roman" w:hAnsi="Times New Roman" w:eastAsia="宋体" w:cs="Times New Roman"/>
          <w:b/>
          <w:bCs/>
          <w:color w:val="auto"/>
          <w:sz w:val="24"/>
          <w:szCs w:val="24"/>
        </w:rPr>
        <w:t>超高性能混凝土倒“T”/“π”形梁</w:t>
      </w:r>
    </w:p>
    <w:p w14:paraId="6407F021">
      <w:pPr>
        <w:numPr>
          <w:ilvl w:val="2"/>
          <w:numId w:val="0"/>
        </w:numPr>
        <w:spacing w:line="360" w:lineRule="auto"/>
        <w:outlineLvl w:val="2"/>
        <w:rPr>
          <w:rFonts w:ascii="Times New Roman" w:hAnsi="Times New Roman" w:eastAsia="黑体" w:cs="Times New Roman"/>
          <w:b/>
          <w:bCs/>
          <w:color w:val="auto"/>
          <w:szCs w:val="24"/>
        </w:rPr>
      </w:pPr>
      <w:r>
        <w:rPr>
          <w:rFonts w:hint="eastAsia" w:ascii="Times New Roman" w:hAnsi="Times New Roman" w:eastAsia="黑体" w:cs="Times New Roman"/>
          <w:b/>
          <w:bCs/>
          <w:color w:val="auto"/>
          <w:szCs w:val="24"/>
        </w:rPr>
        <w:t xml:space="preserve">8.2.1  </w:t>
      </w:r>
      <w:r>
        <w:rPr>
          <w:rFonts w:hint="eastAsia" w:ascii="宋体" w:hAnsi="宋体" w:eastAsia="宋体" w:cs="Times New Roman"/>
          <w:color w:val="auto"/>
          <w:szCs w:val="24"/>
        </w:rPr>
        <w:t>根据已有研究成果，综合考虑超高性能混凝土倒</w:t>
      </w:r>
      <w:r>
        <w:rPr>
          <w:rFonts w:ascii="Times New Roman" w:hAnsi="Times New Roman" w:eastAsia="宋体" w:cs="Times New Roman"/>
          <w:color w:val="auto"/>
          <w:szCs w:val="24"/>
        </w:rPr>
        <w:t>“T”/“π”</w:t>
      </w:r>
      <w:r>
        <w:rPr>
          <w:rFonts w:hint="eastAsia" w:ascii="宋体" w:hAnsi="宋体" w:eastAsia="宋体" w:cs="Times New Roman"/>
          <w:color w:val="auto"/>
          <w:szCs w:val="24"/>
        </w:rPr>
        <w:t>形梁的承载能力要求，制定本条文所规定的底板、腹板以及倒角尺寸要求。</w:t>
      </w:r>
    </w:p>
    <w:p w14:paraId="277A8F6A">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8</w:t>
      </w:r>
      <w:r>
        <w:rPr>
          <w:rFonts w:ascii="Times New Roman" w:hAnsi="Times New Roman" w:eastAsia="黑体" w:cs="Times New Roman"/>
          <w:b/>
          <w:bCs/>
          <w:color w:val="auto"/>
          <w:szCs w:val="24"/>
        </w:rPr>
        <w:t>.</w:t>
      </w:r>
      <w:r>
        <w:rPr>
          <w:rFonts w:hint="eastAsia" w:ascii="Times New Roman" w:hAnsi="Times New Roman" w:eastAsia="黑体" w:cs="Times New Roman"/>
          <w:b/>
          <w:bCs/>
          <w:color w:val="auto"/>
          <w:szCs w:val="24"/>
        </w:rPr>
        <w:t>2</w:t>
      </w:r>
      <w:r>
        <w:rPr>
          <w:rFonts w:ascii="Times New Roman" w:hAnsi="Times New Roman" w:eastAsia="黑体" w:cs="Times New Roman"/>
          <w:b/>
          <w:bCs/>
          <w:color w:val="auto"/>
          <w:szCs w:val="24"/>
        </w:rPr>
        <w:t>.2</w:t>
      </w:r>
      <w:r>
        <w:rPr>
          <w:rFonts w:ascii="Times New Roman" w:hAnsi="Times New Roman" w:eastAsia="黑体" w:cs="Times New Roman"/>
          <w:color w:val="auto"/>
          <w:sz w:val="24"/>
          <w:szCs w:val="24"/>
        </w:rPr>
        <w:t xml:space="preserve">  </w:t>
      </w:r>
      <w:r>
        <w:rPr>
          <w:rFonts w:hint="eastAsia" w:ascii="Times New Roman" w:hAnsi="Times New Roman" w:eastAsia="宋体"/>
          <w:color w:val="auto"/>
          <w:szCs w:val="21"/>
        </w:rPr>
        <w:t>根据已有研究成果，综合考虑粘结力的可靠传递、可施工性等因素，制定本条文所规定的最小钢筋净距的要求。</w:t>
      </w:r>
    </w:p>
    <w:p w14:paraId="23DC8F34">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8.2</w:t>
      </w:r>
      <w:r>
        <w:rPr>
          <w:rFonts w:ascii="Times New Roman" w:hAnsi="Times New Roman" w:eastAsia="黑体" w:cs="Times New Roman"/>
          <w:b/>
          <w:bCs/>
          <w:color w:val="auto"/>
          <w:szCs w:val="24"/>
        </w:rPr>
        <w:t>.3</w:t>
      </w:r>
      <w:r>
        <w:rPr>
          <w:rFonts w:ascii="Times New Roman" w:hAnsi="Times New Roman" w:eastAsia="黑体" w:cs="Times New Roman"/>
          <w:color w:val="auto"/>
          <w:sz w:val="24"/>
          <w:szCs w:val="24"/>
        </w:rPr>
        <w:t xml:space="preserve">  </w:t>
      </w:r>
      <w:r>
        <w:rPr>
          <w:rFonts w:hint="eastAsia" w:ascii="Times New Roman" w:hAnsi="Times New Roman" w:eastAsia="宋体"/>
          <w:color w:val="auto"/>
          <w:szCs w:val="21"/>
        </w:rPr>
        <w:t>与普通混凝土构件相比，超高性能混凝土构件尺寸较小，板类构件较薄。本条文结合已有超高性能混凝土结构研究和应用经验，按腹板厚度分别提出了两种箍筋形式（图8.2），并在现行行业标准《公路钢筋混凝土及预应力混凝土桥涵设计规范》</w:t>
      </w:r>
      <w:r>
        <w:rPr>
          <w:rFonts w:ascii="Times New Roman" w:hAnsi="Times New Roman" w:eastAsia="宋体"/>
          <w:color w:val="auto"/>
          <w:szCs w:val="21"/>
        </w:rPr>
        <w:t>JTG 3362</w:t>
      </w:r>
      <w:r>
        <w:rPr>
          <w:rFonts w:hint="eastAsia" w:ascii="Times New Roman" w:hAnsi="Times New Roman" w:eastAsia="宋体"/>
          <w:color w:val="auto"/>
          <w:szCs w:val="21"/>
        </w:rPr>
        <w:t>的基础上，考虑了钢纤维对钢筋与混凝土粘结强度的有利影响，适当降低了箍筋弯钩平直段的长度，并对箍筋弯曲直径进行了限值。</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88"/>
        <w:gridCol w:w="4234"/>
      </w:tblGrid>
      <w:tr w14:paraId="1DF2C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6" w:type="pct"/>
            <w:vAlign w:val="bottom"/>
          </w:tcPr>
          <w:p w14:paraId="5F6E927C">
            <w:pPr>
              <w:jc w:val="center"/>
              <w:rPr>
                <w:rFonts w:ascii="Times New Roman" w:hAnsi="Times New Roman" w:eastAsia="宋体"/>
                <w:color w:val="auto"/>
                <w:szCs w:val="21"/>
              </w:rPr>
            </w:pPr>
            <w:r>
              <w:rPr>
                <w:rFonts w:ascii="Times New Roman" w:hAnsi="Times New Roman" w:eastAsia="宋体"/>
                <w:color w:val="auto"/>
                <w:szCs w:val="21"/>
              </w:rPr>
              <w:drawing>
                <wp:inline distT="0" distB="0" distL="0" distR="0">
                  <wp:extent cx="1385570" cy="1802765"/>
                  <wp:effectExtent l="0" t="0" r="1270"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9"/>
                          <a:stretch>
                            <a:fillRect/>
                          </a:stretch>
                        </pic:blipFill>
                        <pic:spPr>
                          <a:xfrm>
                            <a:off x="0" y="0"/>
                            <a:ext cx="1385570" cy="1802765"/>
                          </a:xfrm>
                          <a:prstGeom prst="rect">
                            <a:avLst/>
                          </a:prstGeom>
                        </pic:spPr>
                      </pic:pic>
                    </a:graphicData>
                  </a:graphic>
                </wp:inline>
              </w:drawing>
            </w:r>
          </w:p>
        </w:tc>
        <w:tc>
          <w:tcPr>
            <w:tcW w:w="2484" w:type="pct"/>
            <w:vAlign w:val="bottom"/>
          </w:tcPr>
          <w:p w14:paraId="2FF67BA9">
            <w:pPr>
              <w:jc w:val="center"/>
              <w:rPr>
                <w:rFonts w:ascii="Times New Roman" w:hAnsi="Times New Roman" w:eastAsia="宋体"/>
                <w:color w:val="auto"/>
                <w:szCs w:val="21"/>
              </w:rPr>
            </w:pPr>
            <w:r>
              <w:rPr>
                <w:rFonts w:ascii="Times New Roman" w:hAnsi="Times New Roman" w:eastAsia="宋体"/>
                <w:color w:val="auto"/>
                <w:szCs w:val="21"/>
              </w:rPr>
              <w:drawing>
                <wp:inline distT="0" distB="0" distL="0" distR="0">
                  <wp:extent cx="1327150" cy="1798955"/>
                  <wp:effectExtent l="0" t="0" r="1397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0"/>
                          <a:stretch>
                            <a:fillRect/>
                          </a:stretch>
                        </pic:blipFill>
                        <pic:spPr>
                          <a:xfrm>
                            <a:off x="0" y="0"/>
                            <a:ext cx="1327150" cy="1798955"/>
                          </a:xfrm>
                          <a:prstGeom prst="rect">
                            <a:avLst/>
                          </a:prstGeom>
                        </pic:spPr>
                      </pic:pic>
                    </a:graphicData>
                  </a:graphic>
                </wp:inline>
              </w:drawing>
            </w:r>
          </w:p>
        </w:tc>
      </w:tr>
      <w:tr w14:paraId="3E4F7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6" w:type="pct"/>
            <w:vAlign w:val="bottom"/>
          </w:tcPr>
          <w:p w14:paraId="06235C10">
            <w:pPr>
              <w:jc w:val="center"/>
              <w:rPr>
                <w:rFonts w:hint="eastAsia" w:eastAsia="黑体" w:asciiTheme="majorHAnsi" w:hAnsiTheme="majorHAnsi" w:cstheme="majorBidi"/>
                <w:color w:val="auto"/>
                <w:sz w:val="18"/>
                <w:szCs w:val="20"/>
              </w:rPr>
            </w:pPr>
            <w:r>
              <w:rPr>
                <w:rFonts w:hint="eastAsia" w:eastAsia="黑体" w:asciiTheme="majorHAnsi" w:hAnsiTheme="majorHAnsi" w:cstheme="majorBidi"/>
                <w:color w:val="auto"/>
                <w:sz w:val="18"/>
                <w:szCs w:val="20"/>
              </w:rPr>
              <w:t>（a）腹板厚度＞10cm</w:t>
            </w:r>
          </w:p>
        </w:tc>
        <w:tc>
          <w:tcPr>
            <w:tcW w:w="2484" w:type="pct"/>
          </w:tcPr>
          <w:p w14:paraId="158F878A">
            <w:pPr>
              <w:jc w:val="center"/>
              <w:rPr>
                <w:rFonts w:hint="eastAsia" w:eastAsia="黑体" w:asciiTheme="majorHAnsi" w:hAnsiTheme="majorHAnsi" w:cstheme="majorBidi"/>
                <w:color w:val="auto"/>
                <w:sz w:val="18"/>
                <w:szCs w:val="20"/>
              </w:rPr>
            </w:pPr>
            <w:r>
              <w:rPr>
                <w:rFonts w:hint="eastAsia" w:eastAsia="黑体" w:asciiTheme="majorHAnsi" w:hAnsiTheme="majorHAnsi" w:cstheme="majorBidi"/>
                <w:color w:val="auto"/>
                <w:sz w:val="18"/>
                <w:szCs w:val="20"/>
              </w:rPr>
              <w:t>（b）腹板厚度≤10cm</w:t>
            </w:r>
          </w:p>
        </w:tc>
      </w:tr>
    </w:tbl>
    <w:p w14:paraId="09623EB3">
      <w:pPr>
        <w:jc w:val="center"/>
        <w:rPr>
          <w:rFonts w:hint="eastAsia" w:eastAsia="黑体" w:asciiTheme="majorHAnsi" w:hAnsiTheme="majorHAnsi" w:cstheme="majorBidi"/>
          <w:color w:val="auto"/>
          <w:sz w:val="18"/>
          <w:szCs w:val="20"/>
        </w:rPr>
      </w:pPr>
      <w:r>
        <w:rPr>
          <w:rFonts w:hint="eastAsia" w:eastAsia="黑体" w:asciiTheme="majorHAnsi" w:hAnsiTheme="majorHAnsi" w:cstheme="majorBidi"/>
          <w:color w:val="auto"/>
          <w:sz w:val="18"/>
          <w:szCs w:val="20"/>
        </w:rPr>
        <w:t>图8.2 箍筋形式</w:t>
      </w:r>
    </w:p>
    <w:p w14:paraId="190C0C22">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8</w:t>
      </w:r>
      <w:r>
        <w:rPr>
          <w:rFonts w:ascii="Times New Roman" w:hAnsi="Times New Roman" w:eastAsia="黑体" w:cs="Times New Roman"/>
          <w:b/>
          <w:bCs/>
          <w:color w:val="auto"/>
          <w:szCs w:val="24"/>
        </w:rPr>
        <w:t>.</w:t>
      </w:r>
      <w:r>
        <w:rPr>
          <w:rFonts w:hint="eastAsia" w:ascii="Times New Roman" w:hAnsi="Times New Roman" w:eastAsia="黑体" w:cs="Times New Roman"/>
          <w:b/>
          <w:bCs/>
          <w:color w:val="auto"/>
          <w:szCs w:val="24"/>
        </w:rPr>
        <w:t>2</w:t>
      </w:r>
      <w:r>
        <w:rPr>
          <w:rFonts w:ascii="Times New Roman" w:hAnsi="Times New Roman" w:eastAsia="黑体" w:cs="Times New Roman"/>
          <w:b/>
          <w:bCs/>
          <w:color w:val="auto"/>
          <w:szCs w:val="24"/>
        </w:rPr>
        <w:t>.4</w:t>
      </w:r>
      <w:r>
        <w:rPr>
          <w:rFonts w:ascii="Times New Roman" w:hAnsi="Times New Roman" w:eastAsia="黑体" w:cs="Times New Roman"/>
          <w:color w:val="auto"/>
          <w:sz w:val="24"/>
          <w:szCs w:val="24"/>
        </w:rPr>
        <w:t xml:space="preserve">  </w:t>
      </w:r>
      <w:r>
        <w:rPr>
          <w:rFonts w:hint="eastAsia" w:ascii="Times New Roman" w:hAnsi="Times New Roman" w:eastAsia="宋体"/>
          <w:color w:val="auto"/>
          <w:szCs w:val="21"/>
        </w:rPr>
        <w:t>根据已有研究成果，当超高性能混凝土材料延性满足</w:t>
      </w:r>
      <m:oMath>
        <m:f>
          <m:fPr>
            <m:ctrlPr>
              <w:rPr>
                <w:rFonts w:ascii="Cambria Math" w:hAnsi="Cambria Math"/>
                <w:color w:val="auto"/>
              </w:rPr>
            </m:ctrlPr>
          </m:fPr>
          <m:num>
            <m:r>
              <m:rPr/>
              <w:rPr>
                <w:rFonts w:ascii="Cambria Math" w:hAnsi="Cambria Math"/>
                <w:color w:val="auto"/>
              </w:rPr>
              <m:t>1</m:t>
            </m:r>
            <m:ctrlPr>
              <w:rPr>
                <w:rFonts w:ascii="Cambria Math" w:hAnsi="Cambria Math"/>
                <w:color w:val="auto"/>
              </w:rPr>
            </m:ctrlPr>
          </m:num>
          <m:den>
            <m:sSub>
              <m:sSubPr>
                <m:ctrlPr>
                  <w:rPr>
                    <w:rFonts w:ascii="Cambria Math" w:hAnsi="Cambria Math"/>
                    <w:i/>
                    <w:color w:val="auto"/>
                  </w:rPr>
                </m:ctrlPr>
              </m:sSubPr>
              <m:e>
                <m:r>
                  <m:rPr/>
                  <w:rPr>
                    <w:rFonts w:ascii="Cambria Math" w:hAnsi="Cambria Math"/>
                    <w:color w:val="auto"/>
                  </w:rPr>
                  <m:t>w</m:t>
                </m:r>
                <m:ctrlPr>
                  <w:rPr>
                    <w:rFonts w:ascii="Cambria Math" w:hAnsi="Cambria Math"/>
                    <w:i/>
                    <w:color w:val="auto"/>
                  </w:rPr>
                </m:ctrlPr>
              </m:e>
              <m:sub>
                <m:r>
                  <m:rPr/>
                  <w:rPr>
                    <w:rFonts w:ascii="Cambria Math" w:hAnsi="Cambria Math"/>
                    <w:color w:val="auto"/>
                  </w:rPr>
                  <m:t>0.3</m:t>
                </m:r>
                <m:ctrlPr>
                  <w:rPr>
                    <w:rFonts w:ascii="Cambria Math" w:hAnsi="Cambria Math"/>
                    <w:i/>
                    <w:color w:val="auto"/>
                  </w:rPr>
                </m:ctrlPr>
              </m:sub>
            </m:sSub>
            <m:ctrlPr>
              <w:rPr>
                <w:rFonts w:ascii="Cambria Math" w:hAnsi="Cambria Math"/>
                <w:color w:val="auto"/>
              </w:rPr>
            </m:ctrlPr>
          </m:den>
        </m:f>
        <m:nary>
          <m:naryPr>
            <m:limLoc m:val="undOvr"/>
            <m:ctrlPr>
              <w:rPr>
                <w:rFonts w:ascii="Cambria Math" w:hAnsi="Cambria Math"/>
                <w:i/>
                <w:color w:val="auto"/>
              </w:rPr>
            </m:ctrlPr>
          </m:naryPr>
          <m:sub>
            <m:r>
              <m:rPr/>
              <w:rPr>
                <w:rFonts w:ascii="Cambria Math" w:hAnsi="Cambria Math"/>
                <w:color w:val="auto"/>
              </w:rPr>
              <m:t>0</m:t>
            </m:r>
            <m:ctrlPr>
              <w:rPr>
                <w:rFonts w:ascii="Cambria Math" w:hAnsi="Cambria Math"/>
                <w:i/>
                <w:color w:val="auto"/>
              </w:rPr>
            </m:ctrlPr>
          </m:sub>
          <m:sup>
            <m:sSub>
              <m:sSubPr>
                <m:ctrlPr>
                  <w:rPr>
                    <w:rFonts w:ascii="Cambria Math" w:hAnsi="Cambria Math"/>
                    <w:i/>
                    <w:color w:val="auto"/>
                  </w:rPr>
                </m:ctrlPr>
              </m:sSubPr>
              <m:e>
                <m:r>
                  <m:rPr/>
                  <w:rPr>
                    <w:rFonts w:ascii="Cambria Math" w:hAnsi="Cambria Math"/>
                    <w:color w:val="auto"/>
                  </w:rPr>
                  <m:t>w</m:t>
                </m:r>
                <m:ctrlPr>
                  <w:rPr>
                    <w:rFonts w:ascii="Cambria Math" w:hAnsi="Cambria Math"/>
                    <w:i/>
                    <w:color w:val="auto"/>
                  </w:rPr>
                </m:ctrlPr>
              </m:e>
              <m:sub>
                <m:r>
                  <m:rPr/>
                  <w:rPr>
                    <w:rFonts w:ascii="Cambria Math" w:hAnsi="Cambria Math"/>
                    <w:color w:val="auto"/>
                  </w:rPr>
                  <m:t>0.3</m:t>
                </m:r>
                <m:ctrlPr>
                  <w:rPr>
                    <w:rFonts w:ascii="Cambria Math" w:hAnsi="Cambria Math"/>
                    <w:i/>
                    <w:color w:val="auto"/>
                  </w:rPr>
                </m:ctrlPr>
              </m:sub>
            </m:sSub>
            <m:ctrlPr>
              <w:rPr>
                <w:rFonts w:ascii="Cambria Math" w:hAnsi="Cambria Math"/>
                <w:i/>
                <w:color w:val="auto"/>
              </w:rPr>
            </m:ctrlPr>
          </m:sup>
          <m:e>
            <m:f>
              <m:fPr>
                <m:ctrlPr>
                  <w:rPr>
                    <w:rFonts w:ascii="Cambria Math" w:hAnsi="Cambria Math"/>
                    <w:i/>
                    <w:color w:val="auto"/>
                  </w:rPr>
                </m:ctrlPr>
              </m:fPr>
              <m:num>
                <m:r>
                  <m:rPr/>
                  <w:rPr>
                    <w:rFonts w:ascii="Cambria Math" w:hAnsi="Cambria Math"/>
                    <w:color w:val="auto"/>
                  </w:rPr>
                  <m:t>σ</m:t>
                </m:r>
                <m:d>
                  <m:dPr>
                    <m:ctrlPr>
                      <w:rPr>
                        <w:rFonts w:ascii="Cambria Math" w:hAnsi="Cambria Math"/>
                        <w:i/>
                        <w:color w:val="auto"/>
                      </w:rPr>
                    </m:ctrlPr>
                  </m:dPr>
                  <m:e>
                    <m:r>
                      <m:rPr/>
                      <w:rPr>
                        <w:rFonts w:ascii="Cambria Math" w:hAnsi="Cambria Math"/>
                        <w:color w:val="auto"/>
                      </w:rPr>
                      <m:t>w</m:t>
                    </m:r>
                    <m:ctrlPr>
                      <w:rPr>
                        <w:rFonts w:ascii="Cambria Math" w:hAnsi="Cambria Math"/>
                        <w:i/>
                        <w:color w:val="auto"/>
                      </w:rPr>
                    </m:ctrlPr>
                  </m:e>
                </m:d>
                <m:ctrlPr>
                  <w:rPr>
                    <w:rFonts w:ascii="Cambria Math" w:hAnsi="Cambria Math"/>
                    <w:i/>
                    <w:color w:val="auto"/>
                  </w:rPr>
                </m:ctrlPr>
              </m:num>
              <m:den>
                <m:sSub>
                  <m:sSubPr>
                    <m:ctrlPr>
                      <w:rPr>
                        <w:rFonts w:ascii="Cambria Math" w:hAnsi="Cambria Math"/>
                        <w:i/>
                        <w:color w:val="auto"/>
                      </w:rPr>
                    </m:ctrlPr>
                  </m:sSubPr>
                  <m:e>
                    <m:r>
                      <m:rPr/>
                      <w:rPr>
                        <w:rFonts w:ascii="Cambria Math" w:hAnsi="Cambria Math"/>
                        <w:color w:val="auto"/>
                      </w:rPr>
                      <m:t>K</m:t>
                    </m:r>
                    <m:ctrlPr>
                      <w:rPr>
                        <w:rFonts w:ascii="Cambria Math" w:hAnsi="Cambria Math"/>
                        <w:i/>
                        <w:color w:val="auto"/>
                      </w:rPr>
                    </m:ctrlPr>
                  </m:e>
                  <m:sub>
                    <m:r>
                      <m:rPr/>
                      <w:rPr>
                        <w:rFonts w:ascii="Cambria Math" w:hAnsi="Cambria Math"/>
                        <w:color w:val="auto"/>
                      </w:rPr>
                      <m:t>global</m:t>
                    </m:r>
                    <m:ctrlPr>
                      <w:rPr>
                        <w:rFonts w:ascii="Cambria Math" w:hAnsi="Cambria Math"/>
                        <w:i/>
                        <w:color w:val="auto"/>
                      </w:rPr>
                    </m:ctrlPr>
                  </m:sub>
                </m:sSub>
                <m:ctrlPr>
                  <w:rPr>
                    <w:rFonts w:ascii="Cambria Math" w:hAnsi="Cambria Math"/>
                    <w:i/>
                    <w:color w:val="auto"/>
                  </w:rPr>
                </m:ctrlPr>
              </m:den>
            </m:f>
            <m:box>
              <m:boxPr>
                <m:diff m:val="1"/>
                <m:ctrlPr>
                  <w:rPr>
                    <w:rFonts w:ascii="Cambria Math" w:hAnsi="Cambria Math"/>
                    <w:i/>
                    <w:color w:val="auto"/>
                  </w:rPr>
                </m:ctrlPr>
              </m:boxPr>
              <m:e>
                <m:r>
                  <m:rPr/>
                  <w:rPr>
                    <w:rFonts w:ascii="Cambria Math" w:hAnsi="Cambria Math"/>
                    <w:color w:val="auto"/>
                  </w:rPr>
                  <m:t>dw</m:t>
                </m:r>
                <m:ctrlPr>
                  <w:rPr>
                    <w:rFonts w:ascii="Cambria Math" w:hAnsi="Cambria Math"/>
                    <w:i/>
                    <w:color w:val="auto"/>
                  </w:rPr>
                </m:ctrlPr>
              </m:e>
            </m:box>
            <m:ctrlPr>
              <w:rPr>
                <w:rFonts w:ascii="Cambria Math" w:hAnsi="Cambria Math"/>
                <w:i/>
                <w:color w:val="auto"/>
              </w:rPr>
            </m:ctrlPr>
          </m:e>
        </m:nary>
        <m:r>
          <m:rPr/>
          <w:rPr>
            <w:rFonts w:hint="eastAsia" w:ascii="Cambria Math" w:hAnsi="Cambria Math"/>
            <w:color w:val="auto"/>
          </w:rPr>
          <m:t>≥</m:t>
        </m:r>
        <m:r>
          <m:rPr/>
          <w:rPr>
            <w:rFonts w:ascii="Cambria Math" w:hAnsi="Cambria Math"/>
            <w:color w:val="auto"/>
          </w:rPr>
          <m:t>max</m:t>
        </m:r>
        <m:d>
          <m:dPr>
            <m:ctrlPr>
              <w:rPr>
                <w:rFonts w:ascii="Cambria Math" w:hAnsi="Cambria Math"/>
                <w:i/>
                <w:color w:val="auto"/>
              </w:rPr>
            </m:ctrlPr>
          </m:dPr>
          <m:e>
            <m:r>
              <m:rPr/>
              <w:rPr>
                <w:rFonts w:ascii="Cambria Math" w:hAnsi="Cambria Math"/>
                <w:color w:val="auto"/>
              </w:rPr>
              <m:t>0.4</m:t>
            </m:r>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ctm,el</m:t>
                </m:r>
                <m:ctrlPr>
                  <w:rPr>
                    <w:rFonts w:ascii="Cambria Math" w:hAnsi="Cambria Math"/>
                    <w:i/>
                    <w:color w:val="auto"/>
                  </w:rPr>
                </m:ctrlPr>
              </m:sub>
            </m:sSub>
            <m:r>
              <m:rPr/>
              <w:rPr>
                <w:rFonts w:ascii="Cambria Math" w:hAnsi="Cambria Math"/>
                <w:color w:val="auto"/>
              </w:rPr>
              <m:t>;3MPa</m:t>
            </m:r>
            <m:ctrlPr>
              <w:rPr>
                <w:rFonts w:ascii="Cambria Math" w:hAnsi="Cambria Math"/>
                <w:i/>
                <w:color w:val="auto"/>
              </w:rPr>
            </m:ctrlPr>
          </m:e>
        </m:d>
      </m:oMath>
      <w:r>
        <w:rPr>
          <w:rFonts w:hint="eastAsia" w:ascii="Times New Roman" w:hAnsi="Times New Roman" w:eastAsia="宋体"/>
          <w:color w:val="auto"/>
          <w:szCs w:val="21"/>
        </w:rPr>
        <w:t>的要求，且不考虑钢筋贡献的抗弯承载力不小于开裂弯矩时，超高性能混凝土构件中可不设置普通钢筋。当超高性能混凝土材料满足本规程表</w:t>
      </w:r>
      <w:r>
        <w:rPr>
          <w:rFonts w:ascii="Times New Roman" w:hAnsi="Times New Roman" w:eastAsia="宋体"/>
          <w:color w:val="auto"/>
          <w:szCs w:val="21"/>
        </w:rPr>
        <w:t>4.1.5</w:t>
      </w:r>
      <w:r>
        <w:rPr>
          <w:rFonts w:hint="eastAsia" w:ascii="Times New Roman" w:hAnsi="Times New Roman" w:eastAsia="宋体"/>
          <w:color w:val="auto"/>
          <w:szCs w:val="21"/>
        </w:rPr>
        <w:t>的规定时，超高性能混凝土材料延性的条件很容易满足。在此基础上，超高性能混凝土构件的疲劳性能和抗裂宽度验算满足本规程要求时，可不对纵向钢筋的最小配筋率作出要求。</w:t>
      </w:r>
    </w:p>
    <w:p w14:paraId="7E3A232E">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8</w:t>
      </w:r>
      <w:r>
        <w:rPr>
          <w:rFonts w:ascii="Times New Roman" w:hAnsi="Times New Roman" w:eastAsia="黑体" w:cs="Times New Roman"/>
          <w:b/>
          <w:bCs/>
          <w:color w:val="auto"/>
          <w:szCs w:val="24"/>
        </w:rPr>
        <w:t>.</w:t>
      </w:r>
      <w:r>
        <w:rPr>
          <w:rFonts w:hint="eastAsia" w:ascii="Times New Roman" w:hAnsi="Times New Roman" w:eastAsia="黑体" w:cs="Times New Roman"/>
          <w:b/>
          <w:bCs/>
          <w:color w:val="auto"/>
          <w:szCs w:val="24"/>
        </w:rPr>
        <w:t>2</w:t>
      </w:r>
      <w:r>
        <w:rPr>
          <w:rFonts w:ascii="Times New Roman" w:hAnsi="Times New Roman" w:eastAsia="黑体" w:cs="Times New Roman"/>
          <w:b/>
          <w:bCs/>
          <w:color w:val="auto"/>
          <w:szCs w:val="24"/>
        </w:rPr>
        <w:t>.5</w:t>
      </w:r>
      <w:r>
        <w:rPr>
          <w:rFonts w:ascii="Times New Roman" w:hAnsi="Times New Roman" w:eastAsia="黑体" w:cs="Times New Roman"/>
          <w:color w:val="auto"/>
          <w:sz w:val="24"/>
          <w:szCs w:val="24"/>
        </w:rPr>
        <w:t xml:space="preserve">  </w:t>
      </w:r>
      <w:r>
        <w:rPr>
          <w:rFonts w:hint="eastAsia" w:ascii="Times New Roman" w:hAnsi="Times New Roman" w:eastAsia="宋体"/>
          <w:color w:val="auto"/>
          <w:szCs w:val="21"/>
        </w:rPr>
        <w:t>根据已有研究成果，当超高性能混凝土材料延性、承载力、抗裂性满足要求时，可不配置箍筋。</w:t>
      </w:r>
    </w:p>
    <w:p w14:paraId="75A9AD70">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bCs/>
          <w:color w:val="auto"/>
          <w:szCs w:val="21"/>
        </w:rPr>
        <w:t xml:space="preserve">8.2.6  </w:t>
      </w:r>
      <w:r>
        <w:rPr>
          <w:rFonts w:hint="eastAsia" w:ascii="Times New Roman" w:hAnsi="Times New Roman" w:eastAsia="宋体"/>
          <w:color w:val="auto"/>
          <w:szCs w:val="21"/>
        </w:rPr>
        <w:t>考虑到超高性能混凝土与普通混凝土界面存在剪切应力，为避免界面发生错动，应在界面设置界面抗剪钢筋，间距应满足本条文规定。</w:t>
      </w:r>
    </w:p>
    <w:p w14:paraId="176489B5">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8.2</w:t>
      </w:r>
      <w:r>
        <w:rPr>
          <w:rFonts w:ascii="Times New Roman" w:hAnsi="Times New Roman" w:eastAsia="黑体" w:cs="Times New Roman"/>
          <w:b/>
          <w:bCs/>
          <w:color w:val="auto"/>
          <w:szCs w:val="24"/>
        </w:rPr>
        <w:t>.</w:t>
      </w:r>
      <w:r>
        <w:rPr>
          <w:rFonts w:hint="eastAsia" w:ascii="Times New Roman" w:hAnsi="Times New Roman" w:eastAsia="黑体" w:cs="Times New Roman"/>
          <w:b/>
          <w:bCs/>
          <w:color w:val="auto"/>
          <w:szCs w:val="24"/>
        </w:rPr>
        <w:t>7</w:t>
      </w:r>
      <w:r>
        <w:rPr>
          <w:rFonts w:ascii="Times New Roman" w:hAnsi="Times New Roman" w:eastAsia="黑体" w:cs="Times New Roman"/>
          <w:color w:val="auto"/>
          <w:sz w:val="24"/>
          <w:szCs w:val="24"/>
        </w:rPr>
        <w:t xml:space="preserve">  </w:t>
      </w:r>
      <w:r>
        <w:rPr>
          <w:rFonts w:hint="eastAsia" w:ascii="Times New Roman" w:hAnsi="Times New Roman" w:eastAsia="宋体"/>
          <w:color w:val="auto"/>
          <w:szCs w:val="21"/>
        </w:rPr>
        <w:t>组合式盖板结构普通混凝土部分宜根据现行行业规范《公路钢筋混凝土及预应力混凝土桥涵设计规范》</w:t>
      </w:r>
      <w:r>
        <w:rPr>
          <w:rFonts w:ascii="Times New Roman" w:hAnsi="Times New Roman" w:eastAsia="宋体"/>
          <w:color w:val="auto"/>
          <w:szCs w:val="21"/>
        </w:rPr>
        <w:t>JTG 3362</w:t>
      </w:r>
      <w:r>
        <w:rPr>
          <w:rFonts w:hint="eastAsia" w:ascii="Times New Roman" w:hAnsi="Times New Roman" w:eastAsia="宋体"/>
          <w:color w:val="auto"/>
          <w:szCs w:val="21"/>
        </w:rPr>
        <w:t>的规范设置构造钢筋，且注意横向构造钢筋需避开箍筋相交位置。</w:t>
      </w:r>
    </w:p>
    <w:p w14:paraId="4BC65012">
      <w:pPr>
        <w:rPr>
          <w:rFonts w:ascii="Times New Roman" w:hAnsi="Times New Roman" w:eastAsia="宋体"/>
          <w:b/>
          <w:color w:val="auto"/>
          <w:sz w:val="28"/>
          <w:szCs w:val="28"/>
        </w:rPr>
      </w:pPr>
      <w:r>
        <w:rPr>
          <w:rFonts w:ascii="Times New Roman" w:hAnsi="Times New Roman" w:eastAsia="宋体"/>
          <w:b/>
          <w:color w:val="auto"/>
          <w:sz w:val="28"/>
          <w:szCs w:val="28"/>
        </w:rPr>
        <w:br w:type="page"/>
      </w:r>
    </w:p>
    <w:p w14:paraId="11FAA260">
      <w:pPr>
        <w:numPr>
          <w:ilvl w:val="2"/>
          <w:numId w:val="0"/>
        </w:numPr>
        <w:spacing w:line="480" w:lineRule="auto"/>
        <w:jc w:val="center"/>
        <w:outlineLvl w:val="2"/>
        <w:rPr>
          <w:rFonts w:ascii="Times New Roman" w:hAnsi="Times New Roman" w:eastAsia="宋体"/>
          <w:b/>
          <w:color w:val="auto"/>
          <w:sz w:val="28"/>
          <w:szCs w:val="28"/>
        </w:rPr>
      </w:pPr>
      <w:r>
        <w:rPr>
          <w:rFonts w:hint="eastAsia" w:ascii="Times New Roman" w:hAnsi="Times New Roman" w:eastAsia="宋体"/>
          <w:b/>
          <w:color w:val="auto"/>
          <w:sz w:val="28"/>
          <w:szCs w:val="28"/>
        </w:rPr>
        <w:t>9</w:t>
      </w:r>
      <w:r>
        <w:rPr>
          <w:rFonts w:ascii="Times New Roman" w:hAnsi="Times New Roman" w:eastAsia="宋体"/>
          <w:b/>
          <w:color w:val="auto"/>
          <w:sz w:val="28"/>
          <w:szCs w:val="28"/>
        </w:rPr>
        <w:t xml:space="preserve">  </w:t>
      </w:r>
      <w:r>
        <w:rPr>
          <w:rFonts w:hint="eastAsia" w:ascii="Times New Roman" w:hAnsi="Times New Roman" w:eastAsia="宋体"/>
          <w:b/>
          <w:color w:val="auto"/>
          <w:sz w:val="28"/>
          <w:szCs w:val="28"/>
        </w:rPr>
        <w:t>施工</w:t>
      </w:r>
    </w:p>
    <w:p w14:paraId="5733FC90">
      <w:pPr>
        <w:spacing w:before="156" w:beforeLines="50" w:after="156" w:afterLines="50" w:line="480" w:lineRule="auto"/>
        <w:jc w:val="center"/>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9</w:t>
      </w:r>
      <w:r>
        <w:rPr>
          <w:rFonts w:ascii="Times New Roman" w:hAnsi="Times New Roman" w:eastAsia="宋体" w:cs="Times New Roman"/>
          <w:b/>
          <w:bCs/>
          <w:color w:val="auto"/>
          <w:sz w:val="24"/>
          <w:szCs w:val="24"/>
        </w:rPr>
        <w:t xml:space="preserve">.1  </w:t>
      </w:r>
      <w:r>
        <w:rPr>
          <w:rFonts w:hint="eastAsia" w:ascii="Times New Roman" w:hAnsi="Times New Roman" w:eastAsia="宋体" w:cs="Times New Roman"/>
          <w:b/>
          <w:bCs/>
          <w:color w:val="auto"/>
          <w:sz w:val="24"/>
          <w:szCs w:val="24"/>
        </w:rPr>
        <w:t>一般规定</w:t>
      </w:r>
    </w:p>
    <w:p w14:paraId="006D094B">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9</w:t>
      </w:r>
      <w:r>
        <w:rPr>
          <w:rFonts w:ascii="Times New Roman" w:hAnsi="Times New Roman" w:eastAsia="黑体" w:cs="Times New Roman"/>
          <w:b/>
          <w:bCs/>
          <w:color w:val="auto"/>
          <w:szCs w:val="24"/>
        </w:rPr>
        <w:t>.1.1</w:t>
      </w:r>
      <w:r>
        <w:rPr>
          <w:rFonts w:ascii="Times New Roman" w:hAnsi="Times New Roman" w:eastAsia="黑体" w:cs="Times New Roman"/>
          <w:color w:val="auto"/>
          <w:sz w:val="24"/>
          <w:szCs w:val="24"/>
        </w:rPr>
        <w:t xml:space="preserve">  </w:t>
      </w:r>
      <w:r>
        <w:rPr>
          <w:rFonts w:hint="eastAsia" w:ascii="Times New Roman" w:hAnsi="Times New Roman" w:eastAsia="宋体"/>
          <w:color w:val="auto"/>
          <w:szCs w:val="21"/>
        </w:rPr>
        <w:t>超高性能混凝土的施工与普通混凝土的施工有较大差异，对施工队伍的素质要求较高，应选择有相关工程经验的专业施工单位。</w:t>
      </w:r>
    </w:p>
    <w:p w14:paraId="720A21B7">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9</w:t>
      </w:r>
      <w:r>
        <w:rPr>
          <w:rFonts w:ascii="Times New Roman" w:hAnsi="Times New Roman" w:eastAsia="黑体" w:cs="Times New Roman"/>
          <w:b/>
          <w:bCs/>
          <w:color w:val="auto"/>
          <w:szCs w:val="24"/>
        </w:rPr>
        <w:t>.1.5</w:t>
      </w:r>
      <w:r>
        <w:rPr>
          <w:rFonts w:ascii="Times New Roman" w:hAnsi="Times New Roman" w:eastAsia="黑体" w:cs="Times New Roman"/>
          <w:color w:val="auto"/>
          <w:sz w:val="24"/>
          <w:szCs w:val="24"/>
        </w:rPr>
        <w:t xml:space="preserve">  </w:t>
      </w:r>
      <w:r>
        <w:rPr>
          <w:rFonts w:hint="eastAsia" w:ascii="Times New Roman" w:hAnsi="Times New Roman" w:eastAsia="宋体"/>
          <w:color w:val="auto"/>
          <w:szCs w:val="21"/>
        </w:rPr>
        <w:t>超高性能混凝土水胶比低，其性能受用水量的变化敏感。因此在运输和浇筑过程中往超高性能混凝土拌合物中加水会明显影响强度，同时对其耐久性和其他力学性能产生不利影响，具有较大危害。</w:t>
      </w:r>
    </w:p>
    <w:p w14:paraId="09BC4E6A">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9</w:t>
      </w:r>
      <w:r>
        <w:rPr>
          <w:rFonts w:ascii="Times New Roman" w:hAnsi="Times New Roman" w:eastAsia="黑体" w:cs="Times New Roman"/>
          <w:b/>
          <w:bCs/>
          <w:color w:val="auto"/>
          <w:szCs w:val="24"/>
        </w:rPr>
        <w:t>.1.6</w:t>
      </w:r>
      <w:r>
        <w:rPr>
          <w:rFonts w:ascii="Times New Roman" w:hAnsi="Times New Roman" w:eastAsia="黑体" w:cs="Times New Roman"/>
          <w:color w:val="auto"/>
          <w:sz w:val="24"/>
          <w:szCs w:val="24"/>
        </w:rPr>
        <w:t xml:space="preserve">  </w:t>
      </w:r>
      <w:r>
        <w:rPr>
          <w:rFonts w:hint="eastAsia" w:ascii="Times New Roman" w:hAnsi="Times New Roman" w:eastAsia="宋体"/>
          <w:color w:val="auto"/>
          <w:szCs w:val="21"/>
        </w:rPr>
        <w:t>钢纤维对超高性能混凝土力学性能至关重要。超高性能混凝土的表面易快速结皮，需要避免因超高性能混凝土结皮而产生施工冷缝，影响钢纤维连续性和构件整体性。另外一方面，设置施工缝会在接缝界面阻断钢纤维在超高性能混凝土的连续分布，影响其抗拉性能。“π”型</w:t>
      </w:r>
      <w:r>
        <w:rPr>
          <w:rFonts w:ascii="Times New Roman" w:hAnsi="Times New Roman" w:eastAsia="宋体"/>
          <w:color w:val="auto"/>
          <w:szCs w:val="21"/>
        </w:rPr>
        <w:t>/</w:t>
      </w:r>
      <w:r>
        <w:rPr>
          <w:rFonts w:hint="eastAsia" w:ascii="Times New Roman" w:hAnsi="Times New Roman" w:eastAsia="宋体"/>
          <w:color w:val="auto"/>
          <w:szCs w:val="21"/>
        </w:rPr>
        <w:t>“</w:t>
      </w:r>
      <w:r>
        <w:rPr>
          <w:rFonts w:ascii="Times New Roman" w:hAnsi="Times New Roman" w:eastAsia="宋体"/>
          <w:color w:val="auto"/>
          <w:szCs w:val="21"/>
        </w:rPr>
        <w:t>T</w:t>
      </w:r>
      <w:r>
        <w:rPr>
          <w:rFonts w:hint="eastAsia" w:ascii="Times New Roman" w:hAnsi="Times New Roman" w:eastAsia="宋体"/>
          <w:color w:val="auto"/>
          <w:szCs w:val="21"/>
        </w:rPr>
        <w:t>”型超高性能混凝土板的浇筑方量并不大，为确保结构受力完整性，超高性能混凝土板的底板和腹板一次性连续浇筑完成是十分必要的。</w:t>
      </w:r>
    </w:p>
    <w:p w14:paraId="0EF9B608">
      <w:pPr>
        <w:spacing w:before="156" w:beforeLines="50" w:after="156" w:afterLines="50" w:line="480" w:lineRule="auto"/>
        <w:jc w:val="center"/>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9</w:t>
      </w:r>
      <w:r>
        <w:rPr>
          <w:rFonts w:ascii="Times New Roman" w:hAnsi="Times New Roman" w:eastAsia="宋体" w:cs="Times New Roman"/>
          <w:b/>
          <w:bCs/>
          <w:color w:val="auto"/>
          <w:sz w:val="24"/>
          <w:szCs w:val="24"/>
        </w:rPr>
        <w:t xml:space="preserve">.2  </w:t>
      </w:r>
      <w:r>
        <w:rPr>
          <w:rFonts w:hint="eastAsia" w:ascii="Times New Roman" w:hAnsi="Times New Roman" w:eastAsia="宋体" w:cs="Times New Roman"/>
          <w:b/>
          <w:bCs/>
          <w:color w:val="auto"/>
          <w:sz w:val="24"/>
          <w:szCs w:val="24"/>
        </w:rPr>
        <w:t>钢筋施工</w:t>
      </w:r>
    </w:p>
    <w:p w14:paraId="1CC91744">
      <w:pPr>
        <w:spacing w:before="156" w:beforeLines="50" w:after="156" w:afterLines="50" w:line="360" w:lineRule="auto"/>
        <w:rPr>
          <w:rFonts w:ascii="Times New Roman" w:hAnsi="Times New Roman" w:eastAsia="宋体"/>
          <w:color w:val="auto"/>
          <w:szCs w:val="21"/>
        </w:rPr>
      </w:pPr>
      <w:r>
        <w:rPr>
          <w:rFonts w:hint="eastAsia" w:ascii="Times New Roman" w:hAnsi="Times New Roman" w:eastAsia="黑体" w:cs="Times New Roman"/>
          <w:b/>
          <w:bCs/>
          <w:color w:val="auto"/>
          <w:szCs w:val="24"/>
        </w:rPr>
        <w:t>9</w:t>
      </w:r>
      <w:r>
        <w:rPr>
          <w:rFonts w:ascii="Times New Roman" w:hAnsi="Times New Roman" w:eastAsia="黑体" w:cs="Times New Roman"/>
          <w:b/>
          <w:bCs/>
          <w:color w:val="auto"/>
          <w:szCs w:val="24"/>
        </w:rPr>
        <w:t>.2.1</w:t>
      </w:r>
      <w:r>
        <w:rPr>
          <w:rFonts w:hint="eastAsia" w:ascii="黑体" w:hAnsi="黑体" w:eastAsia="黑体" w:cs="黑体"/>
          <w:color w:val="auto"/>
          <w:sz w:val="24"/>
          <w:szCs w:val="24"/>
        </w:rPr>
        <w:t xml:space="preserve">  </w:t>
      </w:r>
      <w:r>
        <w:rPr>
          <w:rFonts w:hint="eastAsia" w:ascii="Times New Roman" w:hAnsi="Times New Roman" w:eastAsia="宋体"/>
          <w:color w:val="auto"/>
          <w:szCs w:val="21"/>
        </w:rPr>
        <w:t>超高性能混凝土板的长度一般为</w:t>
      </w:r>
      <w:r>
        <w:rPr>
          <w:rFonts w:ascii="Times New Roman" w:hAnsi="Times New Roman" w:eastAsia="宋体"/>
          <w:color w:val="auto"/>
          <w:szCs w:val="21"/>
        </w:rPr>
        <w:t>6.0m~10.0m</w:t>
      </w:r>
      <w:r>
        <w:rPr>
          <w:rFonts w:hint="eastAsia" w:ascii="Times New Roman" w:hAnsi="Times New Roman" w:eastAsia="宋体"/>
          <w:color w:val="auto"/>
          <w:szCs w:val="21"/>
        </w:rPr>
        <w:t>，而且纵筋间距较密，若设置接头，净距过小将局部影响超高性能混凝土的浇筑质量，底板受力纵筋宜通长布置。</w:t>
      </w:r>
    </w:p>
    <w:p w14:paraId="14539445">
      <w:pPr>
        <w:spacing w:before="156" w:beforeLines="50" w:after="156" w:afterLines="50" w:line="480" w:lineRule="auto"/>
        <w:jc w:val="center"/>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9</w:t>
      </w:r>
      <w:r>
        <w:rPr>
          <w:rFonts w:ascii="Times New Roman" w:hAnsi="Times New Roman" w:eastAsia="宋体" w:cs="Times New Roman"/>
          <w:b/>
          <w:bCs/>
          <w:color w:val="auto"/>
          <w:sz w:val="24"/>
          <w:szCs w:val="24"/>
        </w:rPr>
        <w:t xml:space="preserve">.3  </w:t>
      </w:r>
      <w:r>
        <w:rPr>
          <w:rFonts w:hint="eastAsia" w:ascii="Times New Roman" w:hAnsi="Times New Roman" w:eastAsia="宋体" w:cs="Times New Roman"/>
          <w:b/>
          <w:bCs/>
          <w:color w:val="auto"/>
          <w:sz w:val="24"/>
          <w:szCs w:val="24"/>
        </w:rPr>
        <w:t>模板</w:t>
      </w:r>
    </w:p>
    <w:p w14:paraId="656BD49C">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9</w:t>
      </w:r>
      <w:r>
        <w:rPr>
          <w:rFonts w:ascii="Times New Roman" w:hAnsi="Times New Roman" w:eastAsia="黑体" w:cs="Times New Roman"/>
          <w:b/>
          <w:bCs/>
          <w:color w:val="auto"/>
          <w:szCs w:val="24"/>
        </w:rPr>
        <w:t>.3.1</w:t>
      </w:r>
      <w:r>
        <w:rPr>
          <w:rFonts w:ascii="Times New Roman" w:hAnsi="Times New Roman" w:eastAsia="黑体" w:cs="Times New Roman"/>
          <w:color w:val="auto"/>
          <w:sz w:val="24"/>
          <w:szCs w:val="24"/>
        </w:rPr>
        <w:t xml:space="preserve"> </w:t>
      </w:r>
      <w:r>
        <w:rPr>
          <w:rFonts w:hint="eastAsia" w:ascii="黑体" w:hAnsi="黑体" w:eastAsia="黑体" w:cs="黑体"/>
          <w:color w:val="auto"/>
          <w:sz w:val="24"/>
          <w:szCs w:val="24"/>
        </w:rPr>
        <w:t xml:space="preserve"> </w:t>
      </w:r>
      <w:r>
        <w:rPr>
          <w:rFonts w:hint="eastAsia" w:ascii="Times New Roman" w:hAnsi="Times New Roman" w:eastAsia="宋体"/>
          <w:color w:val="auto"/>
          <w:szCs w:val="21"/>
        </w:rPr>
        <w:t>本规程要求超高性能混凝土工作性能达到自密实混凝土的要求，超高性能混凝土对模板侧压力应按液体压力予以计算。与普通混凝土相比，具有自密实性能的超高性能混凝土在浇筑过程中，下部模板所承受的侧向压力会随着浇筑高度增长而线性增加，要求模板具有更高的刚度和坚固程度，宜采用钢模。</w:t>
      </w:r>
    </w:p>
    <w:p w14:paraId="74C851B1">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9</w:t>
      </w:r>
      <w:r>
        <w:rPr>
          <w:rFonts w:ascii="Times New Roman" w:hAnsi="Times New Roman" w:eastAsia="黑体" w:cs="Times New Roman"/>
          <w:b/>
          <w:bCs/>
          <w:color w:val="auto"/>
          <w:szCs w:val="24"/>
        </w:rPr>
        <w:t>.3.2</w:t>
      </w:r>
      <w:r>
        <w:rPr>
          <w:rFonts w:ascii="Times New Roman" w:hAnsi="Times New Roman" w:eastAsia="黑体" w:cs="Times New Roman"/>
          <w:b/>
          <w:bCs/>
          <w:color w:val="auto"/>
          <w:sz w:val="24"/>
          <w:szCs w:val="24"/>
        </w:rPr>
        <w:t xml:space="preserve">  </w:t>
      </w:r>
      <w:r>
        <w:rPr>
          <w:rFonts w:hint="eastAsia" w:ascii="Times New Roman" w:hAnsi="Times New Roman" w:eastAsia="宋体"/>
          <w:color w:val="auto"/>
          <w:szCs w:val="21"/>
        </w:rPr>
        <w:t>超高性能混凝土流动性大，模板间的微小缝隙会造成跑浆、漏浆等现象，影响超高性能混凝土均匀性和强度发展，为此规定模板接缝不得漏浆。</w:t>
      </w:r>
    </w:p>
    <w:p w14:paraId="43F2D828">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9</w:t>
      </w:r>
      <w:r>
        <w:rPr>
          <w:rFonts w:ascii="Times New Roman" w:hAnsi="Times New Roman" w:eastAsia="黑体" w:cs="Times New Roman"/>
          <w:b/>
          <w:bCs/>
          <w:color w:val="auto"/>
          <w:szCs w:val="24"/>
        </w:rPr>
        <w:t xml:space="preserve">.3.3 </w:t>
      </w:r>
      <w:r>
        <w:rPr>
          <w:rFonts w:ascii="Times New Roman" w:hAnsi="Times New Roman" w:eastAsia="宋体"/>
          <w:b/>
          <w:bCs/>
          <w:color w:val="auto"/>
          <w:szCs w:val="21"/>
        </w:rPr>
        <w:t xml:space="preserve"> </w:t>
      </w:r>
      <w:r>
        <w:rPr>
          <w:rFonts w:hint="eastAsia" w:ascii="Times New Roman" w:hAnsi="Times New Roman" w:eastAsia="宋体"/>
          <w:color w:val="auto"/>
          <w:szCs w:val="21"/>
        </w:rPr>
        <w:t>超高性能混凝土浇筑完成后一般需保湿养护</w:t>
      </w:r>
      <w:r>
        <w:rPr>
          <w:rFonts w:ascii="Times New Roman" w:hAnsi="Times New Roman" w:eastAsia="宋体"/>
          <w:color w:val="auto"/>
          <w:szCs w:val="21"/>
        </w:rPr>
        <w:t>24h~48h</w:t>
      </w:r>
      <w:r>
        <w:rPr>
          <w:rFonts w:hint="eastAsia" w:ascii="Times New Roman" w:hAnsi="Times New Roman" w:eastAsia="宋体"/>
          <w:color w:val="auto"/>
          <w:szCs w:val="21"/>
        </w:rPr>
        <w:t>，根据超高性能混凝土强度发展规律，超高性能混凝土浇筑完成后</w:t>
      </w:r>
      <w:r>
        <w:rPr>
          <w:rFonts w:ascii="Times New Roman" w:hAnsi="Times New Roman" w:eastAsia="宋体"/>
          <w:color w:val="auto"/>
          <w:szCs w:val="21"/>
        </w:rPr>
        <w:t>24h~48h</w:t>
      </w:r>
      <w:r>
        <w:rPr>
          <w:rFonts w:hint="eastAsia" w:ascii="Times New Roman" w:hAnsi="Times New Roman" w:eastAsia="宋体"/>
          <w:color w:val="auto"/>
          <w:szCs w:val="21"/>
        </w:rPr>
        <w:t>，超高性能混凝土强度可达到</w:t>
      </w:r>
      <w:r>
        <w:rPr>
          <w:rFonts w:ascii="Times New Roman" w:hAnsi="Times New Roman" w:eastAsia="宋体"/>
          <w:color w:val="auto"/>
          <w:szCs w:val="21"/>
        </w:rPr>
        <w:t>40 MPa</w:t>
      </w:r>
      <w:r>
        <w:rPr>
          <w:rFonts w:hint="eastAsia" w:ascii="Times New Roman" w:hAnsi="Times New Roman" w:eastAsia="宋体"/>
          <w:color w:val="auto"/>
          <w:szCs w:val="21"/>
        </w:rPr>
        <w:t>以上，可保证超高性能混凝土梁体不会因脱模而损坏、断裂。在低温、干燥或大风环境下拆除模板时，外界的不良环境会使超高性能混凝土的内表温差过大或使超高性能混凝土表面过快失水，从而导致超高性能混凝土表面出现裂缝，严重者会产生裂缝，故规定应采取必要的措施予以防止。</w:t>
      </w:r>
    </w:p>
    <w:p w14:paraId="565B3CE3">
      <w:pPr>
        <w:spacing w:before="156" w:beforeLines="50" w:after="156" w:afterLines="50" w:line="480" w:lineRule="auto"/>
        <w:jc w:val="center"/>
        <w:rPr>
          <w:rFonts w:hint="eastAsia" w:ascii="宋体" w:hAnsi="宋体" w:eastAsia="宋体" w:cs="宋体"/>
          <w:b/>
          <w:bCs/>
          <w:color w:val="auto"/>
          <w:sz w:val="24"/>
          <w:szCs w:val="24"/>
        </w:rPr>
      </w:pPr>
      <w:r>
        <w:rPr>
          <w:rFonts w:hint="eastAsia" w:ascii="Times New Roman" w:hAnsi="Times New Roman" w:eastAsia="宋体" w:cs="Times New Roman"/>
          <w:b/>
          <w:bCs/>
          <w:color w:val="auto"/>
          <w:sz w:val="24"/>
          <w:szCs w:val="24"/>
        </w:rPr>
        <w:t>9</w:t>
      </w:r>
      <w:r>
        <w:rPr>
          <w:rFonts w:ascii="Times New Roman" w:hAnsi="Times New Roman" w:eastAsia="宋体" w:cs="Times New Roman"/>
          <w:b/>
          <w:bCs/>
          <w:color w:val="auto"/>
          <w:sz w:val="24"/>
          <w:szCs w:val="24"/>
        </w:rPr>
        <w:t>.4</w:t>
      </w:r>
      <w:r>
        <w:rPr>
          <w:rFonts w:hint="eastAsia" w:ascii="宋体" w:hAnsi="宋体" w:eastAsia="宋体" w:cs="宋体"/>
          <w:b/>
          <w:bCs/>
          <w:color w:val="auto"/>
          <w:sz w:val="24"/>
          <w:szCs w:val="24"/>
        </w:rPr>
        <w:t xml:space="preserve">  超高性能混凝土拌合和预制</w:t>
      </w:r>
    </w:p>
    <w:p w14:paraId="053BBFD0">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黑体" w:cs="Times New Roman"/>
          <w:b/>
          <w:bCs/>
          <w:color w:val="auto"/>
          <w:szCs w:val="24"/>
        </w:rPr>
        <w:t>9</w:t>
      </w:r>
      <w:r>
        <w:rPr>
          <w:rFonts w:ascii="Times New Roman" w:hAnsi="Times New Roman" w:eastAsia="黑体" w:cs="Times New Roman"/>
          <w:b/>
          <w:bCs/>
          <w:color w:val="auto"/>
          <w:szCs w:val="24"/>
        </w:rPr>
        <w:t xml:space="preserve">.4.1 </w:t>
      </w:r>
      <w:r>
        <w:rPr>
          <w:rFonts w:ascii="Times New Roman" w:hAnsi="Times New Roman" w:eastAsia="宋体"/>
          <w:b/>
          <w:color w:val="auto"/>
          <w:szCs w:val="21"/>
        </w:rPr>
        <w:t xml:space="preserve"> </w:t>
      </w:r>
      <w:r>
        <w:rPr>
          <w:rFonts w:hint="eastAsia" w:ascii="Times New Roman" w:hAnsi="Times New Roman" w:eastAsia="宋体"/>
          <w:color w:val="auto"/>
          <w:szCs w:val="21"/>
        </w:rPr>
        <w:t>超高性能混凝土施工注意事项与普通混凝土和常规的钢纤维混凝土均有所不同。为此，施工过程中应对超高性能混凝土原材料要求、计量、储存、搅拌、运输、浇筑和养护等关键过程和工艺予以重点关注。</w:t>
      </w:r>
    </w:p>
    <w:p w14:paraId="603A3EE4">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color w:val="auto"/>
          <w:szCs w:val="21"/>
        </w:rPr>
        <w:t>9</w:t>
      </w:r>
      <w:r>
        <w:rPr>
          <w:rFonts w:ascii="Times New Roman" w:hAnsi="Times New Roman" w:eastAsia="宋体"/>
          <w:b/>
          <w:color w:val="auto"/>
          <w:szCs w:val="21"/>
        </w:rPr>
        <w:t xml:space="preserve">.4.2  </w:t>
      </w:r>
      <w:r>
        <w:rPr>
          <w:rFonts w:hint="eastAsia" w:ascii="Times New Roman" w:hAnsi="Times New Roman" w:eastAsia="宋体"/>
          <w:color w:val="auto"/>
          <w:szCs w:val="21"/>
        </w:rPr>
        <w:t>超高性能混凝土的原材料，现说明如下：</w:t>
      </w:r>
    </w:p>
    <w:p w14:paraId="358B90BD">
      <w:pPr>
        <w:spacing w:line="360" w:lineRule="auto"/>
        <w:ind w:firstLine="420"/>
        <w:rPr>
          <w:rFonts w:ascii="Times New Roman" w:hAnsi="Times New Roman" w:eastAsia="宋体"/>
          <w:color w:val="auto"/>
          <w:szCs w:val="21"/>
        </w:rPr>
      </w:pPr>
      <w:r>
        <w:rPr>
          <w:rFonts w:ascii="Times New Roman" w:hAnsi="Times New Roman" w:eastAsia="宋体"/>
          <w:b/>
          <w:color w:val="auto"/>
          <w:szCs w:val="21"/>
        </w:rPr>
        <w:t>1</w:t>
      </w:r>
      <w:r>
        <w:rPr>
          <w:rFonts w:ascii="Times New Roman" w:hAnsi="Times New Roman" w:eastAsia="宋体"/>
          <w:color w:val="auto"/>
          <w:szCs w:val="21"/>
        </w:rPr>
        <w:t xml:space="preserve"> </w:t>
      </w:r>
      <w:r>
        <w:rPr>
          <w:rFonts w:hint="eastAsia" w:ascii="Times New Roman" w:hAnsi="Times New Roman" w:eastAsia="宋体"/>
          <w:color w:val="auto"/>
          <w:szCs w:val="21"/>
        </w:rPr>
        <w:t>为有效控制超高性能混凝土的质量，一般情况下选用硅酸盐水泥或普通硅酸盐水泥，超高性能混凝土</w:t>
      </w:r>
      <w:r>
        <w:rPr>
          <w:rFonts w:ascii="Times New Roman" w:hAnsi="Times New Roman" w:eastAsia="宋体"/>
          <w:color w:val="auto"/>
          <w:szCs w:val="21"/>
        </w:rPr>
        <w:t>-</w:t>
      </w:r>
      <w:r>
        <w:rPr>
          <w:rFonts w:hint="eastAsia" w:ascii="Times New Roman" w:hAnsi="Times New Roman" w:eastAsia="宋体"/>
          <w:color w:val="auto"/>
          <w:szCs w:val="21"/>
        </w:rPr>
        <w:t>普通混凝土组合式盖板结构主要利用配筋超高性能混凝土的受拉及抗裂性能，对水泥提出了更高要求。</w:t>
      </w:r>
    </w:p>
    <w:p w14:paraId="463C6951">
      <w:pPr>
        <w:spacing w:line="360" w:lineRule="auto"/>
        <w:ind w:firstLine="420"/>
        <w:rPr>
          <w:rFonts w:ascii="Times New Roman" w:hAnsi="Times New Roman" w:eastAsia="宋体"/>
          <w:color w:val="auto"/>
          <w:szCs w:val="21"/>
        </w:rPr>
      </w:pPr>
      <w:r>
        <w:rPr>
          <w:rFonts w:ascii="Times New Roman" w:hAnsi="Times New Roman" w:eastAsia="宋体"/>
          <w:b/>
          <w:color w:val="auto"/>
          <w:szCs w:val="21"/>
        </w:rPr>
        <w:t>2</w:t>
      </w:r>
      <w:r>
        <w:rPr>
          <w:rFonts w:ascii="Times New Roman" w:hAnsi="Times New Roman" w:eastAsia="宋体"/>
          <w:color w:val="auto"/>
          <w:szCs w:val="21"/>
        </w:rPr>
        <w:t xml:space="preserve"> </w:t>
      </w:r>
      <w:r>
        <w:rPr>
          <w:rFonts w:hint="eastAsia" w:ascii="Times New Roman" w:hAnsi="Times New Roman" w:eastAsia="宋体"/>
          <w:color w:val="auto"/>
          <w:szCs w:val="21"/>
        </w:rPr>
        <w:t>细骨料宜采用石英砂，部分需从广西区外购入，为降低超高性能混凝土材料成本，可以采用广西本土机制砂来全部或部分代替石英砂，但必须通过试验调整配比，确保超高性能混凝土各项性能指标符合设计要求。</w:t>
      </w:r>
    </w:p>
    <w:p w14:paraId="16A12D48">
      <w:pPr>
        <w:spacing w:line="360" w:lineRule="auto"/>
        <w:ind w:firstLine="422" w:firstLineChars="200"/>
        <w:rPr>
          <w:rFonts w:ascii="Times New Roman" w:hAnsi="Times New Roman" w:eastAsia="宋体"/>
          <w:color w:val="auto"/>
          <w:szCs w:val="21"/>
        </w:rPr>
      </w:pPr>
      <w:r>
        <w:rPr>
          <w:rFonts w:ascii="Times New Roman" w:hAnsi="Times New Roman" w:eastAsia="宋体"/>
          <w:b/>
          <w:color w:val="auto"/>
          <w:szCs w:val="21"/>
        </w:rPr>
        <w:t>3</w:t>
      </w:r>
      <w:r>
        <w:rPr>
          <w:rFonts w:ascii="Times New Roman" w:hAnsi="Times New Roman" w:eastAsia="宋体"/>
          <w:color w:val="auto"/>
          <w:szCs w:val="21"/>
        </w:rPr>
        <w:t xml:space="preserve"> </w:t>
      </w:r>
      <w:r>
        <w:rPr>
          <w:rFonts w:hint="eastAsia" w:ascii="Times New Roman" w:hAnsi="Times New Roman" w:eastAsia="宋体"/>
          <w:color w:val="auto"/>
          <w:szCs w:val="21"/>
        </w:rPr>
        <w:t>对于超高性能混凝土</w:t>
      </w:r>
      <w:r>
        <w:rPr>
          <w:rFonts w:ascii="Times New Roman" w:hAnsi="Times New Roman" w:eastAsia="宋体"/>
          <w:color w:val="auto"/>
          <w:szCs w:val="21"/>
        </w:rPr>
        <w:t>-</w:t>
      </w:r>
      <w:r>
        <w:rPr>
          <w:rFonts w:hint="eastAsia" w:ascii="Times New Roman" w:hAnsi="Times New Roman" w:eastAsia="宋体"/>
          <w:color w:val="auto"/>
          <w:szCs w:val="21"/>
        </w:rPr>
        <w:t>普通混凝土组合式盖板结构，从经济性及结构抗裂性要求角度，配筋超高性能混凝土板的钢纤维体积含量宜大于</w:t>
      </w:r>
      <w:r>
        <w:rPr>
          <w:rFonts w:ascii="Times New Roman" w:hAnsi="Times New Roman" w:eastAsia="宋体"/>
          <w:color w:val="auto"/>
          <w:szCs w:val="21"/>
        </w:rPr>
        <w:t>2%</w:t>
      </w:r>
      <w:r>
        <w:rPr>
          <w:rFonts w:hint="eastAsia" w:ascii="Times New Roman" w:hAnsi="Times New Roman" w:eastAsia="宋体"/>
          <w:color w:val="auto"/>
          <w:szCs w:val="21"/>
        </w:rPr>
        <w:t>，推荐采用直径</w:t>
      </w:r>
      <w:r>
        <w:rPr>
          <w:rFonts w:ascii="Times New Roman" w:hAnsi="Times New Roman" w:eastAsia="宋体"/>
          <w:color w:val="auto"/>
          <w:szCs w:val="21"/>
        </w:rPr>
        <w:t>0.2mm</w:t>
      </w:r>
      <w:r>
        <w:rPr>
          <w:rFonts w:hint="eastAsia" w:ascii="Times New Roman" w:hAnsi="Times New Roman" w:eastAsia="宋体"/>
          <w:color w:val="auto"/>
          <w:szCs w:val="21"/>
        </w:rPr>
        <w:t>、长度</w:t>
      </w:r>
      <w:r>
        <w:rPr>
          <w:rFonts w:ascii="Times New Roman" w:hAnsi="Times New Roman" w:eastAsia="宋体"/>
          <w:color w:val="auto"/>
          <w:szCs w:val="21"/>
        </w:rPr>
        <w:t>13mm</w:t>
      </w:r>
      <w:r>
        <w:rPr>
          <w:rFonts w:hint="eastAsia" w:ascii="Times New Roman" w:hAnsi="Times New Roman" w:eastAsia="宋体"/>
          <w:color w:val="auto"/>
          <w:szCs w:val="21"/>
        </w:rPr>
        <w:t>的平直型或带端钩钢纤维。</w:t>
      </w:r>
    </w:p>
    <w:p w14:paraId="4052E95D">
      <w:pPr>
        <w:numPr>
          <w:ilvl w:val="2"/>
          <w:numId w:val="0"/>
        </w:numPr>
        <w:spacing w:line="360" w:lineRule="auto"/>
        <w:outlineLvl w:val="2"/>
        <w:rPr>
          <w:rFonts w:hint="eastAsia"/>
          <w:color w:val="auto"/>
        </w:rPr>
      </w:pPr>
      <w:r>
        <w:rPr>
          <w:rFonts w:hint="eastAsia" w:ascii="Times New Roman" w:hAnsi="Times New Roman" w:eastAsia="宋体"/>
          <w:b/>
          <w:color w:val="auto"/>
          <w:szCs w:val="21"/>
        </w:rPr>
        <w:t>9</w:t>
      </w:r>
      <w:r>
        <w:rPr>
          <w:rFonts w:ascii="Times New Roman" w:hAnsi="Times New Roman" w:eastAsia="宋体"/>
          <w:b/>
          <w:color w:val="auto"/>
          <w:szCs w:val="21"/>
        </w:rPr>
        <w:t xml:space="preserve">.4.3  </w:t>
      </w:r>
      <w:r>
        <w:rPr>
          <w:rFonts w:hint="eastAsia" w:ascii="Times New Roman" w:hAnsi="Times New Roman" w:eastAsia="宋体" w:cs="Times New Roman"/>
          <w:color w:val="auto"/>
          <w:szCs w:val="21"/>
        </w:rPr>
        <w:t>本条文参照现行国家标准《活性粉末混凝土》</w:t>
      </w:r>
      <w:r>
        <w:rPr>
          <w:rFonts w:ascii="Times New Roman" w:hAnsi="Times New Roman" w:eastAsia="宋体" w:cs="Times New Roman"/>
          <w:color w:val="auto"/>
          <w:szCs w:val="21"/>
        </w:rPr>
        <w:t>GB/T 31387</w:t>
      </w:r>
      <w:r>
        <w:rPr>
          <w:rFonts w:hint="eastAsia" w:ascii="Times New Roman" w:hAnsi="Times New Roman" w:eastAsia="宋体" w:cs="Times New Roman"/>
          <w:color w:val="auto"/>
          <w:szCs w:val="21"/>
        </w:rPr>
        <w:t>及《超高性能混凝土梁式桥技术规程》</w:t>
      </w:r>
      <w:r>
        <w:rPr>
          <w:rFonts w:ascii="Times New Roman" w:hAnsi="Times New Roman" w:eastAsia="宋体" w:cs="Times New Roman"/>
          <w:color w:val="auto"/>
          <w:szCs w:val="21"/>
        </w:rPr>
        <w:t>T/CCES 27-2021</w:t>
      </w:r>
      <w:r>
        <w:rPr>
          <w:rFonts w:hint="eastAsia" w:ascii="Times New Roman" w:hAnsi="Times New Roman" w:eastAsia="宋体" w:cs="Times New Roman"/>
          <w:color w:val="auto"/>
          <w:szCs w:val="21"/>
        </w:rPr>
        <w:t>的相关规定。</w:t>
      </w:r>
    </w:p>
    <w:p w14:paraId="47CF7631">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bCs/>
          <w:color w:val="auto"/>
          <w:szCs w:val="21"/>
        </w:rPr>
        <w:t>9</w:t>
      </w:r>
      <w:r>
        <w:rPr>
          <w:rFonts w:ascii="Times New Roman" w:hAnsi="Times New Roman" w:eastAsia="宋体"/>
          <w:b/>
          <w:bCs/>
          <w:color w:val="auto"/>
          <w:szCs w:val="21"/>
        </w:rPr>
        <w:t>.4.4~</w:t>
      </w:r>
      <w:r>
        <w:rPr>
          <w:rFonts w:hint="eastAsia" w:ascii="Times New Roman" w:hAnsi="Times New Roman" w:eastAsia="宋体"/>
          <w:b/>
          <w:bCs/>
          <w:color w:val="auto"/>
          <w:szCs w:val="21"/>
        </w:rPr>
        <w:t>9</w:t>
      </w:r>
      <w:r>
        <w:rPr>
          <w:rFonts w:ascii="Times New Roman" w:hAnsi="Times New Roman" w:eastAsia="宋体"/>
          <w:b/>
          <w:bCs/>
          <w:color w:val="auto"/>
          <w:szCs w:val="21"/>
        </w:rPr>
        <w:t>.</w:t>
      </w:r>
      <w:r>
        <w:rPr>
          <w:rFonts w:hint="eastAsia" w:ascii="Times New Roman" w:hAnsi="Times New Roman" w:eastAsia="宋体"/>
          <w:b/>
          <w:bCs/>
          <w:color w:val="auto"/>
          <w:szCs w:val="21"/>
        </w:rPr>
        <w:t>4</w:t>
      </w:r>
      <w:r>
        <w:rPr>
          <w:rFonts w:ascii="Times New Roman" w:hAnsi="Times New Roman" w:eastAsia="宋体"/>
          <w:b/>
          <w:bCs/>
          <w:color w:val="auto"/>
          <w:szCs w:val="21"/>
        </w:rPr>
        <w:t xml:space="preserve">.8 </w:t>
      </w:r>
      <w:r>
        <w:rPr>
          <w:rFonts w:hint="eastAsia" w:ascii="Times New Roman" w:hAnsi="Times New Roman" w:eastAsia="宋体"/>
          <w:color w:val="auto"/>
          <w:szCs w:val="21"/>
        </w:rPr>
        <w:t>本条文参照</w:t>
      </w:r>
      <w:r>
        <w:rPr>
          <w:rFonts w:hint="eastAsia" w:ascii="Times New Roman" w:hAnsi="Times New Roman" w:eastAsia="宋体" w:cs="Times New Roman"/>
          <w:color w:val="auto"/>
          <w:szCs w:val="21"/>
        </w:rPr>
        <w:t>现行国家标准《活性粉末混凝土》</w:t>
      </w:r>
      <w:r>
        <w:rPr>
          <w:rFonts w:ascii="Times New Roman" w:hAnsi="Times New Roman" w:eastAsia="宋体" w:cs="Times New Roman"/>
          <w:color w:val="auto"/>
          <w:szCs w:val="21"/>
        </w:rPr>
        <w:t>GB/T 31387</w:t>
      </w:r>
      <w:r>
        <w:rPr>
          <w:rFonts w:hint="eastAsia" w:ascii="Times New Roman" w:hAnsi="Times New Roman" w:eastAsia="宋体" w:cs="Times New Roman"/>
          <w:color w:val="auto"/>
          <w:szCs w:val="21"/>
        </w:rPr>
        <w:t>及《超高性能混凝土梁式桥技术规程》</w:t>
      </w:r>
      <w:r>
        <w:rPr>
          <w:rFonts w:ascii="Times New Roman" w:hAnsi="Times New Roman" w:eastAsia="宋体" w:cs="Times New Roman"/>
          <w:color w:val="auto"/>
          <w:szCs w:val="21"/>
        </w:rPr>
        <w:t>T/CCES 27-2021</w:t>
      </w:r>
      <w:r>
        <w:rPr>
          <w:rFonts w:hint="eastAsia" w:ascii="Times New Roman" w:hAnsi="Times New Roman" w:eastAsia="宋体" w:cs="Times New Roman"/>
          <w:color w:val="auto"/>
          <w:szCs w:val="21"/>
        </w:rPr>
        <w:t>的相关规定。</w:t>
      </w:r>
    </w:p>
    <w:p w14:paraId="7CF614BB">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bCs/>
          <w:color w:val="auto"/>
          <w:szCs w:val="21"/>
        </w:rPr>
        <w:t>9</w:t>
      </w:r>
      <w:r>
        <w:rPr>
          <w:rFonts w:ascii="Times New Roman" w:hAnsi="Times New Roman" w:eastAsia="宋体"/>
          <w:b/>
          <w:bCs/>
          <w:color w:val="auto"/>
          <w:szCs w:val="21"/>
        </w:rPr>
        <w:t xml:space="preserve">.4.9 </w:t>
      </w:r>
      <w:r>
        <w:rPr>
          <w:rFonts w:ascii="Times New Roman" w:hAnsi="Times New Roman" w:eastAsia="宋体"/>
          <w:color w:val="auto"/>
          <w:szCs w:val="21"/>
        </w:rPr>
        <w:t xml:space="preserve"> </w:t>
      </w:r>
      <w:r>
        <w:rPr>
          <w:rFonts w:hint="eastAsia" w:ascii="Times New Roman" w:hAnsi="Times New Roman" w:eastAsia="宋体"/>
          <w:color w:val="auto"/>
          <w:szCs w:val="21"/>
        </w:rPr>
        <w:t>与普通混凝土构件相比，超高性能混凝土构件壁厚更轻薄。为确保施工质量，结合国内工程经验，在现行《公路工程质量检验评定标准</w:t>
      </w:r>
      <w:r>
        <w:rPr>
          <w:rFonts w:ascii="Times New Roman" w:hAnsi="Times New Roman" w:eastAsia="宋体"/>
          <w:color w:val="auto"/>
          <w:szCs w:val="21"/>
        </w:rPr>
        <w:t xml:space="preserve"> </w:t>
      </w:r>
      <w:r>
        <w:rPr>
          <w:rFonts w:hint="eastAsia" w:ascii="Times New Roman" w:hAnsi="Times New Roman" w:eastAsia="宋体"/>
          <w:color w:val="auto"/>
          <w:szCs w:val="21"/>
        </w:rPr>
        <w:t>第一册</w:t>
      </w:r>
      <w:r>
        <w:rPr>
          <w:rFonts w:ascii="Times New Roman" w:hAnsi="Times New Roman" w:eastAsia="宋体"/>
          <w:color w:val="auto"/>
          <w:szCs w:val="21"/>
        </w:rPr>
        <w:t xml:space="preserve"> </w:t>
      </w:r>
      <w:r>
        <w:rPr>
          <w:rFonts w:hint="eastAsia" w:ascii="Times New Roman" w:hAnsi="Times New Roman" w:eastAsia="宋体"/>
          <w:color w:val="auto"/>
          <w:szCs w:val="21"/>
        </w:rPr>
        <w:t>土建工程》（</w:t>
      </w:r>
      <w:r>
        <w:rPr>
          <w:rFonts w:ascii="Times New Roman" w:hAnsi="Times New Roman" w:eastAsia="宋体"/>
          <w:color w:val="auto"/>
          <w:szCs w:val="21"/>
        </w:rPr>
        <w:t>JTG F80/1</w:t>
      </w:r>
      <w:r>
        <w:rPr>
          <w:rFonts w:hint="eastAsia" w:ascii="Times New Roman" w:hAnsi="Times New Roman" w:eastAsia="宋体"/>
          <w:color w:val="auto"/>
          <w:szCs w:val="21"/>
        </w:rPr>
        <w:t>），适当提高了超高性能混凝土构件板厚等预制要求。</w:t>
      </w:r>
    </w:p>
    <w:p w14:paraId="46A3095B">
      <w:pPr>
        <w:spacing w:before="156" w:beforeLines="50" w:after="156" w:afterLines="50" w:line="480" w:lineRule="auto"/>
        <w:jc w:val="center"/>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9</w:t>
      </w:r>
      <w:r>
        <w:rPr>
          <w:rFonts w:ascii="Times New Roman" w:hAnsi="Times New Roman" w:eastAsia="宋体" w:cs="Times New Roman"/>
          <w:b/>
          <w:bCs/>
          <w:color w:val="auto"/>
          <w:sz w:val="24"/>
          <w:szCs w:val="24"/>
        </w:rPr>
        <w:t xml:space="preserve">.5  </w:t>
      </w:r>
      <w:r>
        <w:rPr>
          <w:rFonts w:hint="eastAsia" w:ascii="Times New Roman" w:hAnsi="Times New Roman" w:eastAsia="宋体" w:cs="Times New Roman"/>
          <w:b/>
          <w:bCs/>
          <w:color w:val="auto"/>
          <w:sz w:val="24"/>
          <w:szCs w:val="24"/>
        </w:rPr>
        <w:t>超高性能混凝土板的运输与现场安装</w:t>
      </w:r>
    </w:p>
    <w:p w14:paraId="77AAB754">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bCs/>
          <w:color w:val="auto"/>
          <w:szCs w:val="21"/>
        </w:rPr>
        <w:t>9</w:t>
      </w:r>
      <w:r>
        <w:rPr>
          <w:rFonts w:ascii="Times New Roman" w:hAnsi="Times New Roman" w:eastAsia="宋体"/>
          <w:b/>
          <w:bCs/>
          <w:color w:val="auto"/>
          <w:szCs w:val="21"/>
        </w:rPr>
        <w:t xml:space="preserve">.5.2 </w:t>
      </w:r>
      <w:r>
        <w:rPr>
          <w:rFonts w:ascii="Times New Roman" w:hAnsi="Times New Roman" w:eastAsia="宋体"/>
          <w:color w:val="auto"/>
          <w:szCs w:val="21"/>
        </w:rPr>
        <w:t xml:space="preserve"> </w:t>
      </w:r>
      <w:r>
        <w:rPr>
          <w:rFonts w:hint="eastAsia" w:ascii="Times New Roman" w:hAnsi="Times New Roman" w:eastAsia="宋体" w:cs="Times New Roman"/>
          <w:color w:val="auto"/>
          <w:szCs w:val="21"/>
        </w:rPr>
        <w:t>超高性能混凝土板在场内的移运和存放除满足</w:t>
      </w:r>
      <w:r>
        <w:rPr>
          <w:rFonts w:hint="eastAsia" w:ascii="Times New Roman" w:hAnsi="Times New Roman" w:eastAsia="宋体"/>
          <w:color w:val="auto"/>
          <w:szCs w:val="21"/>
        </w:rPr>
        <w:t>现行行业标准《公路桥涵施工技术规范》</w:t>
      </w:r>
      <w:r>
        <w:rPr>
          <w:rFonts w:ascii="Times New Roman" w:hAnsi="Times New Roman" w:eastAsia="宋体"/>
          <w:color w:val="auto"/>
          <w:szCs w:val="21"/>
        </w:rPr>
        <w:t>JTG/T 3650</w:t>
      </w:r>
      <w:r>
        <w:rPr>
          <w:rFonts w:hint="eastAsia" w:ascii="Times New Roman" w:hAnsi="Times New Roman" w:eastAsia="宋体"/>
          <w:color w:val="auto"/>
          <w:szCs w:val="21"/>
        </w:rPr>
        <w:t>的相关规定外，补充规定了装配式超高性能混凝土板建议的吊装方式（预埋吊环、扁平起重吊带）、吊装强度、吊装安全等的要求。</w:t>
      </w:r>
    </w:p>
    <w:p w14:paraId="6B481876">
      <w:pPr>
        <w:numPr>
          <w:ilvl w:val="2"/>
          <w:numId w:val="0"/>
        </w:numPr>
        <w:spacing w:line="360" w:lineRule="auto"/>
        <w:outlineLvl w:val="2"/>
        <w:rPr>
          <w:rFonts w:ascii="Times New Roman" w:hAnsi="Times New Roman" w:eastAsia="宋体"/>
          <w:color w:val="auto"/>
          <w:szCs w:val="21"/>
        </w:rPr>
      </w:pPr>
      <w:r>
        <w:rPr>
          <w:rFonts w:hint="eastAsia" w:ascii="Times New Roman" w:hAnsi="Times New Roman" w:eastAsia="宋体"/>
          <w:b/>
          <w:bCs/>
          <w:color w:val="auto"/>
          <w:szCs w:val="21"/>
        </w:rPr>
        <w:t>9</w:t>
      </w:r>
      <w:r>
        <w:rPr>
          <w:rFonts w:ascii="Times New Roman" w:hAnsi="Times New Roman" w:eastAsia="宋体"/>
          <w:b/>
          <w:bCs/>
          <w:color w:val="auto"/>
          <w:szCs w:val="21"/>
        </w:rPr>
        <w:t xml:space="preserve">.5.4 </w:t>
      </w:r>
      <w:r>
        <w:rPr>
          <w:rFonts w:ascii="Times New Roman" w:hAnsi="Times New Roman" w:eastAsia="宋体"/>
          <w:color w:val="auto"/>
          <w:szCs w:val="21"/>
        </w:rPr>
        <w:t xml:space="preserve"> </w:t>
      </w:r>
      <w:r>
        <w:rPr>
          <w:rFonts w:hint="eastAsia" w:ascii="Times New Roman" w:hAnsi="Times New Roman" w:eastAsia="宋体"/>
          <w:color w:val="auto"/>
          <w:szCs w:val="21"/>
        </w:rPr>
        <w:t>超高性能混凝土板在现场安装时支承位置很难保证绝对平整，板与支承处难以完全接触，可能局部脱空，为此建议在支承上部铺设一层油毛毡和细砂，确保接触面平整。同时，结合超高性能混凝土</w:t>
      </w:r>
      <w:r>
        <w:rPr>
          <w:rFonts w:ascii="Times New Roman" w:hAnsi="Times New Roman" w:eastAsia="宋体"/>
          <w:color w:val="auto"/>
          <w:szCs w:val="21"/>
        </w:rPr>
        <w:t>-</w:t>
      </w:r>
      <w:r>
        <w:rPr>
          <w:rFonts w:hint="eastAsia" w:ascii="Times New Roman" w:hAnsi="Times New Roman" w:eastAsia="宋体"/>
          <w:color w:val="auto"/>
          <w:szCs w:val="21"/>
        </w:rPr>
        <w:t>普通混凝土组合式盖板结构的特点，参考现行行业标准《公路桥涵施工技术规范》</w:t>
      </w:r>
      <w:r>
        <w:rPr>
          <w:rFonts w:ascii="Times New Roman" w:hAnsi="Times New Roman" w:eastAsia="宋体"/>
          <w:color w:val="auto"/>
          <w:szCs w:val="21"/>
        </w:rPr>
        <w:t>JTG/T 3650</w:t>
      </w:r>
      <w:r>
        <w:rPr>
          <w:rFonts w:hint="eastAsia" w:ascii="Times New Roman" w:hAnsi="Times New Roman" w:eastAsia="宋体"/>
          <w:color w:val="auto"/>
          <w:szCs w:val="21"/>
        </w:rPr>
        <w:t>，规定了超高性能混凝土板现场安装误差要求。</w:t>
      </w:r>
    </w:p>
    <w:p w14:paraId="47DF45F3">
      <w:pPr>
        <w:rPr>
          <w:rFonts w:hint="eastAsia"/>
          <w:b/>
          <w:bCs/>
          <w:color w:val="auto"/>
          <w:sz w:val="28"/>
          <w:szCs w:val="28"/>
        </w:rPr>
      </w:pPr>
      <w:r>
        <w:rPr>
          <w:rFonts w:hint="eastAsia"/>
          <w:b/>
          <w:bCs/>
          <w:color w:val="auto"/>
          <w:sz w:val="28"/>
          <w:szCs w:val="28"/>
        </w:rPr>
        <w:br w:type="page"/>
      </w:r>
    </w:p>
    <w:p w14:paraId="5B8B6872">
      <w:pPr>
        <w:numPr>
          <w:ilvl w:val="2"/>
          <w:numId w:val="0"/>
        </w:numPr>
        <w:spacing w:line="480" w:lineRule="auto"/>
        <w:jc w:val="center"/>
        <w:outlineLvl w:val="2"/>
        <w:rPr>
          <w:rFonts w:ascii="Times New Roman" w:hAnsi="Times New Roman" w:eastAsia="宋体"/>
          <w:b/>
          <w:color w:val="auto"/>
          <w:sz w:val="28"/>
          <w:szCs w:val="28"/>
        </w:rPr>
      </w:pPr>
      <w:r>
        <w:rPr>
          <w:rFonts w:ascii="Times New Roman" w:hAnsi="Times New Roman" w:eastAsia="宋体"/>
          <w:b/>
          <w:color w:val="auto"/>
          <w:sz w:val="28"/>
          <w:szCs w:val="28"/>
        </w:rPr>
        <w:t>1</w:t>
      </w:r>
      <w:r>
        <w:rPr>
          <w:rFonts w:hint="eastAsia" w:ascii="Times New Roman" w:hAnsi="Times New Roman" w:eastAsia="宋体"/>
          <w:b/>
          <w:color w:val="auto"/>
          <w:sz w:val="28"/>
          <w:szCs w:val="28"/>
        </w:rPr>
        <w:t>0</w:t>
      </w:r>
      <w:r>
        <w:rPr>
          <w:rFonts w:ascii="Times New Roman" w:hAnsi="Times New Roman" w:eastAsia="宋体"/>
          <w:b/>
          <w:color w:val="auto"/>
          <w:sz w:val="28"/>
          <w:szCs w:val="28"/>
        </w:rPr>
        <w:t xml:space="preserve">  </w:t>
      </w:r>
      <w:r>
        <w:rPr>
          <w:rFonts w:hint="eastAsia" w:ascii="Times New Roman" w:hAnsi="Times New Roman" w:eastAsia="宋体"/>
          <w:b/>
          <w:color w:val="auto"/>
          <w:sz w:val="28"/>
          <w:szCs w:val="28"/>
        </w:rPr>
        <w:t>检验与评定</w:t>
      </w:r>
    </w:p>
    <w:p w14:paraId="0E32D035">
      <w:pPr>
        <w:spacing w:before="156" w:beforeLines="50" w:after="156" w:afterLines="50" w:line="480" w:lineRule="auto"/>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1</w:t>
      </w:r>
      <w:r>
        <w:rPr>
          <w:rFonts w:hint="eastAsia" w:ascii="Times New Roman" w:hAnsi="Times New Roman" w:eastAsia="宋体" w:cs="Times New Roman"/>
          <w:b/>
          <w:bCs/>
          <w:color w:val="auto"/>
          <w:sz w:val="24"/>
          <w:szCs w:val="24"/>
        </w:rPr>
        <w:t>0</w:t>
      </w:r>
      <w:r>
        <w:rPr>
          <w:rFonts w:ascii="Times New Roman" w:hAnsi="Times New Roman" w:eastAsia="宋体" w:cs="Times New Roman"/>
          <w:b/>
          <w:bCs/>
          <w:color w:val="auto"/>
          <w:sz w:val="24"/>
          <w:szCs w:val="24"/>
        </w:rPr>
        <w:t xml:space="preserve">.1  </w:t>
      </w:r>
      <w:r>
        <w:rPr>
          <w:rFonts w:hint="eastAsia" w:ascii="Times New Roman" w:hAnsi="Times New Roman" w:eastAsia="宋体" w:cs="Times New Roman"/>
          <w:b/>
          <w:bCs/>
          <w:color w:val="auto"/>
          <w:sz w:val="24"/>
          <w:szCs w:val="24"/>
        </w:rPr>
        <w:t>一般规定</w:t>
      </w:r>
    </w:p>
    <w:p w14:paraId="4E6A3F38">
      <w:pPr>
        <w:numPr>
          <w:ilvl w:val="2"/>
          <w:numId w:val="0"/>
        </w:numPr>
        <w:spacing w:line="360" w:lineRule="auto"/>
        <w:outlineLvl w:val="2"/>
        <w:rPr>
          <w:rFonts w:ascii="Times New Roman" w:hAnsi="Times New Roman" w:eastAsia="宋体"/>
          <w:color w:val="auto"/>
          <w:szCs w:val="21"/>
        </w:rPr>
      </w:pPr>
      <w:r>
        <w:rPr>
          <w:rFonts w:ascii="Times New Roman" w:hAnsi="Times New Roman" w:eastAsia="宋体"/>
          <w:b/>
          <w:bCs/>
          <w:color w:val="auto"/>
          <w:szCs w:val="21"/>
        </w:rPr>
        <w:t>1</w:t>
      </w:r>
      <w:r>
        <w:rPr>
          <w:rFonts w:hint="eastAsia" w:ascii="Times New Roman" w:hAnsi="Times New Roman" w:eastAsia="宋体"/>
          <w:b/>
          <w:bCs/>
          <w:color w:val="auto"/>
          <w:szCs w:val="21"/>
        </w:rPr>
        <w:t>0</w:t>
      </w:r>
      <w:r>
        <w:rPr>
          <w:rFonts w:ascii="Times New Roman" w:hAnsi="Times New Roman" w:eastAsia="宋体"/>
          <w:b/>
          <w:bCs/>
          <w:color w:val="auto"/>
          <w:szCs w:val="21"/>
        </w:rPr>
        <w:t>.1.2~1</w:t>
      </w:r>
      <w:r>
        <w:rPr>
          <w:rFonts w:hint="eastAsia" w:ascii="Times New Roman" w:hAnsi="Times New Roman" w:eastAsia="宋体"/>
          <w:b/>
          <w:bCs/>
          <w:color w:val="auto"/>
          <w:szCs w:val="21"/>
        </w:rPr>
        <w:t>0</w:t>
      </w:r>
      <w:r>
        <w:rPr>
          <w:rFonts w:ascii="Times New Roman" w:hAnsi="Times New Roman" w:eastAsia="宋体"/>
          <w:b/>
          <w:bCs/>
          <w:color w:val="auto"/>
          <w:szCs w:val="21"/>
        </w:rPr>
        <w:t xml:space="preserve">.1.3 </w:t>
      </w:r>
      <w:r>
        <w:rPr>
          <w:rFonts w:ascii="Times New Roman" w:hAnsi="Times New Roman" w:eastAsia="宋体"/>
          <w:color w:val="auto"/>
          <w:szCs w:val="21"/>
        </w:rPr>
        <w:t xml:space="preserve"> </w:t>
      </w:r>
      <w:r>
        <w:rPr>
          <w:rFonts w:hint="eastAsia" w:ascii="Times New Roman" w:hAnsi="Times New Roman" w:eastAsia="宋体"/>
          <w:color w:val="auto"/>
          <w:szCs w:val="21"/>
        </w:rPr>
        <w:t>规定了分项工程基本要求检查、实测项目检验、检查项目合格判定、外观质量检验和质量保证资料要求、工程质量等级分为合格与不合格，分项工程、分部工程、单位工程质量评定应符合现行行业标准</w:t>
      </w:r>
      <w:r>
        <w:rPr>
          <w:rFonts w:hint="eastAsia" w:ascii="Times New Roman" w:hAnsi="Times New Roman" w:eastAsia="宋体" w:cs="Times New Roman"/>
          <w:color w:val="auto"/>
          <w:szCs w:val="21"/>
        </w:rPr>
        <w:t>《城市桥梁工程施工与质量验收规范》</w:t>
      </w:r>
      <w:r>
        <w:rPr>
          <w:rFonts w:ascii="Times New Roman" w:hAnsi="Times New Roman" w:eastAsia="宋体" w:cs="Times New Roman"/>
          <w:color w:val="auto"/>
          <w:szCs w:val="21"/>
        </w:rPr>
        <w:t>CJJ2-2023</w:t>
      </w:r>
      <w:r>
        <w:rPr>
          <w:rFonts w:hint="eastAsia" w:ascii="Times New Roman" w:hAnsi="Times New Roman" w:eastAsia="宋体" w:cs="Times New Roman"/>
          <w:color w:val="auto"/>
          <w:szCs w:val="21"/>
        </w:rPr>
        <w:t>及</w:t>
      </w:r>
      <w:r>
        <w:rPr>
          <w:rFonts w:hint="eastAsia" w:ascii="Times New Roman" w:hAnsi="Times New Roman" w:eastAsia="宋体"/>
          <w:color w:val="auto"/>
          <w:szCs w:val="21"/>
        </w:rPr>
        <w:t>《公路工程质量检验评定标准</w:t>
      </w:r>
      <w:r>
        <w:rPr>
          <w:rFonts w:ascii="Times New Roman" w:hAnsi="Times New Roman" w:eastAsia="宋体"/>
          <w:color w:val="auto"/>
          <w:szCs w:val="21"/>
        </w:rPr>
        <w:t xml:space="preserve"> </w:t>
      </w:r>
      <w:r>
        <w:rPr>
          <w:rFonts w:hint="eastAsia" w:ascii="Times New Roman" w:hAnsi="Times New Roman" w:eastAsia="宋体"/>
          <w:color w:val="auto"/>
          <w:szCs w:val="21"/>
        </w:rPr>
        <w:t>第一册</w:t>
      </w:r>
      <w:r>
        <w:rPr>
          <w:rFonts w:ascii="Times New Roman" w:hAnsi="Times New Roman" w:eastAsia="宋体"/>
          <w:color w:val="auto"/>
          <w:szCs w:val="21"/>
        </w:rPr>
        <w:t xml:space="preserve"> </w:t>
      </w:r>
      <w:r>
        <w:rPr>
          <w:rFonts w:hint="eastAsia" w:ascii="Times New Roman" w:hAnsi="Times New Roman" w:eastAsia="宋体"/>
          <w:color w:val="auto"/>
          <w:szCs w:val="21"/>
        </w:rPr>
        <w:t>土建工程》</w:t>
      </w:r>
      <w:r>
        <w:rPr>
          <w:rFonts w:ascii="Times New Roman" w:hAnsi="Times New Roman" w:eastAsia="宋体"/>
          <w:color w:val="auto"/>
          <w:szCs w:val="21"/>
        </w:rPr>
        <w:t>JTG F80/1</w:t>
      </w:r>
      <w:r>
        <w:rPr>
          <w:rFonts w:hint="eastAsia" w:ascii="Times New Roman" w:hAnsi="Times New Roman" w:eastAsia="宋体"/>
          <w:color w:val="auto"/>
          <w:szCs w:val="21"/>
        </w:rPr>
        <w:t>。未明确规定的检验与评定事宜也应符合现行行业标准《城市桥梁工程施工与质量验收规范》</w:t>
      </w:r>
      <w:r>
        <w:rPr>
          <w:rFonts w:ascii="Times New Roman" w:hAnsi="Times New Roman" w:eastAsia="宋体"/>
          <w:color w:val="auto"/>
          <w:szCs w:val="21"/>
        </w:rPr>
        <w:t>CJJ2-2023</w:t>
      </w:r>
      <w:r>
        <w:rPr>
          <w:rFonts w:hint="eastAsia" w:ascii="Times New Roman" w:hAnsi="Times New Roman" w:eastAsia="宋体"/>
          <w:color w:val="auto"/>
          <w:szCs w:val="21"/>
        </w:rPr>
        <w:t>及《公路工程质量检验评定标准</w:t>
      </w:r>
      <w:r>
        <w:rPr>
          <w:rFonts w:ascii="Times New Roman" w:hAnsi="Times New Roman" w:eastAsia="宋体"/>
          <w:color w:val="auto"/>
          <w:szCs w:val="21"/>
        </w:rPr>
        <w:t xml:space="preserve"> </w:t>
      </w:r>
      <w:r>
        <w:rPr>
          <w:rFonts w:hint="eastAsia" w:ascii="Times New Roman" w:hAnsi="Times New Roman" w:eastAsia="宋体"/>
          <w:color w:val="auto"/>
          <w:szCs w:val="21"/>
        </w:rPr>
        <w:t>第一册</w:t>
      </w:r>
      <w:r>
        <w:rPr>
          <w:rFonts w:ascii="Times New Roman" w:hAnsi="Times New Roman" w:eastAsia="宋体"/>
          <w:color w:val="auto"/>
          <w:szCs w:val="21"/>
        </w:rPr>
        <w:t xml:space="preserve"> </w:t>
      </w:r>
      <w:r>
        <w:rPr>
          <w:rFonts w:hint="eastAsia" w:ascii="Times New Roman" w:hAnsi="Times New Roman" w:eastAsia="宋体"/>
          <w:color w:val="auto"/>
          <w:szCs w:val="21"/>
        </w:rPr>
        <w:t>土建工程》</w:t>
      </w:r>
      <w:r>
        <w:rPr>
          <w:rFonts w:ascii="Times New Roman" w:hAnsi="Times New Roman" w:eastAsia="宋体"/>
          <w:color w:val="auto"/>
          <w:szCs w:val="21"/>
        </w:rPr>
        <w:t>JTG F80/1</w:t>
      </w:r>
      <w:r>
        <w:rPr>
          <w:rFonts w:hint="eastAsia" w:ascii="Times New Roman" w:hAnsi="Times New Roman" w:eastAsia="宋体"/>
          <w:color w:val="auto"/>
          <w:szCs w:val="21"/>
        </w:rPr>
        <w:t>的相关规定。</w:t>
      </w:r>
    </w:p>
    <w:p w14:paraId="5F4F37A3">
      <w:pPr>
        <w:numPr>
          <w:ilvl w:val="2"/>
          <w:numId w:val="0"/>
        </w:numPr>
        <w:spacing w:line="360" w:lineRule="auto"/>
        <w:outlineLvl w:val="2"/>
        <w:rPr>
          <w:rFonts w:ascii="Times New Roman" w:hAnsi="Times New Roman" w:eastAsia="宋体"/>
          <w:color w:val="auto"/>
          <w:szCs w:val="21"/>
        </w:rPr>
      </w:pPr>
      <w:r>
        <w:rPr>
          <w:rFonts w:ascii="Times New Roman" w:hAnsi="Times New Roman" w:eastAsia="宋体"/>
          <w:b/>
          <w:bCs/>
          <w:color w:val="auto"/>
          <w:szCs w:val="21"/>
        </w:rPr>
        <w:t>1</w:t>
      </w:r>
      <w:r>
        <w:rPr>
          <w:rFonts w:hint="eastAsia" w:ascii="Times New Roman" w:hAnsi="Times New Roman" w:eastAsia="宋体"/>
          <w:b/>
          <w:bCs/>
          <w:color w:val="auto"/>
          <w:szCs w:val="21"/>
        </w:rPr>
        <w:t>0</w:t>
      </w:r>
      <w:r>
        <w:rPr>
          <w:rFonts w:ascii="Times New Roman" w:hAnsi="Times New Roman" w:eastAsia="宋体"/>
          <w:b/>
          <w:bCs/>
          <w:color w:val="auto"/>
          <w:szCs w:val="21"/>
        </w:rPr>
        <w:t>.2.1~1</w:t>
      </w:r>
      <w:r>
        <w:rPr>
          <w:rFonts w:hint="eastAsia" w:ascii="Times New Roman" w:hAnsi="Times New Roman" w:eastAsia="宋体"/>
          <w:b/>
          <w:bCs/>
          <w:color w:val="auto"/>
          <w:szCs w:val="21"/>
        </w:rPr>
        <w:t>0</w:t>
      </w:r>
      <w:r>
        <w:rPr>
          <w:rFonts w:ascii="Times New Roman" w:hAnsi="Times New Roman" w:eastAsia="宋体"/>
          <w:b/>
          <w:bCs/>
          <w:color w:val="auto"/>
          <w:szCs w:val="21"/>
        </w:rPr>
        <w:t xml:space="preserve">.2.3 </w:t>
      </w:r>
      <w:r>
        <w:rPr>
          <w:rFonts w:ascii="Times New Roman" w:hAnsi="Times New Roman" w:eastAsia="宋体"/>
          <w:color w:val="auto"/>
          <w:szCs w:val="21"/>
        </w:rPr>
        <w:t xml:space="preserve"> </w:t>
      </w:r>
      <w:r>
        <w:rPr>
          <w:rFonts w:hint="eastAsia" w:ascii="Times New Roman" w:hAnsi="Times New Roman" w:eastAsia="宋体"/>
          <w:color w:val="auto"/>
          <w:szCs w:val="21"/>
        </w:rPr>
        <w:t>本节规定了模板施工的基本要求、实测项目和外观质量要求。</w:t>
      </w:r>
    </w:p>
    <w:p w14:paraId="5E6EB107">
      <w:pPr>
        <w:spacing w:before="156" w:beforeLines="50" w:after="156" w:afterLines="50" w:line="480" w:lineRule="auto"/>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1</w:t>
      </w:r>
      <w:r>
        <w:rPr>
          <w:rFonts w:hint="eastAsia" w:ascii="Times New Roman" w:hAnsi="Times New Roman" w:eastAsia="宋体" w:cs="Times New Roman"/>
          <w:b/>
          <w:bCs/>
          <w:color w:val="auto"/>
          <w:sz w:val="24"/>
          <w:szCs w:val="24"/>
        </w:rPr>
        <w:t>0</w:t>
      </w:r>
      <w:r>
        <w:rPr>
          <w:rFonts w:ascii="Times New Roman" w:hAnsi="Times New Roman" w:eastAsia="宋体" w:cs="Times New Roman"/>
          <w:b/>
          <w:bCs/>
          <w:color w:val="auto"/>
          <w:sz w:val="24"/>
          <w:szCs w:val="24"/>
        </w:rPr>
        <w:t xml:space="preserve">.3  </w:t>
      </w:r>
      <w:r>
        <w:rPr>
          <w:rFonts w:hint="eastAsia" w:ascii="Times New Roman" w:hAnsi="Times New Roman" w:eastAsia="宋体" w:cs="Times New Roman"/>
          <w:b/>
          <w:bCs/>
          <w:color w:val="auto"/>
          <w:sz w:val="24"/>
          <w:szCs w:val="24"/>
        </w:rPr>
        <w:t>钢筋工程</w:t>
      </w:r>
    </w:p>
    <w:p w14:paraId="578A3448">
      <w:pPr>
        <w:numPr>
          <w:ilvl w:val="2"/>
          <w:numId w:val="0"/>
        </w:numPr>
        <w:spacing w:line="360" w:lineRule="auto"/>
        <w:outlineLvl w:val="2"/>
        <w:rPr>
          <w:rFonts w:ascii="Times New Roman" w:hAnsi="Times New Roman" w:eastAsia="宋体"/>
          <w:color w:val="auto"/>
          <w:szCs w:val="21"/>
        </w:rPr>
      </w:pPr>
      <w:r>
        <w:rPr>
          <w:rFonts w:ascii="Times New Roman" w:hAnsi="Times New Roman" w:eastAsia="宋体"/>
          <w:b/>
          <w:bCs/>
          <w:color w:val="auto"/>
          <w:szCs w:val="21"/>
        </w:rPr>
        <w:t>1</w:t>
      </w:r>
      <w:r>
        <w:rPr>
          <w:rFonts w:hint="eastAsia" w:ascii="Times New Roman" w:hAnsi="Times New Roman" w:eastAsia="宋体"/>
          <w:b/>
          <w:bCs/>
          <w:color w:val="auto"/>
          <w:szCs w:val="21"/>
        </w:rPr>
        <w:t>0</w:t>
      </w:r>
      <w:r>
        <w:rPr>
          <w:rFonts w:ascii="Times New Roman" w:hAnsi="Times New Roman" w:eastAsia="宋体"/>
          <w:b/>
          <w:bCs/>
          <w:color w:val="auto"/>
          <w:szCs w:val="21"/>
        </w:rPr>
        <w:t>.3.1~1</w:t>
      </w:r>
      <w:r>
        <w:rPr>
          <w:rFonts w:hint="eastAsia" w:ascii="Times New Roman" w:hAnsi="Times New Roman" w:eastAsia="宋体"/>
          <w:b/>
          <w:bCs/>
          <w:color w:val="auto"/>
          <w:szCs w:val="21"/>
        </w:rPr>
        <w:t>0</w:t>
      </w:r>
      <w:r>
        <w:rPr>
          <w:rFonts w:ascii="Times New Roman" w:hAnsi="Times New Roman" w:eastAsia="宋体"/>
          <w:b/>
          <w:bCs/>
          <w:color w:val="auto"/>
          <w:szCs w:val="21"/>
        </w:rPr>
        <w:t xml:space="preserve">.3.2 </w:t>
      </w:r>
      <w:r>
        <w:rPr>
          <w:rFonts w:ascii="Times New Roman" w:hAnsi="Times New Roman" w:eastAsia="宋体"/>
          <w:color w:val="auto"/>
          <w:szCs w:val="21"/>
        </w:rPr>
        <w:t xml:space="preserve"> </w:t>
      </w:r>
      <w:r>
        <w:rPr>
          <w:rFonts w:hint="eastAsia" w:ascii="Times New Roman" w:hAnsi="Times New Roman" w:eastAsia="宋体"/>
          <w:color w:val="auto"/>
          <w:szCs w:val="21"/>
        </w:rPr>
        <w:t>本条文在现行行业标准《公路工程质量检验评定标准</w:t>
      </w:r>
      <w:r>
        <w:rPr>
          <w:rFonts w:ascii="Times New Roman" w:hAnsi="Times New Roman" w:eastAsia="宋体"/>
          <w:color w:val="auto"/>
          <w:szCs w:val="21"/>
        </w:rPr>
        <w:t xml:space="preserve"> </w:t>
      </w:r>
      <w:r>
        <w:rPr>
          <w:rFonts w:hint="eastAsia" w:ascii="Times New Roman" w:hAnsi="Times New Roman" w:eastAsia="宋体"/>
          <w:color w:val="auto"/>
          <w:szCs w:val="21"/>
        </w:rPr>
        <w:t>第一册</w:t>
      </w:r>
      <w:r>
        <w:rPr>
          <w:rFonts w:ascii="Times New Roman" w:hAnsi="Times New Roman" w:eastAsia="宋体"/>
          <w:color w:val="auto"/>
          <w:szCs w:val="21"/>
        </w:rPr>
        <w:t xml:space="preserve"> </w:t>
      </w:r>
      <w:r>
        <w:rPr>
          <w:rFonts w:hint="eastAsia" w:ascii="Times New Roman" w:hAnsi="Times New Roman" w:eastAsia="宋体"/>
          <w:color w:val="auto"/>
          <w:szCs w:val="21"/>
        </w:rPr>
        <w:t>土建工程》</w:t>
      </w:r>
      <w:r>
        <w:rPr>
          <w:rFonts w:ascii="Times New Roman" w:hAnsi="Times New Roman" w:eastAsia="宋体"/>
          <w:color w:val="auto"/>
          <w:szCs w:val="21"/>
        </w:rPr>
        <w:t>JTG F80/1</w:t>
      </w:r>
      <w:r>
        <w:rPr>
          <w:rFonts w:hint="eastAsia" w:ascii="Times New Roman" w:hAnsi="Times New Roman" w:eastAsia="宋体"/>
          <w:color w:val="auto"/>
          <w:szCs w:val="21"/>
        </w:rPr>
        <w:t>基础上，结合超高性能混凝土板结构特点适当提高了钢筋加工、安装的部分实测项目要求。</w:t>
      </w:r>
    </w:p>
    <w:p w14:paraId="04B13583">
      <w:pPr>
        <w:spacing w:before="156" w:beforeLines="50" w:after="156" w:afterLines="50" w:line="480" w:lineRule="auto"/>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1</w:t>
      </w:r>
      <w:r>
        <w:rPr>
          <w:rFonts w:hint="eastAsia" w:ascii="Times New Roman" w:hAnsi="Times New Roman" w:eastAsia="宋体" w:cs="Times New Roman"/>
          <w:b/>
          <w:bCs/>
          <w:color w:val="auto"/>
          <w:sz w:val="24"/>
          <w:szCs w:val="24"/>
        </w:rPr>
        <w:t>0</w:t>
      </w:r>
      <w:r>
        <w:rPr>
          <w:rFonts w:ascii="Times New Roman" w:hAnsi="Times New Roman" w:eastAsia="宋体" w:cs="Times New Roman"/>
          <w:b/>
          <w:bCs/>
          <w:color w:val="auto"/>
          <w:sz w:val="24"/>
          <w:szCs w:val="24"/>
        </w:rPr>
        <w:t xml:space="preserve">.4  </w:t>
      </w:r>
      <w:r>
        <w:rPr>
          <w:rFonts w:hint="eastAsia" w:ascii="Times New Roman" w:hAnsi="Times New Roman" w:eastAsia="宋体" w:cs="Times New Roman"/>
          <w:b/>
          <w:bCs/>
          <w:color w:val="auto"/>
          <w:sz w:val="24"/>
          <w:szCs w:val="24"/>
        </w:rPr>
        <w:t>超高性能混凝土工程</w:t>
      </w:r>
    </w:p>
    <w:p w14:paraId="1D5E8F06">
      <w:pPr>
        <w:numPr>
          <w:ilvl w:val="2"/>
          <w:numId w:val="0"/>
        </w:numPr>
        <w:spacing w:line="360" w:lineRule="auto"/>
        <w:outlineLvl w:val="2"/>
        <w:rPr>
          <w:rFonts w:ascii="Times New Roman" w:hAnsi="Times New Roman" w:eastAsia="宋体"/>
          <w:color w:val="auto"/>
          <w:szCs w:val="21"/>
        </w:rPr>
      </w:pPr>
      <w:r>
        <w:rPr>
          <w:rFonts w:ascii="Times New Roman" w:hAnsi="Times New Roman" w:eastAsia="宋体"/>
          <w:b/>
          <w:bCs/>
          <w:color w:val="auto"/>
          <w:szCs w:val="21"/>
        </w:rPr>
        <w:t>1</w:t>
      </w:r>
      <w:r>
        <w:rPr>
          <w:rFonts w:hint="eastAsia" w:ascii="Times New Roman" w:hAnsi="Times New Roman" w:eastAsia="宋体"/>
          <w:b/>
          <w:bCs/>
          <w:color w:val="auto"/>
          <w:szCs w:val="21"/>
        </w:rPr>
        <w:t>0</w:t>
      </w:r>
      <w:r>
        <w:rPr>
          <w:rFonts w:ascii="Times New Roman" w:hAnsi="Times New Roman" w:eastAsia="宋体"/>
          <w:b/>
          <w:bCs/>
          <w:color w:val="auto"/>
          <w:szCs w:val="21"/>
        </w:rPr>
        <w:t>.4.1~1</w:t>
      </w:r>
      <w:r>
        <w:rPr>
          <w:rFonts w:hint="eastAsia" w:ascii="Times New Roman" w:hAnsi="Times New Roman" w:eastAsia="宋体"/>
          <w:b/>
          <w:bCs/>
          <w:color w:val="auto"/>
          <w:szCs w:val="21"/>
        </w:rPr>
        <w:t>0</w:t>
      </w:r>
      <w:r>
        <w:rPr>
          <w:rFonts w:ascii="Times New Roman" w:hAnsi="Times New Roman" w:eastAsia="宋体"/>
          <w:b/>
          <w:bCs/>
          <w:color w:val="auto"/>
          <w:szCs w:val="21"/>
        </w:rPr>
        <w:t>.4.4</w:t>
      </w:r>
      <w:r>
        <w:rPr>
          <w:rFonts w:ascii="Times New Roman" w:hAnsi="Times New Roman" w:eastAsia="宋体"/>
          <w:color w:val="auto"/>
          <w:szCs w:val="21"/>
        </w:rPr>
        <w:t xml:space="preserve">  </w:t>
      </w:r>
      <w:r>
        <w:rPr>
          <w:rFonts w:hint="eastAsia" w:ascii="Times New Roman" w:hAnsi="Times New Roman" w:eastAsia="宋体"/>
          <w:color w:val="auto"/>
          <w:szCs w:val="21"/>
        </w:rPr>
        <w:t>本条文在</w:t>
      </w:r>
      <w:r>
        <w:rPr>
          <w:rFonts w:hint="eastAsia" w:ascii="Times New Roman" w:hAnsi="Times New Roman" w:eastAsia="宋体" w:cs="Times New Roman"/>
          <w:color w:val="auto"/>
          <w:szCs w:val="21"/>
        </w:rPr>
        <w:t>现行国家标准《活性粉末混凝土》</w:t>
      </w:r>
      <w:r>
        <w:rPr>
          <w:rFonts w:ascii="Times New Roman" w:hAnsi="Times New Roman" w:eastAsia="宋体" w:cs="Times New Roman"/>
          <w:color w:val="auto"/>
          <w:szCs w:val="21"/>
        </w:rPr>
        <w:t>GB/T 31387</w:t>
      </w:r>
      <w:r>
        <w:rPr>
          <w:rFonts w:hint="eastAsia" w:ascii="Times New Roman" w:hAnsi="Times New Roman" w:eastAsia="宋体" w:cs="Times New Roman"/>
          <w:color w:val="auto"/>
          <w:szCs w:val="21"/>
        </w:rPr>
        <w:t>、</w:t>
      </w:r>
      <w:r>
        <w:rPr>
          <w:rFonts w:hint="eastAsia" w:ascii="Times New Roman" w:hAnsi="Times New Roman" w:eastAsia="宋体"/>
          <w:color w:val="auto"/>
          <w:szCs w:val="21"/>
        </w:rPr>
        <w:t>现行行业标准《公路工程质量检验评定标准</w:t>
      </w:r>
      <w:r>
        <w:rPr>
          <w:rFonts w:ascii="Times New Roman" w:hAnsi="Times New Roman" w:eastAsia="宋体"/>
          <w:color w:val="auto"/>
          <w:szCs w:val="21"/>
        </w:rPr>
        <w:t xml:space="preserve"> </w:t>
      </w:r>
      <w:r>
        <w:rPr>
          <w:rFonts w:hint="eastAsia" w:ascii="Times New Roman" w:hAnsi="Times New Roman" w:eastAsia="宋体"/>
          <w:color w:val="auto"/>
          <w:szCs w:val="21"/>
        </w:rPr>
        <w:t>第一册</w:t>
      </w:r>
      <w:r>
        <w:rPr>
          <w:rFonts w:ascii="Times New Roman" w:hAnsi="Times New Roman" w:eastAsia="宋体"/>
          <w:color w:val="auto"/>
          <w:szCs w:val="21"/>
        </w:rPr>
        <w:t xml:space="preserve"> </w:t>
      </w:r>
      <w:r>
        <w:rPr>
          <w:rFonts w:hint="eastAsia" w:ascii="Times New Roman" w:hAnsi="Times New Roman" w:eastAsia="宋体"/>
          <w:color w:val="auto"/>
          <w:szCs w:val="21"/>
        </w:rPr>
        <w:t>土建工</w:t>
      </w:r>
      <w:r>
        <w:rPr>
          <w:rFonts w:hint="eastAsia" w:ascii="Times New Roman" w:hAnsi="Times New Roman" w:eastAsia="宋体" w:cs="Times New Roman"/>
          <w:color w:val="auto"/>
          <w:szCs w:val="21"/>
        </w:rPr>
        <w:t>程》</w:t>
      </w:r>
      <w:r>
        <w:rPr>
          <w:rFonts w:ascii="Times New Roman" w:hAnsi="Times New Roman" w:eastAsia="宋体"/>
          <w:color w:val="auto"/>
          <w:szCs w:val="21"/>
        </w:rPr>
        <w:t>JTG F80/1</w:t>
      </w:r>
      <w:r>
        <w:rPr>
          <w:rFonts w:hint="eastAsia" w:ascii="Times New Roman" w:hAnsi="Times New Roman" w:eastAsia="宋体" w:cs="Times New Roman"/>
          <w:color w:val="auto"/>
          <w:szCs w:val="21"/>
        </w:rPr>
        <w:t>及《超高性能混凝土梁式桥技术规程》</w:t>
      </w:r>
      <w:r>
        <w:rPr>
          <w:rFonts w:ascii="Times New Roman" w:hAnsi="Times New Roman" w:eastAsia="宋体" w:cs="Times New Roman"/>
          <w:color w:val="auto"/>
          <w:szCs w:val="21"/>
        </w:rPr>
        <w:t>T/CCES 27</w:t>
      </w:r>
      <w:r>
        <w:rPr>
          <w:rFonts w:hint="eastAsia" w:ascii="Times New Roman" w:hAnsi="Times New Roman" w:eastAsia="宋体" w:cs="Times New Roman"/>
          <w:color w:val="auto"/>
          <w:szCs w:val="21"/>
        </w:rPr>
        <w:t>的</w:t>
      </w:r>
      <w:r>
        <w:rPr>
          <w:rFonts w:hint="eastAsia" w:ascii="Times New Roman" w:hAnsi="Times New Roman" w:eastAsia="宋体"/>
          <w:color w:val="auto"/>
          <w:szCs w:val="21"/>
        </w:rPr>
        <w:t>基础上，结合国内已有工程经验，规定了超高性能混凝土材料、实测项目、预制板外观质量等的检验标准。</w:t>
      </w: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仿宋体">
    <w:altName w:val="宋体"/>
    <w:panose1 w:val="00000000000000000000"/>
    <w:charset w:val="86"/>
    <w:family w:val="swiss"/>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宋体_x0003_...销.">
    <w:altName w:val="宋体"/>
    <w:panose1 w:val="00000000000000000000"/>
    <w:charset w:val="86"/>
    <w:family w:val="roma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imesNewRomanPS-BoldMT">
    <w:altName w:val="Times New Roman"/>
    <w:panose1 w:val="00000000000000000000"/>
    <w:charset w:val="00"/>
    <w:family w:val="roman"/>
    <w:pitch w:val="default"/>
    <w:sig w:usb0="00000000" w:usb1="00000000" w:usb2="00000010" w:usb3="00000000" w:csb0="00040001" w:csb1="00000000"/>
  </w:font>
  <w:font w:name="等线 Light">
    <w:panose1 w:val="02010600030101010101"/>
    <w:charset w:val="86"/>
    <w:family w:val="auto"/>
    <w:pitch w:val="default"/>
    <w:sig w:usb0="A00002BF" w:usb1="38CF7CFA" w:usb2="00000016" w:usb3="00000000" w:csb0="0004000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Garamond">
    <w:panose1 w:val="02020404030301010803"/>
    <w:charset w:val="00"/>
    <w:family w:val="roman"/>
    <w:pitch w:val="default"/>
    <w:sig w:usb0="00000287" w:usb1="00000000" w:usb2="00000000" w:usb3="00000000" w:csb0="0000009F" w:csb1="DFD70000"/>
  </w:font>
  <w:font w:name="Cambria Math">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497D9">
    <w:pPr>
      <w:pStyle w:val="30"/>
      <w:jc w:val="center"/>
    </w:pPr>
  </w:p>
  <w:p w14:paraId="3CC2151B">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1F648">
    <w:pPr>
      <w:pStyle w:val="30"/>
      <w:jc w:val="center"/>
    </w:pPr>
    <w:r>
      <mc:AlternateContent>
        <mc:Choice Requires="wps">
          <w:drawing>
            <wp:anchor distT="0" distB="0" distL="114300" distR="114300" simplePos="0" relativeHeight="251659264" behindDoc="0" locked="0" layoutInCell="1" allowOverlap="1">
              <wp:simplePos x="0" y="0"/>
              <wp:positionH relativeFrom="margin">
                <wp:posOffset>2563495</wp:posOffset>
              </wp:positionH>
              <wp:positionV relativeFrom="paragraph">
                <wp:posOffset>0</wp:posOffset>
              </wp:positionV>
              <wp:extent cx="159385"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5938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AD95D0">
                          <w:pPr>
                            <w:pStyle w:val="30"/>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1.85pt;margin-top:0pt;height:144pt;width:12.55pt;mso-position-horizontal-relative:margin;z-index:251659264;mso-width-relative:page;mso-height-relative:page;" filled="f" stroked="f" coordsize="21600,21600" o:gfxdata="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6oNiQdYAAAAIAQAADwAAAAAAAAABACAAAAAiAAAAZHJzL2Rvd25yZXYueG1s&#10;UEsBAhQAFAAAAAgAh07iQILIZRszAgAAVgQAAA4AAAAAAAAAAQAgAAAAJQEAAGRycy9lMm9Eb2Mu&#10;eG1sUEsFBgAAAAAGAAYAWQEAAMoFAAAAAA==&#10;">
              <v:fill on="f" focussize="0,0"/>
              <v:stroke on="f" weight="0.5pt"/>
              <v:imagedata o:title=""/>
              <o:lock v:ext="edit" aspectratio="f"/>
              <v:textbox inset="0mm,0mm,0mm,0mm" style="mso-fit-shape-to-text:t;">
                <w:txbxContent>
                  <w:p w14:paraId="52AD95D0">
                    <w:pPr>
                      <w:pStyle w:val="30"/>
                    </w:pPr>
                    <w:r>
                      <w:fldChar w:fldCharType="begin"/>
                    </w:r>
                    <w:r>
                      <w:instrText xml:space="preserve"> PAGE  \* MERGEFORMAT </w:instrText>
                    </w:r>
                    <w:r>
                      <w:fldChar w:fldCharType="separate"/>
                    </w:r>
                    <w:r>
                      <w:t>iii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5894264"/>
    </w:sdtPr>
    <w:sdtContent>
      <w:p w14:paraId="6901EBEB">
        <w:pPr>
          <w:pStyle w:val="30"/>
          <w:jc w:val="center"/>
        </w:pPr>
        <w:r>
          <w:fldChar w:fldCharType="begin"/>
        </w:r>
        <w:r>
          <w:instrText xml:space="preserve"> PAGE   \* MERGEFORMAT </w:instrText>
        </w:r>
        <w:r>
          <w:fldChar w:fldCharType="separate"/>
        </w:r>
        <w:r>
          <w:t>2</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7CA2F1"/>
    <w:multiLevelType w:val="singleLevel"/>
    <w:tmpl w:val="B57CA2F1"/>
    <w:lvl w:ilvl="0" w:tentative="0">
      <w:start w:val="1"/>
      <w:numFmt w:val="decimal"/>
      <w:suff w:val="nothing"/>
      <w:lvlText w:val="%1）"/>
      <w:lvlJc w:val="left"/>
    </w:lvl>
  </w:abstractNum>
  <w:abstractNum w:abstractNumId="1">
    <w:nsid w:val="0000000F"/>
    <w:multiLevelType w:val="multilevel"/>
    <w:tmpl w:val="0000000F"/>
    <w:lvl w:ilvl="0" w:tentative="0">
      <w:start w:val="1"/>
      <w:numFmt w:val="chineseCountingThousand"/>
      <w:lvlText w:val="第%1章"/>
      <w:lvlJc w:val="left"/>
      <w:pPr>
        <w:tabs>
          <w:tab w:val="left" w:pos="1080"/>
        </w:tabs>
        <w:ind w:left="0" w:firstLine="0"/>
      </w:pPr>
      <w:rPr>
        <w:rFonts w:hint="eastAsia"/>
      </w:rPr>
    </w:lvl>
    <w:lvl w:ilvl="1" w:tentative="0">
      <w:start w:val="1"/>
      <w:numFmt w:val="decimal"/>
      <w:lvlText w:val="%2."/>
      <w:lvlJc w:val="left"/>
      <w:pPr>
        <w:tabs>
          <w:tab w:val="left" w:pos="720"/>
        </w:tabs>
        <w:ind w:left="0" w:firstLine="0"/>
      </w:pPr>
      <w:rPr>
        <w:rFonts w:hint="eastAsia" w:eastAsia="黑体"/>
        <w:b w:val="0"/>
        <w:i w:val="0"/>
        <w:sz w:val="28"/>
      </w:rPr>
    </w:lvl>
    <w:lvl w:ilvl="2" w:tentative="0">
      <w:start w:val="1"/>
      <w:numFmt w:val="decimal"/>
      <w:pStyle w:val="251"/>
      <w:isLgl/>
      <w:lvlText w:val="%1.%2.%3"/>
      <w:lvlJc w:val="left"/>
      <w:pPr>
        <w:tabs>
          <w:tab w:val="left" w:pos="720"/>
        </w:tabs>
        <w:ind w:left="0" w:firstLine="0"/>
      </w:pPr>
      <w:rPr>
        <w:rFonts w:hint="default" w:ascii="Times New Roman" w:hAnsi="Times New Roman" w:eastAsia="宋体"/>
        <w:b/>
        <w:i w:val="0"/>
        <w:w w:val="90"/>
      </w:rPr>
    </w:lvl>
    <w:lvl w:ilvl="3" w:tentative="0">
      <w:start w:val="1"/>
      <w:numFmt w:val="decimal"/>
      <w:pStyle w:val="5"/>
      <w:isLgl/>
      <w:suff w:val="space"/>
      <w:lvlText w:val="%1.%2.%3.%4"/>
      <w:lvlJc w:val="left"/>
      <w:pPr>
        <w:ind w:left="0" w:firstLine="0"/>
      </w:pPr>
      <w:rPr>
        <w:rFonts w:hint="default" w:ascii="Times New Roman" w:hAnsi="Times New Roman" w:eastAsia="宋体"/>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
    <w:nsid w:val="44AF274C"/>
    <w:multiLevelType w:val="multilevel"/>
    <w:tmpl w:val="44AF274C"/>
    <w:lvl w:ilvl="0" w:tentative="0">
      <w:start w:val="1"/>
      <w:numFmt w:val="decimal"/>
      <w:lvlText w:val="%1."/>
      <w:lvlJc w:val="left"/>
      <w:pPr>
        <w:ind w:left="425" w:hanging="425"/>
      </w:pPr>
      <w:rPr>
        <w:rFonts w:hint="eastAsia" w:cs="Times New Roman"/>
      </w:rPr>
    </w:lvl>
    <w:lvl w:ilvl="1" w:tentative="0">
      <w:start w:val="1"/>
      <w:numFmt w:val="decimal"/>
      <w:pStyle w:val="345"/>
      <w:lvlText w:val="%1.%2."/>
      <w:lvlJc w:val="left"/>
      <w:pPr>
        <w:ind w:left="567" w:hanging="567"/>
      </w:pPr>
      <w:rPr>
        <w:rFonts w:cs="Times New Roman"/>
      </w:rPr>
    </w:lvl>
    <w:lvl w:ilvl="2" w:tentative="0">
      <w:start w:val="1"/>
      <w:numFmt w:val="decimal"/>
      <w:pStyle w:val="346"/>
      <w:lvlText w:val="%1.%2.%3."/>
      <w:lvlJc w:val="left"/>
      <w:pPr>
        <w:ind w:left="709" w:hanging="709"/>
      </w:pPr>
      <w:rPr>
        <w:rFonts w:cs="Times New Roman"/>
      </w:rPr>
    </w:lvl>
    <w:lvl w:ilvl="3" w:tentative="0">
      <w:start w:val="1"/>
      <w:numFmt w:val="decimal"/>
      <w:pStyle w:val="347"/>
      <w:lvlText w:val="%1.%2.%3.%4."/>
      <w:lvlJc w:val="left"/>
      <w:pPr>
        <w:ind w:left="851" w:hanging="851"/>
      </w:pPr>
      <w:rPr>
        <w:rFonts w:cs="Times New Roman"/>
      </w:rPr>
    </w:lvl>
    <w:lvl w:ilvl="4" w:tentative="0">
      <w:start w:val="1"/>
      <w:numFmt w:val="decimal"/>
      <w:lvlText w:val="%1.%2.%3.%4.%5."/>
      <w:lvlJc w:val="left"/>
      <w:pPr>
        <w:ind w:left="992" w:hanging="992"/>
      </w:pPr>
      <w:rPr>
        <w:rFonts w:cs="Times New Roman"/>
      </w:rPr>
    </w:lvl>
    <w:lvl w:ilvl="5" w:tentative="0">
      <w:start w:val="1"/>
      <w:numFmt w:val="decimal"/>
      <w:lvlText w:val="%1.%2.%3.%4.%5.%6."/>
      <w:lvlJc w:val="left"/>
      <w:pPr>
        <w:ind w:left="1134" w:hanging="1134"/>
      </w:pPr>
      <w:rPr>
        <w:rFonts w:cs="Times New Roman"/>
      </w:rPr>
    </w:lvl>
    <w:lvl w:ilvl="6" w:tentative="0">
      <w:start w:val="1"/>
      <w:numFmt w:val="decimal"/>
      <w:lvlText w:val="%1.%2.%3.%4.%5.%6.%7."/>
      <w:lvlJc w:val="left"/>
      <w:pPr>
        <w:ind w:left="1276" w:hanging="1276"/>
      </w:pPr>
      <w:rPr>
        <w:rFonts w:cs="Times New Roman"/>
      </w:rPr>
    </w:lvl>
    <w:lvl w:ilvl="7" w:tentative="0">
      <w:start w:val="1"/>
      <w:numFmt w:val="decimal"/>
      <w:lvlText w:val="%1.%2.%3.%4.%5.%6.%7.%8."/>
      <w:lvlJc w:val="left"/>
      <w:pPr>
        <w:ind w:left="1418" w:hanging="1418"/>
      </w:pPr>
      <w:rPr>
        <w:rFonts w:cs="Times New Roman"/>
      </w:rPr>
    </w:lvl>
    <w:lvl w:ilvl="8" w:tentative="0">
      <w:start w:val="1"/>
      <w:numFmt w:val="decimal"/>
      <w:lvlText w:val="%1.%2.%3.%4.%5.%6.%7.%8.%9."/>
      <w:lvlJc w:val="left"/>
      <w:pPr>
        <w:ind w:left="1559" w:hanging="1559"/>
      </w:pPr>
      <w:rPr>
        <w:rFonts w:cs="Times New Roman"/>
      </w:rPr>
    </w:lvl>
  </w:abstractNum>
  <w:abstractNum w:abstractNumId="3">
    <w:nsid w:val="5603797C"/>
    <w:multiLevelType w:val="multilevel"/>
    <w:tmpl w:val="5603797C"/>
    <w:lvl w:ilvl="0" w:tentative="0">
      <w:start w:val="1"/>
      <w:numFmt w:val="upperLetter"/>
      <w:pStyle w:val="372"/>
      <w:suff w:val="space"/>
      <w:lvlText w:val="%1"/>
      <w:lvlJc w:val="left"/>
      <w:pPr>
        <w:ind w:left="425" w:hanging="425"/>
      </w:pPr>
      <w:rPr>
        <w:rFonts w:hint="eastAsia"/>
      </w:rPr>
    </w:lvl>
    <w:lvl w:ilvl="1" w:tentative="0">
      <w:start w:val="1"/>
      <w:numFmt w:val="decimal"/>
      <w:pStyle w:val="371"/>
      <w:suff w:val="space"/>
      <w:lvlText w:val="表%1.%2"/>
      <w:lvlJc w:val="center"/>
      <w:pPr>
        <w:ind w:left="7939" w:firstLine="0"/>
      </w:pPr>
      <w:rPr>
        <w:rFonts w:hint="eastAsia" w:ascii="黑体" w:eastAsia="黑体"/>
        <w:sz w:val="21"/>
        <w:lang w:val="en-US"/>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6CEA2025"/>
    <w:multiLevelType w:val="multilevel"/>
    <w:tmpl w:val="6CEA2025"/>
    <w:lvl w:ilvl="0" w:tentative="0">
      <w:start w:val="1"/>
      <w:numFmt w:val="none"/>
      <w:pStyle w:val="364"/>
      <w:suff w:val="nothing"/>
      <w:lvlText w:val="%1"/>
      <w:lvlJc w:val="left"/>
      <w:pPr>
        <w:ind w:left="0" w:firstLine="0"/>
      </w:pPr>
      <w:rPr>
        <w:rFonts w:hint="eastAsia"/>
      </w:rPr>
    </w:lvl>
    <w:lvl w:ilvl="1" w:tentative="0">
      <w:start w:val="1"/>
      <w:numFmt w:val="decimal"/>
      <w:pStyle w:val="362"/>
      <w:suff w:val="nothing"/>
      <w:lvlText w:val="%1%2　"/>
      <w:lvlJc w:val="left"/>
      <w:pPr>
        <w:ind w:left="710" w:firstLine="0"/>
      </w:pPr>
      <w:rPr>
        <w:rFonts w:hint="eastAsia" w:ascii="黑体" w:eastAsia="黑体"/>
        <w:b w:val="0"/>
        <w:i w:val="0"/>
        <w:sz w:val="21"/>
      </w:rPr>
    </w:lvl>
    <w:lvl w:ilvl="2" w:tentative="0">
      <w:start w:val="1"/>
      <w:numFmt w:val="decimal"/>
      <w:pStyle w:val="363"/>
      <w:suff w:val="nothing"/>
      <w:lvlText w:val="%1%2.%3　"/>
      <w:lvlJc w:val="left"/>
      <w:pPr>
        <w:ind w:left="5104"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358"/>
      <w:suff w:val="nothing"/>
      <w:lvlText w:val="%1%2.%3.%4　"/>
      <w:lvlJc w:val="left"/>
      <w:pPr>
        <w:ind w:left="141" w:firstLine="0"/>
      </w:pPr>
      <w:rPr>
        <w:rFonts w:hint="eastAsia" w:ascii="黑体" w:eastAsia="黑体"/>
        <w:b w:val="0"/>
        <w:i w:val="0"/>
        <w:color w:val="auto"/>
        <w:sz w:val="21"/>
      </w:rPr>
    </w:lvl>
    <w:lvl w:ilvl="4" w:tentative="0">
      <w:start w:val="1"/>
      <w:numFmt w:val="decimal"/>
      <w:pStyle w:val="359"/>
      <w:suff w:val="nothing"/>
      <w:lvlText w:val="%1%2.%3.%4.%5　"/>
      <w:lvlJc w:val="left"/>
      <w:pPr>
        <w:ind w:left="0" w:firstLine="0"/>
      </w:pPr>
      <w:rPr>
        <w:rFonts w:hint="eastAsia" w:ascii="黑体" w:eastAsia="黑体"/>
        <w:b w:val="0"/>
        <w:i w:val="0"/>
        <w:sz w:val="21"/>
      </w:rPr>
    </w:lvl>
    <w:lvl w:ilvl="5" w:tentative="0">
      <w:start w:val="1"/>
      <w:numFmt w:val="decimal"/>
      <w:pStyle w:val="360"/>
      <w:suff w:val="nothing"/>
      <w:lvlText w:val="%1%2.%3.%4.%5.%6　"/>
      <w:lvlJc w:val="left"/>
      <w:pPr>
        <w:ind w:left="0" w:firstLine="0"/>
      </w:pPr>
      <w:rPr>
        <w:rFonts w:hint="eastAsia" w:ascii="黑体" w:eastAsia="黑体"/>
        <w:b w:val="0"/>
        <w:i w:val="0"/>
        <w:sz w:val="21"/>
      </w:rPr>
    </w:lvl>
    <w:lvl w:ilvl="6" w:tentative="0">
      <w:start w:val="1"/>
      <w:numFmt w:val="decimal"/>
      <w:pStyle w:val="361"/>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3121EB"/>
    <w:rsid w:val="00002EEB"/>
    <w:rsid w:val="00007AB9"/>
    <w:rsid w:val="00011F9B"/>
    <w:rsid w:val="00016977"/>
    <w:rsid w:val="00025737"/>
    <w:rsid w:val="000440B4"/>
    <w:rsid w:val="0004430E"/>
    <w:rsid w:val="000475AF"/>
    <w:rsid w:val="00050CFC"/>
    <w:rsid w:val="00052184"/>
    <w:rsid w:val="0005630D"/>
    <w:rsid w:val="00062DF8"/>
    <w:rsid w:val="00081073"/>
    <w:rsid w:val="00083239"/>
    <w:rsid w:val="00090468"/>
    <w:rsid w:val="000A7BC3"/>
    <w:rsid w:val="000B477E"/>
    <w:rsid w:val="000C76D8"/>
    <w:rsid w:val="000E5EE5"/>
    <w:rsid w:val="000E6B1A"/>
    <w:rsid w:val="00105CC1"/>
    <w:rsid w:val="00120F3B"/>
    <w:rsid w:val="0012116C"/>
    <w:rsid w:val="00125E28"/>
    <w:rsid w:val="001359E1"/>
    <w:rsid w:val="001409E1"/>
    <w:rsid w:val="00154869"/>
    <w:rsid w:val="0016123E"/>
    <w:rsid w:val="00161852"/>
    <w:rsid w:val="00175B40"/>
    <w:rsid w:val="00177716"/>
    <w:rsid w:val="001837EA"/>
    <w:rsid w:val="00184E14"/>
    <w:rsid w:val="00190FE4"/>
    <w:rsid w:val="001A23BE"/>
    <w:rsid w:val="001A3B83"/>
    <w:rsid w:val="001B11D3"/>
    <w:rsid w:val="001B44FA"/>
    <w:rsid w:val="001B4E1A"/>
    <w:rsid w:val="001B688B"/>
    <w:rsid w:val="001C5777"/>
    <w:rsid w:val="001D3790"/>
    <w:rsid w:val="001D5E45"/>
    <w:rsid w:val="001E7520"/>
    <w:rsid w:val="001F7583"/>
    <w:rsid w:val="00200C4E"/>
    <w:rsid w:val="002104F1"/>
    <w:rsid w:val="002149DA"/>
    <w:rsid w:val="00215AED"/>
    <w:rsid w:val="00217D8D"/>
    <w:rsid w:val="00226EFD"/>
    <w:rsid w:val="00233BE4"/>
    <w:rsid w:val="002348F9"/>
    <w:rsid w:val="00247BAB"/>
    <w:rsid w:val="002543E9"/>
    <w:rsid w:val="00257F47"/>
    <w:rsid w:val="00260401"/>
    <w:rsid w:val="00261E9B"/>
    <w:rsid w:val="00273468"/>
    <w:rsid w:val="00291335"/>
    <w:rsid w:val="002923A9"/>
    <w:rsid w:val="00293AF7"/>
    <w:rsid w:val="0029704C"/>
    <w:rsid w:val="002A06C9"/>
    <w:rsid w:val="002A6110"/>
    <w:rsid w:val="002A7BAD"/>
    <w:rsid w:val="002C4A26"/>
    <w:rsid w:val="002C51E6"/>
    <w:rsid w:val="002C5F20"/>
    <w:rsid w:val="002D220B"/>
    <w:rsid w:val="002D67B3"/>
    <w:rsid w:val="002E0068"/>
    <w:rsid w:val="002E1964"/>
    <w:rsid w:val="002E78C9"/>
    <w:rsid w:val="00300C0A"/>
    <w:rsid w:val="0030102D"/>
    <w:rsid w:val="003060D7"/>
    <w:rsid w:val="003118F4"/>
    <w:rsid w:val="003121EB"/>
    <w:rsid w:val="00312437"/>
    <w:rsid w:val="003175DF"/>
    <w:rsid w:val="00324328"/>
    <w:rsid w:val="00331BF5"/>
    <w:rsid w:val="003405D5"/>
    <w:rsid w:val="00342B4C"/>
    <w:rsid w:val="00343BC8"/>
    <w:rsid w:val="00353AE3"/>
    <w:rsid w:val="00356813"/>
    <w:rsid w:val="00356E3E"/>
    <w:rsid w:val="003614E4"/>
    <w:rsid w:val="00365A87"/>
    <w:rsid w:val="00372755"/>
    <w:rsid w:val="00372939"/>
    <w:rsid w:val="00387091"/>
    <w:rsid w:val="00396D44"/>
    <w:rsid w:val="003B0A7C"/>
    <w:rsid w:val="003F7C87"/>
    <w:rsid w:val="0041498E"/>
    <w:rsid w:val="00415A90"/>
    <w:rsid w:val="00424C9D"/>
    <w:rsid w:val="0043400D"/>
    <w:rsid w:val="00434433"/>
    <w:rsid w:val="0044562A"/>
    <w:rsid w:val="004463FE"/>
    <w:rsid w:val="00473D87"/>
    <w:rsid w:val="0047428C"/>
    <w:rsid w:val="00474F94"/>
    <w:rsid w:val="00482FF6"/>
    <w:rsid w:val="00485329"/>
    <w:rsid w:val="00486616"/>
    <w:rsid w:val="0049668E"/>
    <w:rsid w:val="004C43C2"/>
    <w:rsid w:val="004C4BF1"/>
    <w:rsid w:val="004D0C61"/>
    <w:rsid w:val="004D2407"/>
    <w:rsid w:val="004E0674"/>
    <w:rsid w:val="004E0CFD"/>
    <w:rsid w:val="004E2948"/>
    <w:rsid w:val="004F016E"/>
    <w:rsid w:val="004F1279"/>
    <w:rsid w:val="004F2CA9"/>
    <w:rsid w:val="004F6248"/>
    <w:rsid w:val="00500BE2"/>
    <w:rsid w:val="00505D99"/>
    <w:rsid w:val="00514656"/>
    <w:rsid w:val="00521823"/>
    <w:rsid w:val="00530D77"/>
    <w:rsid w:val="00536B21"/>
    <w:rsid w:val="00536CA6"/>
    <w:rsid w:val="005409A8"/>
    <w:rsid w:val="005443DE"/>
    <w:rsid w:val="00546736"/>
    <w:rsid w:val="00560E16"/>
    <w:rsid w:val="005627A7"/>
    <w:rsid w:val="005675A5"/>
    <w:rsid w:val="005755B2"/>
    <w:rsid w:val="00577DF5"/>
    <w:rsid w:val="00581591"/>
    <w:rsid w:val="00585D56"/>
    <w:rsid w:val="005868F1"/>
    <w:rsid w:val="005948C4"/>
    <w:rsid w:val="005955E4"/>
    <w:rsid w:val="00595E24"/>
    <w:rsid w:val="0059608A"/>
    <w:rsid w:val="005B39EB"/>
    <w:rsid w:val="005C71E9"/>
    <w:rsid w:val="005F1C33"/>
    <w:rsid w:val="005F6E1E"/>
    <w:rsid w:val="0060497D"/>
    <w:rsid w:val="00613975"/>
    <w:rsid w:val="00623052"/>
    <w:rsid w:val="00631C67"/>
    <w:rsid w:val="00635049"/>
    <w:rsid w:val="0064438C"/>
    <w:rsid w:val="0065476D"/>
    <w:rsid w:val="0067191D"/>
    <w:rsid w:val="00673EA7"/>
    <w:rsid w:val="00674D51"/>
    <w:rsid w:val="006811D6"/>
    <w:rsid w:val="0069285C"/>
    <w:rsid w:val="006A7367"/>
    <w:rsid w:val="006B6989"/>
    <w:rsid w:val="006C0F92"/>
    <w:rsid w:val="006D4F6F"/>
    <w:rsid w:val="006D69E4"/>
    <w:rsid w:val="006D6B54"/>
    <w:rsid w:val="006E08A5"/>
    <w:rsid w:val="006F6414"/>
    <w:rsid w:val="006F6BBE"/>
    <w:rsid w:val="006F7B93"/>
    <w:rsid w:val="007103C2"/>
    <w:rsid w:val="00722D05"/>
    <w:rsid w:val="00727590"/>
    <w:rsid w:val="00730C8A"/>
    <w:rsid w:val="00732D92"/>
    <w:rsid w:val="00732ED4"/>
    <w:rsid w:val="007359E2"/>
    <w:rsid w:val="007364B1"/>
    <w:rsid w:val="007465A9"/>
    <w:rsid w:val="007668DD"/>
    <w:rsid w:val="007772C6"/>
    <w:rsid w:val="007867A3"/>
    <w:rsid w:val="0079296A"/>
    <w:rsid w:val="00795E3B"/>
    <w:rsid w:val="007B3BB7"/>
    <w:rsid w:val="007B6498"/>
    <w:rsid w:val="007C4377"/>
    <w:rsid w:val="007D071E"/>
    <w:rsid w:val="007D1B09"/>
    <w:rsid w:val="007D315F"/>
    <w:rsid w:val="007D41B0"/>
    <w:rsid w:val="007D6C67"/>
    <w:rsid w:val="007E10FB"/>
    <w:rsid w:val="007E6C1A"/>
    <w:rsid w:val="007F1046"/>
    <w:rsid w:val="007F1D70"/>
    <w:rsid w:val="007F69AD"/>
    <w:rsid w:val="00802B4C"/>
    <w:rsid w:val="008174A7"/>
    <w:rsid w:val="0083211E"/>
    <w:rsid w:val="00834566"/>
    <w:rsid w:val="0085328C"/>
    <w:rsid w:val="00857C15"/>
    <w:rsid w:val="00860BB5"/>
    <w:rsid w:val="0086222B"/>
    <w:rsid w:val="00862FAB"/>
    <w:rsid w:val="00874822"/>
    <w:rsid w:val="00876587"/>
    <w:rsid w:val="00880DEA"/>
    <w:rsid w:val="00881B8C"/>
    <w:rsid w:val="00897097"/>
    <w:rsid w:val="008970F9"/>
    <w:rsid w:val="00897727"/>
    <w:rsid w:val="008A7FFA"/>
    <w:rsid w:val="008B243E"/>
    <w:rsid w:val="008B32BC"/>
    <w:rsid w:val="008B497B"/>
    <w:rsid w:val="008B728B"/>
    <w:rsid w:val="008C2FFF"/>
    <w:rsid w:val="008C47DF"/>
    <w:rsid w:val="008F30ED"/>
    <w:rsid w:val="008F7C23"/>
    <w:rsid w:val="00900AE3"/>
    <w:rsid w:val="00901737"/>
    <w:rsid w:val="00903EFC"/>
    <w:rsid w:val="00903FF7"/>
    <w:rsid w:val="00904718"/>
    <w:rsid w:val="00913A9C"/>
    <w:rsid w:val="009233DC"/>
    <w:rsid w:val="00926FE3"/>
    <w:rsid w:val="00940A25"/>
    <w:rsid w:val="0094421F"/>
    <w:rsid w:val="00950E5B"/>
    <w:rsid w:val="00964C90"/>
    <w:rsid w:val="009678BD"/>
    <w:rsid w:val="00974917"/>
    <w:rsid w:val="0098160A"/>
    <w:rsid w:val="009A1276"/>
    <w:rsid w:val="009A4C36"/>
    <w:rsid w:val="009A56F6"/>
    <w:rsid w:val="009B2394"/>
    <w:rsid w:val="009B2BA1"/>
    <w:rsid w:val="009E0C00"/>
    <w:rsid w:val="009E7FBA"/>
    <w:rsid w:val="009F1FC7"/>
    <w:rsid w:val="009F4D44"/>
    <w:rsid w:val="00A0186E"/>
    <w:rsid w:val="00A10C38"/>
    <w:rsid w:val="00A21731"/>
    <w:rsid w:val="00A40EB0"/>
    <w:rsid w:val="00A42E1E"/>
    <w:rsid w:val="00A5034F"/>
    <w:rsid w:val="00A505D9"/>
    <w:rsid w:val="00A570BE"/>
    <w:rsid w:val="00A578AC"/>
    <w:rsid w:val="00A6041F"/>
    <w:rsid w:val="00A63960"/>
    <w:rsid w:val="00A77341"/>
    <w:rsid w:val="00A8287D"/>
    <w:rsid w:val="00A942BC"/>
    <w:rsid w:val="00AA34F4"/>
    <w:rsid w:val="00AA35FC"/>
    <w:rsid w:val="00AA54E3"/>
    <w:rsid w:val="00AC027F"/>
    <w:rsid w:val="00AC0281"/>
    <w:rsid w:val="00AF1968"/>
    <w:rsid w:val="00AF650B"/>
    <w:rsid w:val="00AF69CB"/>
    <w:rsid w:val="00B04D6B"/>
    <w:rsid w:val="00B135B0"/>
    <w:rsid w:val="00B16706"/>
    <w:rsid w:val="00B2047F"/>
    <w:rsid w:val="00B23ED6"/>
    <w:rsid w:val="00B27FA8"/>
    <w:rsid w:val="00B310B9"/>
    <w:rsid w:val="00B55467"/>
    <w:rsid w:val="00B62F67"/>
    <w:rsid w:val="00B63C71"/>
    <w:rsid w:val="00B65977"/>
    <w:rsid w:val="00B73788"/>
    <w:rsid w:val="00B805F3"/>
    <w:rsid w:val="00B81ADF"/>
    <w:rsid w:val="00B87CE7"/>
    <w:rsid w:val="00B94375"/>
    <w:rsid w:val="00B9515D"/>
    <w:rsid w:val="00BA28D1"/>
    <w:rsid w:val="00BA312D"/>
    <w:rsid w:val="00BB56C5"/>
    <w:rsid w:val="00BB7A93"/>
    <w:rsid w:val="00BC5A97"/>
    <w:rsid w:val="00BD2759"/>
    <w:rsid w:val="00BF1C5E"/>
    <w:rsid w:val="00BF68CD"/>
    <w:rsid w:val="00C03F34"/>
    <w:rsid w:val="00C10065"/>
    <w:rsid w:val="00C11F87"/>
    <w:rsid w:val="00C12AAA"/>
    <w:rsid w:val="00C2447B"/>
    <w:rsid w:val="00C34C36"/>
    <w:rsid w:val="00C407AF"/>
    <w:rsid w:val="00C414E4"/>
    <w:rsid w:val="00C41AB6"/>
    <w:rsid w:val="00C5719A"/>
    <w:rsid w:val="00C61D0E"/>
    <w:rsid w:val="00C62008"/>
    <w:rsid w:val="00C65D37"/>
    <w:rsid w:val="00C70D68"/>
    <w:rsid w:val="00C72369"/>
    <w:rsid w:val="00C96552"/>
    <w:rsid w:val="00C979B5"/>
    <w:rsid w:val="00CA57CD"/>
    <w:rsid w:val="00CB20BC"/>
    <w:rsid w:val="00CB2F06"/>
    <w:rsid w:val="00CB3C62"/>
    <w:rsid w:val="00CC0452"/>
    <w:rsid w:val="00CD0063"/>
    <w:rsid w:val="00CD61DC"/>
    <w:rsid w:val="00CD6941"/>
    <w:rsid w:val="00CE5292"/>
    <w:rsid w:val="00D02266"/>
    <w:rsid w:val="00D05E75"/>
    <w:rsid w:val="00D16182"/>
    <w:rsid w:val="00D1769B"/>
    <w:rsid w:val="00D228F7"/>
    <w:rsid w:val="00D25B96"/>
    <w:rsid w:val="00D33D6D"/>
    <w:rsid w:val="00D431CB"/>
    <w:rsid w:val="00D5236E"/>
    <w:rsid w:val="00D576EA"/>
    <w:rsid w:val="00D57BE7"/>
    <w:rsid w:val="00D618D8"/>
    <w:rsid w:val="00D63C95"/>
    <w:rsid w:val="00D6460A"/>
    <w:rsid w:val="00D944EA"/>
    <w:rsid w:val="00D95725"/>
    <w:rsid w:val="00D977D6"/>
    <w:rsid w:val="00DA0322"/>
    <w:rsid w:val="00DA1C94"/>
    <w:rsid w:val="00DA2583"/>
    <w:rsid w:val="00DA2B77"/>
    <w:rsid w:val="00DA35F5"/>
    <w:rsid w:val="00DA44DE"/>
    <w:rsid w:val="00DA4CF3"/>
    <w:rsid w:val="00DA53A7"/>
    <w:rsid w:val="00DB04A3"/>
    <w:rsid w:val="00DB31AF"/>
    <w:rsid w:val="00DB77EE"/>
    <w:rsid w:val="00DF03C7"/>
    <w:rsid w:val="00DF106E"/>
    <w:rsid w:val="00DF2B35"/>
    <w:rsid w:val="00DF2C3F"/>
    <w:rsid w:val="00E178F0"/>
    <w:rsid w:val="00E201A8"/>
    <w:rsid w:val="00E21A23"/>
    <w:rsid w:val="00E301FF"/>
    <w:rsid w:val="00E31913"/>
    <w:rsid w:val="00E34B86"/>
    <w:rsid w:val="00E43063"/>
    <w:rsid w:val="00E4470E"/>
    <w:rsid w:val="00E459C6"/>
    <w:rsid w:val="00E630F8"/>
    <w:rsid w:val="00E8386C"/>
    <w:rsid w:val="00E859EF"/>
    <w:rsid w:val="00E97EAD"/>
    <w:rsid w:val="00EA15E0"/>
    <w:rsid w:val="00EA4CE5"/>
    <w:rsid w:val="00EB407F"/>
    <w:rsid w:val="00EB5054"/>
    <w:rsid w:val="00EB77BB"/>
    <w:rsid w:val="00EC2309"/>
    <w:rsid w:val="00ED36FF"/>
    <w:rsid w:val="00ED6392"/>
    <w:rsid w:val="00EE1987"/>
    <w:rsid w:val="00EF0A11"/>
    <w:rsid w:val="00EF5889"/>
    <w:rsid w:val="00F23A44"/>
    <w:rsid w:val="00F251B9"/>
    <w:rsid w:val="00F40385"/>
    <w:rsid w:val="00F6323B"/>
    <w:rsid w:val="00F6643B"/>
    <w:rsid w:val="00F804D3"/>
    <w:rsid w:val="00F82186"/>
    <w:rsid w:val="00F8769E"/>
    <w:rsid w:val="00F90CDA"/>
    <w:rsid w:val="00FA4CE7"/>
    <w:rsid w:val="00FA7914"/>
    <w:rsid w:val="00FC5285"/>
    <w:rsid w:val="00FD44FB"/>
    <w:rsid w:val="00FD7ABE"/>
    <w:rsid w:val="00FD7C86"/>
    <w:rsid w:val="00FF3C4E"/>
    <w:rsid w:val="02CB0FCB"/>
    <w:rsid w:val="03A648E2"/>
    <w:rsid w:val="04CE2646"/>
    <w:rsid w:val="062D2926"/>
    <w:rsid w:val="078374B7"/>
    <w:rsid w:val="09383FF4"/>
    <w:rsid w:val="095F2EB4"/>
    <w:rsid w:val="0A960E3D"/>
    <w:rsid w:val="0AE0655C"/>
    <w:rsid w:val="0C1B334E"/>
    <w:rsid w:val="0D457CF8"/>
    <w:rsid w:val="0D4B465F"/>
    <w:rsid w:val="0E4806A0"/>
    <w:rsid w:val="0E867734"/>
    <w:rsid w:val="116D4655"/>
    <w:rsid w:val="13C369D1"/>
    <w:rsid w:val="144F6DED"/>
    <w:rsid w:val="15003A82"/>
    <w:rsid w:val="160A1343"/>
    <w:rsid w:val="18D4637D"/>
    <w:rsid w:val="19675E76"/>
    <w:rsid w:val="19B45559"/>
    <w:rsid w:val="1A315345"/>
    <w:rsid w:val="1A880997"/>
    <w:rsid w:val="1AA73012"/>
    <w:rsid w:val="1BC05D1A"/>
    <w:rsid w:val="1C8B7A16"/>
    <w:rsid w:val="1CAD5674"/>
    <w:rsid w:val="1CDA38FB"/>
    <w:rsid w:val="21934A6C"/>
    <w:rsid w:val="2390680B"/>
    <w:rsid w:val="25002DD3"/>
    <w:rsid w:val="25C15FC9"/>
    <w:rsid w:val="278D645D"/>
    <w:rsid w:val="27C54B05"/>
    <w:rsid w:val="29932E9E"/>
    <w:rsid w:val="2A856AF9"/>
    <w:rsid w:val="2AAB66C8"/>
    <w:rsid w:val="2AB70E3A"/>
    <w:rsid w:val="2B261B25"/>
    <w:rsid w:val="2BD4136D"/>
    <w:rsid w:val="2C195660"/>
    <w:rsid w:val="2E8C6075"/>
    <w:rsid w:val="2E9873DE"/>
    <w:rsid w:val="2F0D0B48"/>
    <w:rsid w:val="39971DFA"/>
    <w:rsid w:val="3A7352AA"/>
    <w:rsid w:val="3B2B7CDB"/>
    <w:rsid w:val="3BD0316A"/>
    <w:rsid w:val="3F4D6D9E"/>
    <w:rsid w:val="3FC37E1E"/>
    <w:rsid w:val="404A3959"/>
    <w:rsid w:val="41642157"/>
    <w:rsid w:val="45184B07"/>
    <w:rsid w:val="475737A5"/>
    <w:rsid w:val="48D94910"/>
    <w:rsid w:val="4AA637F6"/>
    <w:rsid w:val="4ABF5C8E"/>
    <w:rsid w:val="4D7753F7"/>
    <w:rsid w:val="4F1E7D81"/>
    <w:rsid w:val="501418A5"/>
    <w:rsid w:val="50B80BD1"/>
    <w:rsid w:val="514F1E5A"/>
    <w:rsid w:val="51542485"/>
    <w:rsid w:val="522462FB"/>
    <w:rsid w:val="524722C6"/>
    <w:rsid w:val="52BA5AE4"/>
    <w:rsid w:val="52C00EA8"/>
    <w:rsid w:val="53F2686E"/>
    <w:rsid w:val="54EB22D2"/>
    <w:rsid w:val="55C63988"/>
    <w:rsid w:val="565029CE"/>
    <w:rsid w:val="56C73CA5"/>
    <w:rsid w:val="56FC58E4"/>
    <w:rsid w:val="581C76EC"/>
    <w:rsid w:val="58DA63A8"/>
    <w:rsid w:val="592A069B"/>
    <w:rsid w:val="5AC1236D"/>
    <w:rsid w:val="5B69480A"/>
    <w:rsid w:val="5D731358"/>
    <w:rsid w:val="5EF30F7B"/>
    <w:rsid w:val="604D1F41"/>
    <w:rsid w:val="614E1CC6"/>
    <w:rsid w:val="68A6236F"/>
    <w:rsid w:val="699C34EA"/>
    <w:rsid w:val="6AC47442"/>
    <w:rsid w:val="6AEC130C"/>
    <w:rsid w:val="6DB67834"/>
    <w:rsid w:val="6DEC5EE4"/>
    <w:rsid w:val="6F4F1391"/>
    <w:rsid w:val="72B666A4"/>
    <w:rsid w:val="73AD0F38"/>
    <w:rsid w:val="73C63D29"/>
    <w:rsid w:val="74C67B2A"/>
    <w:rsid w:val="763E5E5C"/>
    <w:rsid w:val="777067BA"/>
    <w:rsid w:val="787E1A12"/>
    <w:rsid w:val="79446289"/>
    <w:rsid w:val="798C6FEE"/>
    <w:rsid w:val="7A541141"/>
    <w:rsid w:val="7B36763F"/>
    <w:rsid w:val="7C007C40"/>
    <w:rsid w:val="7C323B52"/>
    <w:rsid w:val="7E5320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qFormat="1" w:unhideWhenUsed="0"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name="Date"/>
    <w:lsdException w:qFormat="1" w:unhideWhenUsed="0" w:uiPriority="0" w:semiHidden="0" w:name="Body Text First Indent"/>
    <w:lsdException w:uiPriority="99" w:name="Body Text First Indent 2"/>
    <w:lsdException w:qFormat="1" w:unhideWhenUsed="0" w:uiPriority="0" w:name="Note Heading"/>
    <w:lsdException w:qFormat="1" w:unhideWhenUsed="0" w:uiPriority="0" w:name="Body Text 2"/>
    <w:lsdException w:qFormat="1" w:unhideWhenUsed="0" w:uiPriority="0" w:semiHidden="0" w:name="Body Text 3"/>
    <w:lsdException w:qFormat="1" w:unhideWhenUsed="0" w:uiPriority="0" w:name="Body Text Indent 2"/>
    <w:lsdException w:qFormat="1" w:unhideWhenUsed="0" w:uiPriority="0" w:name="Body Text Indent 3"/>
    <w:lsdException w:qFormat="1" w:unhideWhenUsed="0" w:uiPriority="0" w:name="Block Text"/>
    <w:lsdException w:qFormat="1" w:unhideWhenUsed="0" w:uiPriority="99" w:semiHidden="0" w:name="Hyperlink"/>
    <w:lsdException w:qFormat="1" w:unhideWhenUsed="0" w:uiPriority="0" w:name="FollowedHyperlink"/>
    <w:lsdException w:qFormat="1" w:unhideWhenUsed="0" w:uiPriority="22" w:semiHidden="0" w:name="Strong"/>
    <w:lsdException w:qFormat="1" w:unhideWhenUsed="0" w:uiPriority="20" w:semiHidden="0" w:name="Emphasis"/>
    <w:lsdException w:qFormat="1" w:unhideWhenUsed="0" w:uiPriority="99" w:name="Document Map"/>
    <w:lsdException w:qFormat="1" w:unhideWhenUsed="0" w:uiPriority="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4"/>
    <w:qFormat/>
    <w:uiPriority w:val="0"/>
    <w:pPr>
      <w:keepNext/>
      <w:keepLines/>
      <w:pageBreakBefore/>
      <w:tabs>
        <w:tab w:val="left" w:pos="547"/>
      </w:tabs>
      <w:spacing w:before="100" w:beforeLines="100" w:after="100" w:afterLines="100" w:line="360" w:lineRule="auto"/>
      <w:jc w:val="center"/>
      <w:outlineLvl w:val="0"/>
    </w:pPr>
    <w:rPr>
      <w:rFonts w:ascii="Calibri" w:hAnsi="Calibri" w:eastAsia="宋体" w:cs="Times New Roman"/>
      <w:b/>
      <w:bCs/>
      <w:kern w:val="44"/>
      <w:sz w:val="28"/>
      <w:szCs w:val="44"/>
    </w:rPr>
  </w:style>
  <w:style w:type="paragraph" w:styleId="3">
    <w:name w:val="heading 2"/>
    <w:basedOn w:val="1"/>
    <w:next w:val="1"/>
    <w:link w:val="55"/>
    <w:qFormat/>
    <w:uiPriority w:val="0"/>
    <w:pPr>
      <w:keepNext/>
      <w:keepLines/>
      <w:spacing w:before="260" w:after="260" w:line="360" w:lineRule="auto"/>
      <w:jc w:val="center"/>
      <w:outlineLvl w:val="1"/>
    </w:pPr>
    <w:rPr>
      <w:rFonts w:ascii="Times New Roman" w:hAnsi="Times New Roman" w:eastAsia="宋体" w:cs="Times New Roman"/>
      <w:b/>
      <w:sz w:val="24"/>
      <w:szCs w:val="24"/>
    </w:rPr>
  </w:style>
  <w:style w:type="paragraph" w:styleId="4">
    <w:name w:val="heading 3"/>
    <w:basedOn w:val="1"/>
    <w:next w:val="1"/>
    <w:link w:val="56"/>
    <w:qFormat/>
    <w:uiPriority w:val="9"/>
    <w:pPr>
      <w:keepNext/>
      <w:keepLines/>
      <w:tabs>
        <w:tab w:val="left" w:pos="720"/>
      </w:tabs>
      <w:adjustRightInd w:val="0"/>
      <w:jc w:val="left"/>
      <w:textAlignment w:val="baseline"/>
      <w:outlineLvl w:val="2"/>
    </w:pPr>
    <w:rPr>
      <w:rFonts w:ascii="Times New Roman" w:hAnsi="Times New Roman" w:eastAsia="宋体" w:cs="Times New Roman"/>
      <w:b/>
      <w:kern w:val="0"/>
      <w:sz w:val="28"/>
      <w:szCs w:val="20"/>
    </w:rPr>
  </w:style>
  <w:style w:type="paragraph" w:styleId="5">
    <w:name w:val="heading 4"/>
    <w:basedOn w:val="1"/>
    <w:next w:val="1"/>
    <w:link w:val="57"/>
    <w:qFormat/>
    <w:uiPriority w:val="9"/>
    <w:pPr>
      <w:keepNext/>
      <w:keepLines/>
      <w:numPr>
        <w:ilvl w:val="3"/>
        <w:numId w:val="1"/>
      </w:numPr>
      <w:adjustRightInd w:val="0"/>
      <w:jc w:val="left"/>
      <w:textAlignment w:val="baseline"/>
      <w:outlineLvl w:val="3"/>
    </w:pPr>
    <w:rPr>
      <w:rFonts w:ascii="Times New Roman" w:hAnsi="Times New Roman" w:eastAsia="宋体" w:cs="Times New Roman"/>
      <w:kern w:val="0"/>
      <w:sz w:val="28"/>
      <w:szCs w:val="20"/>
    </w:rPr>
  </w:style>
  <w:style w:type="paragraph" w:styleId="6">
    <w:name w:val="heading 5"/>
    <w:basedOn w:val="1"/>
    <w:next w:val="1"/>
    <w:link w:val="58"/>
    <w:qFormat/>
    <w:uiPriority w:val="0"/>
    <w:pPr>
      <w:keepNext/>
      <w:keepLines/>
      <w:adjustRightInd w:val="0"/>
      <w:spacing w:before="280" w:after="290" w:line="376" w:lineRule="atLeast"/>
      <w:jc w:val="left"/>
      <w:textAlignment w:val="baseline"/>
      <w:outlineLvl w:val="4"/>
    </w:pPr>
    <w:rPr>
      <w:rFonts w:ascii="Times New Roman" w:hAnsi="Times New Roman" w:eastAsia="宋体" w:cs="Times New Roman"/>
      <w:b/>
      <w:kern w:val="0"/>
      <w:sz w:val="28"/>
      <w:szCs w:val="20"/>
    </w:rPr>
  </w:style>
  <w:style w:type="paragraph" w:styleId="7">
    <w:name w:val="heading 6"/>
    <w:basedOn w:val="1"/>
    <w:next w:val="1"/>
    <w:link w:val="59"/>
    <w:qFormat/>
    <w:uiPriority w:val="0"/>
    <w:pPr>
      <w:keepNext/>
      <w:keepLines/>
      <w:adjustRightInd w:val="0"/>
      <w:spacing w:before="240" w:after="64" w:line="320" w:lineRule="atLeast"/>
      <w:jc w:val="left"/>
      <w:textAlignment w:val="baseline"/>
      <w:outlineLvl w:val="5"/>
    </w:pPr>
    <w:rPr>
      <w:rFonts w:ascii="Arial" w:hAnsi="Arial" w:eastAsia="黑体" w:cs="Times New Roman"/>
      <w:b/>
      <w:kern w:val="0"/>
      <w:sz w:val="24"/>
      <w:szCs w:val="20"/>
    </w:rPr>
  </w:style>
  <w:style w:type="paragraph" w:styleId="8">
    <w:name w:val="heading 7"/>
    <w:basedOn w:val="1"/>
    <w:next w:val="1"/>
    <w:link w:val="60"/>
    <w:qFormat/>
    <w:uiPriority w:val="0"/>
    <w:pPr>
      <w:keepNext/>
      <w:keepLines/>
      <w:adjustRightInd w:val="0"/>
      <w:spacing w:before="240" w:after="64" w:line="320" w:lineRule="atLeast"/>
      <w:jc w:val="left"/>
      <w:textAlignment w:val="baseline"/>
      <w:outlineLvl w:val="6"/>
    </w:pPr>
    <w:rPr>
      <w:rFonts w:ascii="Times New Roman" w:hAnsi="Times New Roman" w:eastAsia="宋体" w:cs="Times New Roman"/>
      <w:b/>
      <w:kern w:val="0"/>
      <w:sz w:val="24"/>
      <w:szCs w:val="20"/>
    </w:rPr>
  </w:style>
  <w:style w:type="paragraph" w:styleId="9">
    <w:name w:val="heading 8"/>
    <w:basedOn w:val="1"/>
    <w:next w:val="1"/>
    <w:link w:val="61"/>
    <w:qFormat/>
    <w:uiPriority w:val="0"/>
    <w:pPr>
      <w:keepNext/>
      <w:keepLines/>
      <w:adjustRightInd w:val="0"/>
      <w:spacing w:before="240" w:after="64" w:line="320" w:lineRule="atLeast"/>
      <w:jc w:val="left"/>
      <w:textAlignment w:val="baseline"/>
      <w:outlineLvl w:val="7"/>
    </w:pPr>
    <w:rPr>
      <w:rFonts w:ascii="Arial" w:hAnsi="Arial" w:eastAsia="黑体" w:cs="Times New Roman"/>
      <w:kern w:val="0"/>
      <w:sz w:val="24"/>
      <w:szCs w:val="20"/>
    </w:rPr>
  </w:style>
  <w:style w:type="paragraph" w:styleId="10">
    <w:name w:val="heading 9"/>
    <w:basedOn w:val="1"/>
    <w:next w:val="1"/>
    <w:link w:val="62"/>
    <w:qFormat/>
    <w:uiPriority w:val="0"/>
    <w:pPr>
      <w:keepNext/>
      <w:keepLines/>
      <w:adjustRightInd w:val="0"/>
      <w:spacing w:before="240" w:after="64" w:line="320" w:lineRule="atLeast"/>
      <w:jc w:val="left"/>
      <w:textAlignment w:val="baseline"/>
      <w:outlineLvl w:val="8"/>
    </w:pPr>
    <w:rPr>
      <w:rFonts w:ascii="Arial" w:hAnsi="Arial" w:eastAsia="黑体" w:cs="Times New Roman"/>
      <w:kern w:val="0"/>
      <w:sz w:val="24"/>
      <w:szCs w:val="20"/>
    </w:rPr>
  </w:style>
  <w:style w:type="character" w:default="1" w:styleId="47">
    <w:name w:val="Default Paragraph Font"/>
    <w:semiHidden/>
    <w:unhideWhenUsed/>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rPr>
      <w:rFonts w:ascii="Times New Roman" w:hAnsi="Times New Roman" w:eastAsia="宋体" w:cs="Times New Roman"/>
      <w:szCs w:val="20"/>
    </w:rPr>
  </w:style>
  <w:style w:type="paragraph" w:styleId="12">
    <w:name w:val="Note Heading"/>
    <w:basedOn w:val="1"/>
    <w:next w:val="1"/>
    <w:link w:val="64"/>
    <w:semiHidden/>
    <w:qFormat/>
    <w:uiPriority w:val="0"/>
    <w:pPr>
      <w:jc w:val="center"/>
    </w:pPr>
    <w:rPr>
      <w:rFonts w:ascii="Times New Roman" w:hAnsi="Times New Roman" w:eastAsia="宋体" w:cs="Times New Roman"/>
      <w:kern w:val="0"/>
      <w:sz w:val="20"/>
      <w:szCs w:val="24"/>
    </w:rPr>
  </w:style>
  <w:style w:type="paragraph" w:styleId="13">
    <w:name w:val="List Number"/>
    <w:basedOn w:val="1"/>
    <w:semiHidden/>
    <w:unhideWhenUsed/>
    <w:qFormat/>
    <w:uiPriority w:val="0"/>
    <w:pPr>
      <w:ind w:left="420" w:hanging="420"/>
      <w:contextualSpacing/>
    </w:pPr>
    <w:rPr>
      <w:rFonts w:ascii="Calibri" w:hAnsi="Calibri" w:eastAsia="宋体" w:cs="Times New Roman"/>
      <w:szCs w:val="24"/>
    </w:rPr>
  </w:style>
  <w:style w:type="paragraph" w:styleId="14">
    <w:name w:val="Normal Indent"/>
    <w:basedOn w:val="1"/>
    <w:semiHidden/>
    <w:qFormat/>
    <w:uiPriority w:val="0"/>
    <w:pPr>
      <w:ind w:firstLine="420"/>
    </w:pPr>
    <w:rPr>
      <w:rFonts w:ascii="Times New Roman" w:hAnsi="Times New Roman" w:eastAsia="宋体" w:cs="Times New Roman"/>
      <w:szCs w:val="20"/>
    </w:rPr>
  </w:style>
  <w:style w:type="paragraph" w:styleId="15">
    <w:name w:val="caption"/>
    <w:basedOn w:val="1"/>
    <w:next w:val="1"/>
    <w:link w:val="337"/>
    <w:qFormat/>
    <w:uiPriority w:val="99"/>
    <w:pPr>
      <w:snapToGrid w:val="0"/>
      <w:spacing w:line="360" w:lineRule="auto"/>
      <w:jc w:val="center"/>
    </w:pPr>
    <w:rPr>
      <w:rFonts w:ascii="Calibri Light" w:hAnsi="Calibri Light" w:eastAsia="黑体" w:cs="Times New Roman"/>
      <w:kern w:val="0"/>
      <w:szCs w:val="20"/>
    </w:rPr>
  </w:style>
  <w:style w:type="paragraph" w:styleId="16">
    <w:name w:val="Document Map"/>
    <w:basedOn w:val="1"/>
    <w:link w:val="65"/>
    <w:semiHidden/>
    <w:qFormat/>
    <w:uiPriority w:val="99"/>
    <w:pPr>
      <w:shd w:val="clear" w:color="auto" w:fill="000080"/>
    </w:pPr>
    <w:rPr>
      <w:rFonts w:ascii="Times New Roman" w:hAnsi="Times New Roman" w:eastAsia="宋体" w:cs="Times New Roman"/>
      <w:szCs w:val="20"/>
    </w:rPr>
  </w:style>
  <w:style w:type="paragraph" w:styleId="17">
    <w:name w:val="annotation text"/>
    <w:basedOn w:val="1"/>
    <w:link w:val="66"/>
    <w:qFormat/>
    <w:uiPriority w:val="99"/>
    <w:pPr>
      <w:jc w:val="left"/>
    </w:pPr>
    <w:rPr>
      <w:rFonts w:ascii="Calibri" w:hAnsi="Calibri" w:eastAsia="宋体" w:cs="Times New Roman"/>
      <w:szCs w:val="24"/>
    </w:rPr>
  </w:style>
  <w:style w:type="paragraph" w:styleId="18">
    <w:name w:val="Body Text 3"/>
    <w:basedOn w:val="1"/>
    <w:link w:val="67"/>
    <w:qFormat/>
    <w:uiPriority w:val="0"/>
    <w:pPr>
      <w:spacing w:line="360" w:lineRule="auto"/>
    </w:pPr>
    <w:rPr>
      <w:rFonts w:ascii="Times New Roman" w:hAnsi="Times New Roman" w:eastAsia="宋体" w:cs="Times New Roman"/>
      <w:sz w:val="24"/>
      <w:szCs w:val="20"/>
    </w:rPr>
  </w:style>
  <w:style w:type="paragraph" w:styleId="19">
    <w:name w:val="Body Text"/>
    <w:basedOn w:val="1"/>
    <w:link w:val="68"/>
    <w:qFormat/>
    <w:uiPriority w:val="99"/>
    <w:pPr>
      <w:jc w:val="center"/>
    </w:pPr>
    <w:rPr>
      <w:rFonts w:ascii="仿宋体" w:hAnsi="Times New Roman" w:eastAsia="仿宋体" w:cs="Times New Roman"/>
      <w:kern w:val="0"/>
      <w:sz w:val="30"/>
      <w:szCs w:val="20"/>
    </w:rPr>
  </w:style>
  <w:style w:type="paragraph" w:styleId="20">
    <w:name w:val="Body Text Indent"/>
    <w:basedOn w:val="1"/>
    <w:link w:val="69"/>
    <w:semiHidden/>
    <w:qFormat/>
    <w:uiPriority w:val="0"/>
    <w:pPr>
      <w:ind w:firstLine="360"/>
    </w:pPr>
    <w:rPr>
      <w:rFonts w:ascii="Times New Roman" w:hAnsi="Times New Roman" w:eastAsia="宋体" w:cs="Times New Roman"/>
      <w:szCs w:val="20"/>
    </w:rPr>
  </w:style>
  <w:style w:type="paragraph" w:styleId="21">
    <w:name w:val="Block Text"/>
    <w:basedOn w:val="1"/>
    <w:semiHidden/>
    <w:qFormat/>
    <w:uiPriority w:val="0"/>
    <w:pPr>
      <w:ind w:left="1100" w:right="38" w:firstLine="40"/>
    </w:pPr>
    <w:rPr>
      <w:rFonts w:ascii="楷体_GB2312" w:hAnsi="Times New Roman" w:eastAsia="楷体_GB2312" w:cs="Times New Roman"/>
      <w:kern w:val="0"/>
      <w:sz w:val="28"/>
      <w:szCs w:val="20"/>
    </w:rPr>
  </w:style>
  <w:style w:type="paragraph" w:styleId="22">
    <w:name w:val="toc 5"/>
    <w:basedOn w:val="1"/>
    <w:next w:val="1"/>
    <w:qFormat/>
    <w:uiPriority w:val="39"/>
    <w:pPr>
      <w:ind w:left="1680" w:leftChars="800"/>
    </w:pPr>
    <w:rPr>
      <w:rFonts w:ascii="Times New Roman" w:hAnsi="Times New Roman" w:eastAsia="宋体" w:cs="Times New Roman"/>
      <w:szCs w:val="20"/>
    </w:rPr>
  </w:style>
  <w:style w:type="paragraph" w:styleId="23">
    <w:name w:val="toc 3"/>
    <w:basedOn w:val="1"/>
    <w:next w:val="1"/>
    <w:qFormat/>
    <w:uiPriority w:val="39"/>
    <w:pPr>
      <w:ind w:left="840" w:leftChars="400"/>
    </w:pPr>
    <w:rPr>
      <w:rFonts w:ascii="Times New Roman" w:hAnsi="Times New Roman" w:eastAsia="宋体" w:cs="Times New Roman"/>
      <w:szCs w:val="20"/>
    </w:rPr>
  </w:style>
  <w:style w:type="paragraph" w:styleId="24">
    <w:name w:val="Plain Text"/>
    <w:basedOn w:val="1"/>
    <w:link w:val="70"/>
    <w:semiHidden/>
    <w:qFormat/>
    <w:uiPriority w:val="0"/>
    <w:rPr>
      <w:rFonts w:ascii="宋体" w:hAnsi="Courier New" w:eastAsia="宋体" w:cs="Courier New"/>
      <w:szCs w:val="21"/>
    </w:rPr>
  </w:style>
  <w:style w:type="paragraph" w:styleId="25">
    <w:name w:val="toc 8"/>
    <w:basedOn w:val="1"/>
    <w:next w:val="1"/>
    <w:qFormat/>
    <w:uiPriority w:val="39"/>
    <w:pPr>
      <w:ind w:left="2940" w:leftChars="1400"/>
    </w:pPr>
    <w:rPr>
      <w:rFonts w:ascii="Times New Roman" w:hAnsi="Times New Roman" w:eastAsia="宋体" w:cs="Times New Roman"/>
      <w:szCs w:val="20"/>
    </w:rPr>
  </w:style>
  <w:style w:type="paragraph" w:styleId="26">
    <w:name w:val="Date"/>
    <w:basedOn w:val="1"/>
    <w:next w:val="1"/>
    <w:link w:val="71"/>
    <w:semiHidden/>
    <w:unhideWhenUsed/>
    <w:qFormat/>
    <w:uiPriority w:val="0"/>
    <w:pPr>
      <w:ind w:left="100" w:leftChars="2500"/>
    </w:pPr>
    <w:rPr>
      <w:rFonts w:ascii="Calibri" w:hAnsi="Calibri" w:eastAsia="宋体" w:cs="Times New Roman"/>
      <w:szCs w:val="24"/>
    </w:rPr>
  </w:style>
  <w:style w:type="paragraph" w:styleId="27">
    <w:name w:val="Body Text Indent 2"/>
    <w:basedOn w:val="1"/>
    <w:link w:val="72"/>
    <w:semiHidden/>
    <w:qFormat/>
    <w:uiPriority w:val="0"/>
    <w:pPr>
      <w:widowControl/>
      <w:autoSpaceDE w:val="0"/>
      <w:autoSpaceDN w:val="0"/>
      <w:adjustRightInd w:val="0"/>
      <w:spacing w:line="360" w:lineRule="auto"/>
      <w:ind w:firstLine="600"/>
      <w:jc w:val="left"/>
      <w:textAlignment w:val="bottom"/>
    </w:pPr>
    <w:rPr>
      <w:rFonts w:ascii="宋体" w:hAnsi="Times New Roman" w:eastAsia="宋体" w:cs="Times New Roman"/>
      <w:kern w:val="0"/>
      <w:sz w:val="28"/>
      <w:szCs w:val="20"/>
    </w:rPr>
  </w:style>
  <w:style w:type="paragraph" w:styleId="28">
    <w:name w:val="endnote text"/>
    <w:basedOn w:val="1"/>
    <w:link w:val="63"/>
    <w:semiHidden/>
    <w:qFormat/>
    <w:uiPriority w:val="99"/>
    <w:pPr>
      <w:snapToGrid w:val="0"/>
      <w:jc w:val="left"/>
    </w:pPr>
    <w:rPr>
      <w:rFonts w:ascii="Calibri" w:hAnsi="Calibri" w:eastAsia="宋体" w:cs="Times New Roman"/>
      <w:szCs w:val="24"/>
    </w:rPr>
  </w:style>
  <w:style w:type="paragraph" w:styleId="29">
    <w:name w:val="Balloon Text"/>
    <w:basedOn w:val="1"/>
    <w:link w:val="73"/>
    <w:qFormat/>
    <w:uiPriority w:val="99"/>
    <w:rPr>
      <w:rFonts w:ascii="Calibri" w:hAnsi="Calibri" w:eastAsia="宋体" w:cs="Times New Roman"/>
      <w:sz w:val="18"/>
      <w:szCs w:val="18"/>
    </w:rPr>
  </w:style>
  <w:style w:type="paragraph" w:styleId="30">
    <w:name w:val="footer"/>
    <w:basedOn w:val="1"/>
    <w:link w:val="74"/>
    <w:qFormat/>
    <w:uiPriority w:val="99"/>
    <w:pPr>
      <w:tabs>
        <w:tab w:val="center" w:pos="4153"/>
        <w:tab w:val="right" w:pos="8306"/>
      </w:tabs>
      <w:snapToGrid w:val="0"/>
      <w:jc w:val="left"/>
    </w:pPr>
    <w:rPr>
      <w:rFonts w:ascii="Times New Roman" w:hAnsi="Times New Roman" w:eastAsia="宋体" w:cs="Times New Roman"/>
      <w:kern w:val="0"/>
      <w:sz w:val="18"/>
      <w:szCs w:val="18"/>
    </w:rPr>
  </w:style>
  <w:style w:type="paragraph" w:styleId="31">
    <w:name w:val="header"/>
    <w:basedOn w:val="1"/>
    <w:link w:val="75"/>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 w:type="paragraph" w:styleId="32">
    <w:name w:val="toc 1"/>
    <w:basedOn w:val="1"/>
    <w:next w:val="1"/>
    <w:qFormat/>
    <w:uiPriority w:val="39"/>
    <w:rPr>
      <w:rFonts w:ascii="Calibri" w:hAnsi="Calibri" w:eastAsia="宋体" w:cs="Times New Roman"/>
      <w:szCs w:val="24"/>
    </w:rPr>
  </w:style>
  <w:style w:type="paragraph" w:styleId="33">
    <w:name w:val="toc 4"/>
    <w:basedOn w:val="1"/>
    <w:next w:val="1"/>
    <w:qFormat/>
    <w:uiPriority w:val="39"/>
    <w:pPr>
      <w:ind w:left="1260" w:leftChars="600"/>
    </w:pPr>
    <w:rPr>
      <w:rFonts w:ascii="Times New Roman" w:hAnsi="Times New Roman" w:eastAsia="宋体" w:cs="Times New Roman"/>
      <w:szCs w:val="20"/>
    </w:rPr>
  </w:style>
  <w:style w:type="paragraph" w:styleId="34">
    <w:name w:val="toc 6"/>
    <w:basedOn w:val="1"/>
    <w:next w:val="1"/>
    <w:qFormat/>
    <w:uiPriority w:val="39"/>
    <w:pPr>
      <w:ind w:left="2100" w:leftChars="1000"/>
    </w:pPr>
    <w:rPr>
      <w:rFonts w:ascii="Times New Roman" w:hAnsi="Times New Roman" w:eastAsia="宋体" w:cs="Times New Roman"/>
      <w:szCs w:val="20"/>
    </w:rPr>
  </w:style>
  <w:style w:type="paragraph" w:styleId="35">
    <w:name w:val="Body Text Indent 3"/>
    <w:basedOn w:val="1"/>
    <w:link w:val="76"/>
    <w:semiHidden/>
    <w:qFormat/>
    <w:uiPriority w:val="0"/>
    <w:pPr>
      <w:tabs>
        <w:tab w:val="left" w:pos="0"/>
        <w:tab w:val="left" w:pos="9020"/>
        <w:tab w:val="left" w:pos="9540"/>
      </w:tabs>
      <w:ind w:right="-1054" w:firstLine="1620"/>
    </w:pPr>
    <w:rPr>
      <w:rFonts w:ascii="宋体" w:hAnsi="Times New Roman" w:eastAsia="宋体" w:cs="Times New Roman"/>
      <w:sz w:val="28"/>
      <w:szCs w:val="20"/>
    </w:rPr>
  </w:style>
  <w:style w:type="paragraph" w:styleId="36">
    <w:name w:val="toc 2"/>
    <w:basedOn w:val="1"/>
    <w:next w:val="1"/>
    <w:qFormat/>
    <w:uiPriority w:val="39"/>
    <w:pPr>
      <w:ind w:left="420" w:leftChars="200"/>
    </w:pPr>
    <w:rPr>
      <w:rFonts w:ascii="Calibri" w:hAnsi="Calibri" w:eastAsia="宋体" w:cs="Times New Roman"/>
      <w:szCs w:val="24"/>
    </w:rPr>
  </w:style>
  <w:style w:type="paragraph" w:styleId="37">
    <w:name w:val="toc 9"/>
    <w:basedOn w:val="1"/>
    <w:next w:val="1"/>
    <w:qFormat/>
    <w:uiPriority w:val="39"/>
    <w:pPr>
      <w:ind w:left="3360" w:leftChars="1600"/>
    </w:pPr>
    <w:rPr>
      <w:rFonts w:ascii="Times New Roman" w:hAnsi="Times New Roman" w:eastAsia="宋体" w:cs="Times New Roman"/>
      <w:szCs w:val="20"/>
    </w:rPr>
  </w:style>
  <w:style w:type="paragraph" w:styleId="38">
    <w:name w:val="Body Text 2"/>
    <w:basedOn w:val="1"/>
    <w:link w:val="77"/>
    <w:semiHidden/>
    <w:qFormat/>
    <w:uiPriority w:val="0"/>
    <w:rPr>
      <w:rFonts w:ascii="Times New Roman" w:hAnsi="Times New Roman" w:eastAsia="宋体" w:cs="Times New Roman"/>
      <w:sz w:val="28"/>
      <w:szCs w:val="20"/>
    </w:rPr>
  </w:style>
  <w:style w:type="paragraph" w:styleId="39">
    <w:name w:val="HTML Preformatted"/>
    <w:basedOn w:val="1"/>
    <w:link w:val="78"/>
    <w:semiHidden/>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Arial Unicode MS"/>
      <w:color w:val="000000"/>
      <w:kern w:val="0"/>
      <w:szCs w:val="21"/>
    </w:rPr>
  </w:style>
  <w:style w:type="paragraph" w:styleId="40">
    <w:name w:val="Normal (Web)"/>
    <w:basedOn w:val="1"/>
    <w:qFormat/>
    <w:uiPriority w:val="0"/>
    <w:pPr>
      <w:spacing w:before="100" w:beforeAutospacing="1" w:after="100" w:afterAutospacing="1"/>
      <w:jc w:val="left"/>
    </w:pPr>
    <w:rPr>
      <w:rFonts w:ascii="Calibri" w:hAnsi="Calibri" w:eastAsia="宋体" w:cs="Times New Roman"/>
      <w:kern w:val="0"/>
      <w:sz w:val="24"/>
      <w:szCs w:val="24"/>
    </w:rPr>
  </w:style>
  <w:style w:type="paragraph" w:styleId="41">
    <w:name w:val="index 1"/>
    <w:basedOn w:val="1"/>
    <w:next w:val="1"/>
    <w:semiHidden/>
    <w:qFormat/>
    <w:uiPriority w:val="0"/>
    <w:pPr>
      <w:jc w:val="center"/>
    </w:pPr>
    <w:rPr>
      <w:rFonts w:ascii="Times New Roman" w:hAnsi="Times New Roman" w:eastAsia="宋体" w:cs="Times New Roman"/>
      <w:sz w:val="28"/>
      <w:szCs w:val="24"/>
    </w:rPr>
  </w:style>
  <w:style w:type="paragraph" w:styleId="42">
    <w:name w:val="index 2"/>
    <w:basedOn w:val="1"/>
    <w:next w:val="1"/>
    <w:semiHidden/>
    <w:qFormat/>
    <w:uiPriority w:val="0"/>
    <w:rPr>
      <w:rFonts w:ascii="Times New Roman" w:hAnsi="Times New Roman" w:eastAsia="宋体" w:cs="Times New Roman"/>
      <w:szCs w:val="24"/>
    </w:rPr>
  </w:style>
  <w:style w:type="paragraph" w:styleId="43">
    <w:name w:val="annotation subject"/>
    <w:basedOn w:val="17"/>
    <w:next w:val="17"/>
    <w:link w:val="79"/>
    <w:qFormat/>
    <w:uiPriority w:val="0"/>
    <w:rPr>
      <w:b/>
      <w:bCs/>
    </w:rPr>
  </w:style>
  <w:style w:type="paragraph" w:styleId="44">
    <w:name w:val="Body Text First Indent"/>
    <w:basedOn w:val="19"/>
    <w:link w:val="80"/>
    <w:qFormat/>
    <w:uiPriority w:val="0"/>
    <w:pPr>
      <w:spacing w:after="120"/>
      <w:ind w:firstLine="420" w:firstLineChars="100"/>
      <w:jc w:val="both"/>
    </w:pPr>
  </w:style>
  <w:style w:type="table" w:styleId="46">
    <w:name w:val="Table Grid"/>
    <w:basedOn w:val="4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qFormat/>
    <w:uiPriority w:val="22"/>
    <w:rPr>
      <w:b/>
      <w:bCs/>
    </w:rPr>
  </w:style>
  <w:style w:type="character" w:styleId="49">
    <w:name w:val="page number"/>
    <w:basedOn w:val="47"/>
    <w:qFormat/>
    <w:uiPriority w:val="0"/>
  </w:style>
  <w:style w:type="character" w:styleId="50">
    <w:name w:val="FollowedHyperlink"/>
    <w:semiHidden/>
    <w:qFormat/>
    <w:uiPriority w:val="0"/>
    <w:rPr>
      <w:color w:val="800080"/>
      <w:u w:val="single"/>
    </w:rPr>
  </w:style>
  <w:style w:type="character" w:styleId="51">
    <w:name w:val="Emphasis"/>
    <w:qFormat/>
    <w:uiPriority w:val="20"/>
    <w:rPr>
      <w:i/>
    </w:rPr>
  </w:style>
  <w:style w:type="character" w:styleId="52">
    <w:name w:val="Hyperlink"/>
    <w:qFormat/>
    <w:uiPriority w:val="99"/>
    <w:rPr>
      <w:color w:val="0000FF"/>
      <w:u w:val="single"/>
    </w:rPr>
  </w:style>
  <w:style w:type="character" w:styleId="53">
    <w:name w:val="annotation reference"/>
    <w:qFormat/>
    <w:uiPriority w:val="99"/>
    <w:rPr>
      <w:sz w:val="21"/>
      <w:szCs w:val="21"/>
    </w:rPr>
  </w:style>
  <w:style w:type="character" w:customStyle="1" w:styleId="54">
    <w:name w:val="标题 1 字符"/>
    <w:basedOn w:val="47"/>
    <w:link w:val="2"/>
    <w:qFormat/>
    <w:uiPriority w:val="0"/>
    <w:rPr>
      <w:rFonts w:ascii="Calibri" w:hAnsi="Calibri" w:eastAsia="宋体" w:cs="Times New Roman"/>
      <w:b/>
      <w:bCs/>
      <w:kern w:val="44"/>
      <w:sz w:val="28"/>
      <w:szCs w:val="44"/>
    </w:rPr>
  </w:style>
  <w:style w:type="character" w:customStyle="1" w:styleId="55">
    <w:name w:val="标题 2 字符"/>
    <w:basedOn w:val="47"/>
    <w:link w:val="3"/>
    <w:qFormat/>
    <w:uiPriority w:val="0"/>
    <w:rPr>
      <w:rFonts w:ascii="Times New Roman" w:hAnsi="Times New Roman" w:eastAsia="宋体" w:cs="Times New Roman"/>
      <w:b/>
      <w:kern w:val="2"/>
      <w:sz w:val="24"/>
      <w:szCs w:val="24"/>
    </w:rPr>
  </w:style>
  <w:style w:type="character" w:customStyle="1" w:styleId="56">
    <w:name w:val="标题 3 字符"/>
    <w:basedOn w:val="47"/>
    <w:link w:val="4"/>
    <w:qFormat/>
    <w:uiPriority w:val="9"/>
    <w:rPr>
      <w:rFonts w:ascii="Times New Roman" w:hAnsi="Times New Roman" w:eastAsia="宋体" w:cs="Times New Roman"/>
      <w:b/>
      <w:kern w:val="0"/>
      <w:sz w:val="28"/>
      <w:szCs w:val="20"/>
    </w:rPr>
  </w:style>
  <w:style w:type="character" w:customStyle="1" w:styleId="57">
    <w:name w:val="标题 4 字符"/>
    <w:basedOn w:val="47"/>
    <w:link w:val="5"/>
    <w:qFormat/>
    <w:uiPriority w:val="9"/>
    <w:rPr>
      <w:rFonts w:ascii="Times New Roman" w:hAnsi="Times New Roman" w:eastAsia="宋体" w:cs="Times New Roman"/>
      <w:kern w:val="0"/>
      <w:sz w:val="28"/>
      <w:szCs w:val="20"/>
    </w:rPr>
  </w:style>
  <w:style w:type="character" w:customStyle="1" w:styleId="58">
    <w:name w:val="标题 5 字符"/>
    <w:basedOn w:val="47"/>
    <w:link w:val="6"/>
    <w:qFormat/>
    <w:uiPriority w:val="0"/>
    <w:rPr>
      <w:rFonts w:ascii="Times New Roman" w:hAnsi="Times New Roman" w:eastAsia="宋体" w:cs="Times New Roman"/>
      <w:b/>
      <w:kern w:val="0"/>
      <w:sz w:val="28"/>
      <w:szCs w:val="20"/>
    </w:rPr>
  </w:style>
  <w:style w:type="character" w:customStyle="1" w:styleId="59">
    <w:name w:val="标题 6 字符"/>
    <w:basedOn w:val="47"/>
    <w:link w:val="7"/>
    <w:qFormat/>
    <w:uiPriority w:val="0"/>
    <w:rPr>
      <w:rFonts w:ascii="Arial" w:hAnsi="Arial" w:eastAsia="黑体" w:cs="Times New Roman"/>
      <w:b/>
      <w:kern w:val="0"/>
      <w:sz w:val="24"/>
      <w:szCs w:val="20"/>
    </w:rPr>
  </w:style>
  <w:style w:type="character" w:customStyle="1" w:styleId="60">
    <w:name w:val="标题 7 字符"/>
    <w:basedOn w:val="47"/>
    <w:link w:val="8"/>
    <w:qFormat/>
    <w:uiPriority w:val="0"/>
    <w:rPr>
      <w:rFonts w:ascii="Times New Roman" w:hAnsi="Times New Roman" w:eastAsia="宋体" w:cs="Times New Roman"/>
      <w:b/>
      <w:kern w:val="0"/>
      <w:sz w:val="24"/>
      <w:szCs w:val="20"/>
    </w:rPr>
  </w:style>
  <w:style w:type="character" w:customStyle="1" w:styleId="61">
    <w:name w:val="标题 8 字符"/>
    <w:basedOn w:val="47"/>
    <w:link w:val="9"/>
    <w:qFormat/>
    <w:uiPriority w:val="0"/>
    <w:rPr>
      <w:rFonts w:ascii="Arial" w:hAnsi="Arial" w:eastAsia="黑体" w:cs="Times New Roman"/>
      <w:kern w:val="0"/>
      <w:sz w:val="24"/>
      <w:szCs w:val="20"/>
    </w:rPr>
  </w:style>
  <w:style w:type="character" w:customStyle="1" w:styleId="62">
    <w:name w:val="标题 9 字符"/>
    <w:basedOn w:val="47"/>
    <w:link w:val="10"/>
    <w:qFormat/>
    <w:uiPriority w:val="0"/>
    <w:rPr>
      <w:rFonts w:ascii="Arial" w:hAnsi="Arial" w:eastAsia="黑体" w:cs="Times New Roman"/>
      <w:kern w:val="0"/>
      <w:sz w:val="24"/>
      <w:szCs w:val="20"/>
    </w:rPr>
  </w:style>
  <w:style w:type="character" w:customStyle="1" w:styleId="63">
    <w:name w:val="尾注文本 字符1"/>
    <w:basedOn w:val="47"/>
    <w:link w:val="28"/>
    <w:semiHidden/>
    <w:qFormat/>
    <w:uiPriority w:val="99"/>
    <w:rPr>
      <w:rFonts w:ascii="Calibri" w:hAnsi="Calibri" w:eastAsia="宋体" w:cs="Times New Roman"/>
      <w:szCs w:val="24"/>
    </w:rPr>
  </w:style>
  <w:style w:type="character" w:customStyle="1" w:styleId="64">
    <w:name w:val="注释标题 字符"/>
    <w:basedOn w:val="47"/>
    <w:link w:val="12"/>
    <w:semiHidden/>
    <w:qFormat/>
    <w:uiPriority w:val="0"/>
    <w:rPr>
      <w:rFonts w:ascii="Times New Roman" w:hAnsi="Times New Roman" w:eastAsia="宋体" w:cs="Times New Roman"/>
      <w:kern w:val="0"/>
      <w:sz w:val="20"/>
      <w:szCs w:val="24"/>
    </w:rPr>
  </w:style>
  <w:style w:type="character" w:customStyle="1" w:styleId="65">
    <w:name w:val="文档结构图 字符"/>
    <w:basedOn w:val="47"/>
    <w:link w:val="16"/>
    <w:semiHidden/>
    <w:qFormat/>
    <w:uiPriority w:val="99"/>
    <w:rPr>
      <w:rFonts w:ascii="Times New Roman" w:hAnsi="Times New Roman" w:eastAsia="宋体" w:cs="Times New Roman"/>
      <w:szCs w:val="20"/>
      <w:shd w:val="clear" w:color="auto" w:fill="000080"/>
    </w:rPr>
  </w:style>
  <w:style w:type="character" w:customStyle="1" w:styleId="66">
    <w:name w:val="批注文字 字符"/>
    <w:basedOn w:val="47"/>
    <w:link w:val="17"/>
    <w:qFormat/>
    <w:uiPriority w:val="99"/>
    <w:rPr>
      <w:rFonts w:ascii="Calibri" w:hAnsi="Calibri" w:eastAsia="宋体" w:cs="Times New Roman"/>
      <w:szCs w:val="24"/>
    </w:rPr>
  </w:style>
  <w:style w:type="character" w:customStyle="1" w:styleId="67">
    <w:name w:val="正文文本 3 字符"/>
    <w:basedOn w:val="47"/>
    <w:link w:val="18"/>
    <w:qFormat/>
    <w:uiPriority w:val="0"/>
    <w:rPr>
      <w:rFonts w:ascii="Times New Roman" w:hAnsi="Times New Roman" w:eastAsia="宋体" w:cs="Times New Roman"/>
      <w:sz w:val="24"/>
      <w:szCs w:val="20"/>
    </w:rPr>
  </w:style>
  <w:style w:type="character" w:customStyle="1" w:styleId="68">
    <w:name w:val="正文文本 字符"/>
    <w:basedOn w:val="47"/>
    <w:link w:val="19"/>
    <w:qFormat/>
    <w:uiPriority w:val="99"/>
    <w:rPr>
      <w:rFonts w:ascii="仿宋体" w:hAnsi="Times New Roman" w:eastAsia="仿宋体" w:cs="Times New Roman"/>
      <w:kern w:val="0"/>
      <w:sz w:val="30"/>
      <w:szCs w:val="20"/>
    </w:rPr>
  </w:style>
  <w:style w:type="character" w:customStyle="1" w:styleId="69">
    <w:name w:val="正文文本缩进 字符"/>
    <w:basedOn w:val="47"/>
    <w:link w:val="20"/>
    <w:semiHidden/>
    <w:qFormat/>
    <w:uiPriority w:val="0"/>
    <w:rPr>
      <w:rFonts w:ascii="Times New Roman" w:hAnsi="Times New Roman" w:eastAsia="宋体" w:cs="Times New Roman"/>
      <w:szCs w:val="20"/>
    </w:rPr>
  </w:style>
  <w:style w:type="character" w:customStyle="1" w:styleId="70">
    <w:name w:val="纯文本 字符"/>
    <w:basedOn w:val="47"/>
    <w:link w:val="24"/>
    <w:semiHidden/>
    <w:qFormat/>
    <w:uiPriority w:val="0"/>
    <w:rPr>
      <w:rFonts w:ascii="宋体" w:hAnsi="Courier New" w:eastAsia="宋体" w:cs="Courier New"/>
      <w:szCs w:val="21"/>
    </w:rPr>
  </w:style>
  <w:style w:type="character" w:customStyle="1" w:styleId="71">
    <w:name w:val="日期 字符"/>
    <w:basedOn w:val="47"/>
    <w:link w:val="26"/>
    <w:semiHidden/>
    <w:qFormat/>
    <w:uiPriority w:val="0"/>
    <w:rPr>
      <w:rFonts w:ascii="Calibri" w:hAnsi="Calibri" w:eastAsia="宋体" w:cs="Times New Roman"/>
      <w:szCs w:val="24"/>
    </w:rPr>
  </w:style>
  <w:style w:type="character" w:customStyle="1" w:styleId="72">
    <w:name w:val="正文文本缩进 2 字符"/>
    <w:basedOn w:val="47"/>
    <w:link w:val="27"/>
    <w:semiHidden/>
    <w:qFormat/>
    <w:uiPriority w:val="0"/>
    <w:rPr>
      <w:rFonts w:ascii="宋体" w:hAnsi="Times New Roman" w:eastAsia="宋体" w:cs="Times New Roman"/>
      <w:kern w:val="0"/>
      <w:sz w:val="28"/>
      <w:szCs w:val="20"/>
    </w:rPr>
  </w:style>
  <w:style w:type="character" w:customStyle="1" w:styleId="73">
    <w:name w:val="批注框文本 字符"/>
    <w:basedOn w:val="47"/>
    <w:link w:val="29"/>
    <w:qFormat/>
    <w:uiPriority w:val="99"/>
    <w:rPr>
      <w:rFonts w:ascii="Calibri" w:hAnsi="Calibri" w:eastAsia="宋体" w:cs="Times New Roman"/>
      <w:sz w:val="18"/>
      <w:szCs w:val="18"/>
    </w:rPr>
  </w:style>
  <w:style w:type="character" w:customStyle="1" w:styleId="74">
    <w:name w:val="页脚 字符"/>
    <w:basedOn w:val="47"/>
    <w:link w:val="30"/>
    <w:qFormat/>
    <w:uiPriority w:val="99"/>
    <w:rPr>
      <w:rFonts w:ascii="Times New Roman" w:hAnsi="Times New Roman" w:eastAsia="宋体" w:cs="Times New Roman"/>
      <w:kern w:val="0"/>
      <w:sz w:val="18"/>
      <w:szCs w:val="18"/>
    </w:rPr>
  </w:style>
  <w:style w:type="character" w:customStyle="1" w:styleId="75">
    <w:name w:val="页眉 字符1"/>
    <w:basedOn w:val="47"/>
    <w:link w:val="31"/>
    <w:qFormat/>
    <w:uiPriority w:val="99"/>
    <w:rPr>
      <w:rFonts w:ascii="Times New Roman" w:hAnsi="Times New Roman" w:eastAsia="宋体" w:cs="Times New Roman"/>
      <w:kern w:val="0"/>
      <w:sz w:val="18"/>
      <w:szCs w:val="18"/>
    </w:rPr>
  </w:style>
  <w:style w:type="character" w:customStyle="1" w:styleId="76">
    <w:name w:val="正文文本缩进 3 字符"/>
    <w:basedOn w:val="47"/>
    <w:link w:val="35"/>
    <w:semiHidden/>
    <w:qFormat/>
    <w:uiPriority w:val="0"/>
    <w:rPr>
      <w:rFonts w:ascii="宋体" w:hAnsi="Times New Roman" w:eastAsia="宋体" w:cs="Times New Roman"/>
      <w:sz w:val="28"/>
      <w:szCs w:val="20"/>
    </w:rPr>
  </w:style>
  <w:style w:type="character" w:customStyle="1" w:styleId="77">
    <w:name w:val="正文文本 2 字符"/>
    <w:basedOn w:val="47"/>
    <w:link w:val="38"/>
    <w:semiHidden/>
    <w:qFormat/>
    <w:uiPriority w:val="0"/>
    <w:rPr>
      <w:rFonts w:ascii="Times New Roman" w:hAnsi="Times New Roman" w:eastAsia="宋体" w:cs="Times New Roman"/>
      <w:sz w:val="28"/>
      <w:szCs w:val="20"/>
    </w:rPr>
  </w:style>
  <w:style w:type="character" w:customStyle="1" w:styleId="78">
    <w:name w:val="HTML 预设格式 字符"/>
    <w:basedOn w:val="47"/>
    <w:link w:val="39"/>
    <w:semiHidden/>
    <w:qFormat/>
    <w:uiPriority w:val="0"/>
    <w:rPr>
      <w:rFonts w:ascii="宋体" w:hAnsi="宋体" w:eastAsia="宋体" w:cs="Arial Unicode MS"/>
      <w:color w:val="000000"/>
      <w:kern w:val="0"/>
      <w:szCs w:val="21"/>
    </w:rPr>
  </w:style>
  <w:style w:type="character" w:customStyle="1" w:styleId="79">
    <w:name w:val="批注主题 字符"/>
    <w:basedOn w:val="66"/>
    <w:link w:val="43"/>
    <w:qFormat/>
    <w:uiPriority w:val="0"/>
    <w:rPr>
      <w:rFonts w:ascii="Calibri" w:hAnsi="Calibri" w:eastAsia="宋体" w:cs="Times New Roman"/>
      <w:b/>
      <w:bCs/>
      <w:szCs w:val="24"/>
    </w:rPr>
  </w:style>
  <w:style w:type="character" w:customStyle="1" w:styleId="80">
    <w:name w:val="正文文本首行缩进 字符"/>
    <w:basedOn w:val="68"/>
    <w:link w:val="44"/>
    <w:qFormat/>
    <w:uiPriority w:val="0"/>
    <w:rPr>
      <w:rFonts w:ascii="仿宋体" w:hAnsi="Times New Roman" w:eastAsia="仿宋体" w:cs="Times New Roman"/>
      <w:kern w:val="0"/>
      <w:sz w:val="30"/>
      <w:szCs w:val="20"/>
    </w:rPr>
  </w:style>
  <w:style w:type="paragraph" w:customStyle="1" w:styleId="81">
    <w:name w:val="Default"/>
    <w:qFormat/>
    <w:uiPriority w:val="0"/>
    <w:pPr>
      <w:widowControl w:val="0"/>
      <w:autoSpaceDE w:val="0"/>
      <w:autoSpaceDN w:val="0"/>
      <w:adjustRightInd w:val="0"/>
    </w:pPr>
    <w:rPr>
      <w:rFonts w:ascii="宋体_x0003_...销." w:hAnsi="Times New Roman" w:eastAsia="宋体_x0003_...销." w:cs="宋体_x0003_...销."/>
      <w:color w:val="000000"/>
      <w:sz w:val="24"/>
      <w:szCs w:val="24"/>
      <w:lang w:val="en-US" w:eastAsia="zh-CN" w:bidi="ar-SA"/>
    </w:rPr>
  </w:style>
  <w:style w:type="paragraph" w:customStyle="1" w:styleId="82">
    <w:name w:val="a"/>
    <w:basedOn w:val="1"/>
    <w:qFormat/>
    <w:uiPriority w:val="99"/>
    <w:pPr>
      <w:widowControl/>
      <w:spacing w:before="100" w:beforeAutospacing="1" w:after="100" w:afterAutospacing="1"/>
      <w:jc w:val="left"/>
    </w:pPr>
    <w:rPr>
      <w:rFonts w:ascii="宋体" w:hAnsi="宋体" w:eastAsia="宋体" w:cs="Times New Roman"/>
      <w:kern w:val="0"/>
      <w:sz w:val="24"/>
      <w:szCs w:val="24"/>
    </w:rPr>
  </w:style>
  <w:style w:type="paragraph" w:customStyle="1" w:styleId="83">
    <w:name w:val="列表段落1"/>
    <w:basedOn w:val="1"/>
    <w:unhideWhenUsed/>
    <w:qFormat/>
    <w:uiPriority w:val="99"/>
    <w:pPr>
      <w:ind w:firstLine="420" w:firstLineChars="200"/>
    </w:pPr>
    <w:rPr>
      <w:rFonts w:ascii="Calibri" w:hAnsi="Calibri" w:eastAsia="宋体" w:cs="Times New Roman"/>
      <w:szCs w:val="24"/>
    </w:rPr>
  </w:style>
  <w:style w:type="character" w:customStyle="1" w:styleId="84">
    <w:name w:val="fontstyle01"/>
    <w:qFormat/>
    <w:uiPriority w:val="0"/>
    <w:rPr>
      <w:rFonts w:hint="eastAsia" w:ascii="黑体" w:hAnsi="黑体" w:eastAsia="黑体"/>
      <w:color w:val="000000"/>
      <w:sz w:val="20"/>
      <w:szCs w:val="20"/>
    </w:rPr>
  </w:style>
  <w:style w:type="character" w:customStyle="1" w:styleId="85">
    <w:name w:val="不明显强调1"/>
    <w:qFormat/>
    <w:uiPriority w:val="19"/>
    <w:rPr>
      <w:i/>
      <w:iCs/>
      <w:color w:val="808080"/>
    </w:rPr>
  </w:style>
  <w:style w:type="paragraph" w:customStyle="1" w:styleId="86">
    <w:name w:val="WPSOffice手动目录 1"/>
    <w:qFormat/>
    <w:uiPriority w:val="0"/>
    <w:rPr>
      <w:rFonts w:ascii="Calibri" w:hAnsi="Calibri" w:eastAsia="宋体" w:cs="Times New Roman"/>
      <w:lang w:val="en-US" w:eastAsia="zh-CN" w:bidi="ar-SA"/>
    </w:rPr>
  </w:style>
  <w:style w:type="paragraph" w:customStyle="1" w:styleId="87">
    <w:name w:val="WPSOffice手动目录 2"/>
    <w:qFormat/>
    <w:uiPriority w:val="0"/>
    <w:pPr>
      <w:ind w:left="200" w:leftChars="200"/>
    </w:pPr>
    <w:rPr>
      <w:rFonts w:ascii="Calibri" w:hAnsi="Calibri" w:eastAsia="宋体" w:cs="Times New Roman"/>
      <w:lang w:val="en-US" w:eastAsia="zh-CN" w:bidi="ar-SA"/>
    </w:rPr>
  </w:style>
  <w:style w:type="paragraph" w:customStyle="1" w:styleId="88">
    <w:name w:val="列出段落1"/>
    <w:basedOn w:val="1"/>
    <w:unhideWhenUsed/>
    <w:qFormat/>
    <w:uiPriority w:val="99"/>
    <w:pPr>
      <w:ind w:firstLine="420" w:firstLineChars="200"/>
    </w:pPr>
    <w:rPr>
      <w:rFonts w:ascii="Calibri" w:hAnsi="Calibri" w:eastAsia="宋体" w:cs="Times New Roman"/>
      <w:szCs w:val="24"/>
    </w:rPr>
  </w:style>
  <w:style w:type="character" w:customStyle="1" w:styleId="89">
    <w:name w:val="不明显强调11"/>
    <w:qFormat/>
    <w:uiPriority w:val="19"/>
    <w:rPr>
      <w:i/>
      <w:iCs/>
      <w:color w:val="808080"/>
    </w:rPr>
  </w:style>
  <w:style w:type="character" w:customStyle="1" w:styleId="90">
    <w:name w:val="apple-style-span"/>
    <w:qFormat/>
    <w:uiPriority w:val="99"/>
    <w:rPr>
      <w:rFonts w:cs="Times New Roman"/>
    </w:rPr>
  </w:style>
  <w:style w:type="paragraph" w:customStyle="1" w:styleId="91">
    <w:name w:val="1大标题"/>
    <w:basedOn w:val="92"/>
    <w:qFormat/>
    <w:uiPriority w:val="99"/>
    <w:pPr>
      <w:spacing w:before="260" w:after="260"/>
      <w:jc w:val="center"/>
    </w:pPr>
    <w:rPr>
      <w:sz w:val="32"/>
    </w:rPr>
  </w:style>
  <w:style w:type="paragraph" w:customStyle="1" w:styleId="92">
    <w:name w:val="数字编号"/>
    <w:basedOn w:val="93"/>
    <w:qFormat/>
    <w:uiPriority w:val="99"/>
    <w:pPr>
      <w:ind w:firstLine="0" w:firstLineChars="0"/>
    </w:pPr>
    <w:rPr>
      <w:rFonts w:ascii="Times New Roman" w:hAnsi="Times New Roman"/>
      <w:b/>
    </w:rPr>
  </w:style>
  <w:style w:type="paragraph" w:customStyle="1" w:styleId="93">
    <w:name w:val="条文缩进"/>
    <w:basedOn w:val="1"/>
    <w:qFormat/>
    <w:uiPriority w:val="99"/>
    <w:pPr>
      <w:spacing w:line="360" w:lineRule="auto"/>
      <w:ind w:firstLine="420" w:firstLineChars="200"/>
    </w:pPr>
    <w:rPr>
      <w:rFonts w:ascii="Calibri" w:hAnsi="Calibri" w:eastAsia="宋体" w:cs="Times New Roman"/>
      <w:szCs w:val="24"/>
    </w:rPr>
  </w:style>
  <w:style w:type="character" w:customStyle="1" w:styleId="94">
    <w:name w:val="statute-detail-label-item"/>
    <w:basedOn w:val="47"/>
    <w:qFormat/>
    <w:uiPriority w:val="0"/>
  </w:style>
  <w:style w:type="character" w:customStyle="1" w:styleId="95">
    <w:name w:val="statute-detail-baseinfo-value"/>
    <w:basedOn w:val="47"/>
    <w:qFormat/>
    <w:uiPriority w:val="0"/>
  </w:style>
  <w:style w:type="character" w:customStyle="1" w:styleId="96">
    <w:name w:val="标题 1 Char"/>
    <w:qFormat/>
    <w:uiPriority w:val="9"/>
    <w:rPr>
      <w:rFonts w:eastAsia="宋体"/>
      <w:b/>
      <w:bCs/>
      <w:kern w:val="44"/>
      <w:sz w:val="44"/>
      <w:szCs w:val="44"/>
      <w:lang w:val="en-US" w:eastAsia="zh-CN" w:bidi="ar-SA"/>
    </w:rPr>
  </w:style>
  <w:style w:type="character" w:customStyle="1" w:styleId="97">
    <w:name w:val="正文缩进1"/>
    <w:qFormat/>
    <w:uiPriority w:val="0"/>
    <w:rPr>
      <w:rFonts w:eastAsia="宋体"/>
      <w:kern w:val="2"/>
      <w:sz w:val="24"/>
      <w:lang w:val="en-US" w:eastAsia="zh-CN" w:bidi="ar-SA"/>
    </w:rPr>
  </w:style>
  <w:style w:type="character" w:customStyle="1" w:styleId="98">
    <w:name w:val="tt1"/>
    <w:qFormat/>
    <w:uiPriority w:val="0"/>
    <w:rPr>
      <w:b/>
      <w:bCs/>
      <w:color w:val="FF9900"/>
      <w:sz w:val="28"/>
      <w:szCs w:val="28"/>
      <w:u w:val="none"/>
    </w:rPr>
  </w:style>
  <w:style w:type="character" w:customStyle="1" w:styleId="99">
    <w:name w:val="表格名称 Char Char"/>
    <w:qFormat/>
    <w:uiPriority w:val="0"/>
    <w:rPr>
      <w:rFonts w:ascii="黑体" w:eastAsia="黑体" w:cs="宋体"/>
      <w:kern w:val="2"/>
      <w:sz w:val="24"/>
      <w:szCs w:val="24"/>
      <w:lang w:val="en-US" w:eastAsia="zh-CN" w:bidi="ar-SA"/>
    </w:rPr>
  </w:style>
  <w:style w:type="character" w:customStyle="1" w:styleId="100">
    <w:name w:val="c-font-big"/>
    <w:basedOn w:val="47"/>
    <w:qFormat/>
    <w:uiPriority w:val="0"/>
  </w:style>
  <w:style w:type="character" w:customStyle="1" w:styleId="101">
    <w:name w:val="statute-detail-info-item"/>
    <w:basedOn w:val="47"/>
    <w:qFormat/>
    <w:uiPriority w:val="0"/>
  </w:style>
  <w:style w:type="character" w:customStyle="1" w:styleId="102">
    <w:name w:val="样式1正文 Char"/>
    <w:link w:val="103"/>
    <w:qFormat/>
    <w:uiPriority w:val="0"/>
    <w:rPr>
      <w:rFonts w:ascii="仿宋_GB2312" w:hAnsi="黑体" w:eastAsia="仿宋_GB2312"/>
      <w:color w:val="000000"/>
      <w:sz w:val="32"/>
    </w:rPr>
  </w:style>
  <w:style w:type="paragraph" w:customStyle="1" w:styleId="103">
    <w:name w:val="样式1正文"/>
    <w:basedOn w:val="104"/>
    <w:link w:val="102"/>
    <w:qFormat/>
    <w:uiPriority w:val="0"/>
    <w:pPr>
      <w:ind w:firstLine="640"/>
    </w:pPr>
    <w:rPr>
      <w:rFonts w:cstheme="minorBidi"/>
      <w:kern w:val="2"/>
      <w:szCs w:val="22"/>
    </w:rPr>
  </w:style>
  <w:style w:type="paragraph" w:customStyle="1" w:styleId="104">
    <w:name w:val="样式 仿宋_GB2312 (符号) 黑体 四号 黑色 行距: 1.5 倍行距 首行缩进:  2 字符"/>
    <w:basedOn w:val="1"/>
    <w:link w:val="109"/>
    <w:qFormat/>
    <w:uiPriority w:val="0"/>
    <w:pPr>
      <w:spacing w:line="360" w:lineRule="auto"/>
      <w:ind w:firstLine="560" w:firstLineChars="200"/>
    </w:pPr>
    <w:rPr>
      <w:rFonts w:ascii="仿宋_GB2312" w:hAnsi="黑体" w:eastAsia="仿宋_GB2312" w:cs="宋体"/>
      <w:color w:val="000000"/>
      <w:kern w:val="0"/>
      <w:sz w:val="32"/>
      <w:szCs w:val="20"/>
    </w:rPr>
  </w:style>
  <w:style w:type="character" w:customStyle="1" w:styleId="105">
    <w:name w:val="hao01-0 Char"/>
    <w:qFormat/>
    <w:uiPriority w:val="0"/>
    <w:rPr>
      <w:rFonts w:eastAsia="宋体"/>
      <w:kern w:val="2"/>
      <w:sz w:val="24"/>
      <w:szCs w:val="24"/>
      <w:lang w:val="en-US" w:eastAsia="zh-CN" w:bidi="ar-SA"/>
    </w:rPr>
  </w:style>
  <w:style w:type="character" w:customStyle="1" w:styleId="106">
    <w:name w:val="表格项目 Char"/>
    <w:qFormat/>
    <w:uiPriority w:val="0"/>
    <w:rPr>
      <w:rFonts w:eastAsia="宋体"/>
      <w:kern w:val="2"/>
      <w:sz w:val="24"/>
      <w:szCs w:val="24"/>
      <w:lang w:val="en-US" w:eastAsia="zh-CN" w:bidi="ar-SA"/>
    </w:rPr>
  </w:style>
  <w:style w:type="character" w:customStyle="1" w:styleId="107">
    <w:name w:val="text"/>
    <w:basedOn w:val="47"/>
    <w:qFormat/>
    <w:uiPriority w:val="0"/>
  </w:style>
  <w:style w:type="character" w:customStyle="1" w:styleId="108">
    <w:name w:val="index"/>
    <w:basedOn w:val="47"/>
    <w:qFormat/>
    <w:uiPriority w:val="0"/>
  </w:style>
  <w:style w:type="character" w:customStyle="1" w:styleId="109">
    <w:name w:val="样式 仿宋_GB2312 (符号) 黑体 四号 黑色 行距: 1.5 倍行距 首行缩进:  2 字符 Char"/>
    <w:link w:val="104"/>
    <w:qFormat/>
    <w:uiPriority w:val="0"/>
    <w:rPr>
      <w:rFonts w:ascii="仿宋_GB2312" w:hAnsi="黑体" w:eastAsia="仿宋_GB2312" w:cs="宋体"/>
      <w:color w:val="000000"/>
      <w:kern w:val="0"/>
      <w:sz w:val="32"/>
      <w:szCs w:val="20"/>
    </w:rPr>
  </w:style>
  <w:style w:type="character" w:customStyle="1" w:styleId="110">
    <w:name w:val="样式 标题 3 Char"/>
    <w:qFormat/>
    <w:uiPriority w:val="0"/>
    <w:rPr>
      <w:rFonts w:ascii="宋体" w:hAnsi="宋体" w:eastAsia="宋体"/>
      <w:b/>
      <w:kern w:val="2"/>
      <w:sz w:val="28"/>
      <w:szCs w:val="32"/>
      <w:lang w:val="en-US" w:eastAsia="zh-CN" w:bidi="ar-SA"/>
    </w:rPr>
  </w:style>
  <w:style w:type="character" w:customStyle="1" w:styleId="111">
    <w:name w:val="样式 仿宋_GB2312 四号 黑色"/>
    <w:qFormat/>
    <w:uiPriority w:val="0"/>
    <w:rPr>
      <w:rFonts w:ascii="仿宋_GB2312" w:hAnsi="仿宋_GB2312" w:eastAsia="仿宋_GB2312"/>
      <w:color w:val="000000"/>
      <w:sz w:val="32"/>
    </w:rPr>
  </w:style>
  <w:style w:type="character" w:customStyle="1" w:styleId="112">
    <w:name w:val="Char"/>
    <w:qFormat/>
    <w:uiPriority w:val="0"/>
    <w:rPr>
      <w:rFonts w:eastAsia="宋体"/>
      <w:kern w:val="2"/>
      <w:sz w:val="21"/>
      <w:szCs w:val="24"/>
      <w:lang w:val="en-US" w:eastAsia="zh-CN" w:bidi="ar-SA"/>
    </w:rPr>
  </w:style>
  <w:style w:type="character" w:customStyle="1" w:styleId="113">
    <w:name w:val="Char1"/>
    <w:qFormat/>
    <w:uiPriority w:val="0"/>
    <w:rPr>
      <w:rFonts w:eastAsia="宋体"/>
      <w:kern w:val="2"/>
      <w:sz w:val="21"/>
      <w:szCs w:val="24"/>
      <w:lang w:val="en-US" w:eastAsia="zh-CN" w:bidi="ar-SA"/>
    </w:rPr>
  </w:style>
  <w:style w:type="character" w:customStyle="1" w:styleId="114">
    <w:name w:val="statute-detail-baseinfo-key"/>
    <w:basedOn w:val="47"/>
    <w:qFormat/>
    <w:uiPriority w:val="0"/>
  </w:style>
  <w:style w:type="character" w:customStyle="1" w:styleId="115">
    <w:name w:val="标题 2 Char Char Char Char Char"/>
    <w:qFormat/>
    <w:uiPriority w:val="0"/>
    <w:rPr>
      <w:rFonts w:ascii="Arial" w:hAnsi="Arial" w:eastAsia="黑体"/>
      <w:b/>
      <w:bCs/>
      <w:kern w:val="2"/>
      <w:sz w:val="32"/>
      <w:szCs w:val="32"/>
      <w:lang w:val="en-US" w:eastAsia="zh-CN" w:bidi="ar-SA"/>
    </w:rPr>
  </w:style>
  <w:style w:type="character" w:customStyle="1" w:styleId="116">
    <w:name w:val="样式  + 仿宋_GB2312 四号 Char Char"/>
    <w:qFormat/>
    <w:uiPriority w:val="0"/>
    <w:rPr>
      <w:rFonts w:ascii="仿宋_GB2312" w:hAnsi="仿宋_GB2312" w:eastAsia="仿宋_GB2312"/>
      <w:spacing w:val="-2"/>
      <w:kern w:val="2"/>
      <w:sz w:val="28"/>
      <w:szCs w:val="24"/>
      <w:lang w:val="en-US" w:eastAsia="zh-CN" w:bidi="ar-SA"/>
    </w:rPr>
  </w:style>
  <w:style w:type="character" w:customStyle="1" w:styleId="117">
    <w:name w:val="bl171"/>
    <w:qFormat/>
    <w:uiPriority w:val="0"/>
    <w:rPr>
      <w:rFonts w:hint="eastAsia" w:ascii="宋体" w:hAnsi="宋体" w:eastAsia="宋体"/>
      <w:color w:val="669966"/>
      <w:sz w:val="21"/>
      <w:szCs w:val="21"/>
      <w:u w:val="none"/>
    </w:rPr>
  </w:style>
  <w:style w:type="paragraph" w:customStyle="1" w:styleId="1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color w:val="000000"/>
      <w:kern w:val="0"/>
      <w:sz w:val="24"/>
      <w:szCs w:val="24"/>
    </w:rPr>
  </w:style>
  <w:style w:type="paragraph" w:customStyle="1" w:styleId="11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eastAsia="宋体" w:cs="Times New Roman"/>
      <w:kern w:val="0"/>
      <w:sz w:val="22"/>
    </w:rPr>
  </w:style>
  <w:style w:type="paragraph" w:customStyle="1" w:styleId="1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121">
    <w:name w:val="font5"/>
    <w:basedOn w:val="1"/>
    <w:qFormat/>
    <w:uiPriority w:val="0"/>
    <w:pPr>
      <w:widowControl/>
      <w:spacing w:before="100" w:beforeAutospacing="1" w:after="100" w:afterAutospacing="1"/>
      <w:jc w:val="left"/>
    </w:pPr>
    <w:rPr>
      <w:rFonts w:hint="eastAsia" w:ascii="宋体" w:hAnsi="宋体" w:eastAsia="宋体" w:cs="Times New Roman"/>
      <w:kern w:val="0"/>
      <w:sz w:val="18"/>
      <w:szCs w:val="18"/>
    </w:rPr>
  </w:style>
  <w:style w:type="paragraph" w:customStyle="1" w:styleId="122">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Times New Roman"/>
      <w:kern w:val="0"/>
      <w:sz w:val="24"/>
      <w:szCs w:val="24"/>
    </w:rPr>
  </w:style>
  <w:style w:type="paragraph" w:customStyle="1" w:styleId="123">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宋体" w:cs="Times New Roman"/>
      <w:kern w:val="0"/>
      <w:sz w:val="24"/>
      <w:szCs w:val="24"/>
    </w:rPr>
  </w:style>
  <w:style w:type="paragraph" w:customStyle="1" w:styleId="124">
    <w:name w:val="hao01-1"/>
    <w:next w:val="125"/>
    <w:qFormat/>
    <w:uiPriority w:val="0"/>
    <w:pPr>
      <w:tabs>
        <w:tab w:val="left" w:pos="425"/>
      </w:tabs>
      <w:spacing w:beforeLines="50" w:afterLines="50"/>
      <w:ind w:left="425" w:hanging="425"/>
      <w:jc w:val="center"/>
      <w:outlineLvl w:val="0"/>
    </w:pPr>
    <w:rPr>
      <w:rFonts w:ascii="Times New Roman" w:hAnsi="Times New Roman" w:eastAsia="黑体" w:cs="Times New Roman"/>
      <w:b/>
      <w:kern w:val="2"/>
      <w:sz w:val="36"/>
      <w:lang w:val="en-US" w:eastAsia="zh-CN" w:bidi="ar-SA"/>
    </w:rPr>
  </w:style>
  <w:style w:type="paragraph" w:customStyle="1" w:styleId="125">
    <w:name w:val="hao01-0"/>
    <w:qFormat/>
    <w:uiPriority w:val="0"/>
    <w:pPr>
      <w:ind w:firstLine="200" w:firstLineChars="200"/>
    </w:pPr>
    <w:rPr>
      <w:rFonts w:ascii="Times New Roman" w:hAnsi="Times New Roman" w:eastAsia="宋体" w:cs="Times New Roman"/>
      <w:kern w:val="2"/>
      <w:sz w:val="24"/>
      <w:szCs w:val="24"/>
      <w:lang w:val="en-US" w:eastAsia="zh-CN" w:bidi="ar-SA"/>
    </w:rPr>
  </w:style>
  <w:style w:type="paragraph" w:customStyle="1" w:styleId="126">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b/>
      <w:bCs/>
      <w:kern w:val="0"/>
      <w:sz w:val="24"/>
      <w:szCs w:val="24"/>
    </w:rPr>
  </w:style>
  <w:style w:type="paragraph" w:customStyle="1" w:styleId="127">
    <w:name w:val="xl43"/>
    <w:basedOn w:val="1"/>
    <w:qFormat/>
    <w:uiPriority w:val="0"/>
    <w:pPr>
      <w:widowControl/>
      <w:pBdr>
        <w:bottom w:val="single" w:color="auto" w:sz="4" w:space="0"/>
      </w:pBdr>
      <w:spacing w:before="100" w:beforeAutospacing="1" w:after="100" w:afterAutospacing="1"/>
      <w:jc w:val="left"/>
      <w:textAlignment w:val="center"/>
    </w:pPr>
    <w:rPr>
      <w:rFonts w:ascii="宋体" w:hAnsi="宋体" w:eastAsia="宋体" w:cs="Times New Roman"/>
      <w:kern w:val="0"/>
      <w:sz w:val="20"/>
      <w:szCs w:val="20"/>
    </w:rPr>
  </w:style>
  <w:style w:type="paragraph" w:customStyle="1" w:styleId="128">
    <w:name w:val="xl56"/>
    <w:basedOn w:val="1"/>
    <w:qFormat/>
    <w:uiPriority w:val="0"/>
    <w:pPr>
      <w:widowControl/>
      <w:pBdr>
        <w:bottom w:val="single" w:color="auto" w:sz="4" w:space="0"/>
      </w:pBdr>
      <w:spacing w:before="100" w:beforeAutospacing="1" w:after="100" w:afterAutospacing="1"/>
      <w:jc w:val="left"/>
      <w:textAlignment w:val="center"/>
    </w:pPr>
    <w:rPr>
      <w:rFonts w:ascii="宋体" w:hAnsi="宋体" w:eastAsia="宋体" w:cs="Times New Roman"/>
      <w:kern w:val="0"/>
      <w:sz w:val="24"/>
      <w:szCs w:val="24"/>
    </w:rPr>
  </w:style>
  <w:style w:type="paragraph" w:customStyle="1" w:styleId="129">
    <w:name w:val="bl16"/>
    <w:basedOn w:val="1"/>
    <w:qFormat/>
    <w:uiPriority w:val="0"/>
    <w:pPr>
      <w:widowControl/>
      <w:spacing w:before="100" w:beforeAutospacing="1" w:after="100" w:afterAutospacing="1" w:line="270" w:lineRule="atLeast"/>
      <w:jc w:val="left"/>
    </w:pPr>
    <w:rPr>
      <w:rFonts w:hint="eastAsia" w:ascii="宋体" w:hAnsi="宋体" w:eastAsia="宋体" w:cs="Times New Roman"/>
      <w:color w:val="000000"/>
      <w:kern w:val="0"/>
      <w:szCs w:val="21"/>
    </w:rPr>
  </w:style>
  <w:style w:type="paragraph" w:customStyle="1" w:styleId="130">
    <w:name w:val="CM51"/>
    <w:basedOn w:val="81"/>
    <w:next w:val="81"/>
    <w:qFormat/>
    <w:uiPriority w:val="0"/>
    <w:pPr>
      <w:spacing w:line="468" w:lineRule="atLeast"/>
    </w:pPr>
    <w:rPr>
      <w:rFonts w:ascii="黑体" w:eastAsia="黑体" w:cs="Times New Roman"/>
      <w:color w:val="auto"/>
    </w:rPr>
  </w:style>
  <w:style w:type="paragraph" w:customStyle="1" w:styleId="131">
    <w:name w:val="样式 纯文本 + (西文) Times New Roman (中文) 黑体 四号 加粗2"/>
    <w:basedOn w:val="3"/>
    <w:qFormat/>
    <w:uiPriority w:val="0"/>
    <w:pPr>
      <w:tabs>
        <w:tab w:val="left" w:pos="720"/>
      </w:tabs>
      <w:spacing w:before="0" w:after="0" w:afterLines="100" w:line="240" w:lineRule="auto"/>
    </w:pPr>
    <w:rPr>
      <w:rFonts w:eastAsia="仿宋_GB2312"/>
      <w:bCs/>
      <w:spacing w:val="14"/>
      <w:kern w:val="0"/>
      <w:sz w:val="28"/>
      <w:szCs w:val="28"/>
    </w:rPr>
  </w:style>
  <w:style w:type="paragraph" w:customStyle="1" w:styleId="132">
    <w:name w:val="hao02－1"/>
    <w:basedOn w:val="124"/>
    <w:next w:val="125"/>
    <w:qFormat/>
    <w:uiPriority w:val="0"/>
    <w:pPr>
      <w:autoSpaceDE w:val="0"/>
      <w:autoSpaceDN w:val="0"/>
      <w:adjustRightInd w:val="0"/>
      <w:ind w:left="0" w:firstLine="0"/>
    </w:pPr>
    <w:rPr>
      <w:rFonts w:ascii="TimesNewRomanPS-BoldMT" w:hAnsi="TimesNewRomanPS-BoldMT"/>
      <w:bCs/>
      <w:szCs w:val="28"/>
    </w:rPr>
  </w:style>
  <w:style w:type="paragraph" w:customStyle="1" w:styleId="133">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2"/>
    </w:rPr>
  </w:style>
  <w:style w:type="paragraph" w:customStyle="1" w:styleId="134">
    <w:name w:val="样式4"/>
    <w:basedOn w:val="1"/>
    <w:qFormat/>
    <w:uiPriority w:val="0"/>
    <w:pPr>
      <w:tabs>
        <w:tab w:val="left" w:pos="567"/>
      </w:tabs>
      <w:ind w:firstLine="567"/>
    </w:pPr>
    <w:rPr>
      <w:rFonts w:ascii="Times New Roman" w:hAnsi="Times New Roman" w:eastAsia="仿宋_GB2312" w:cs="Times New Roman"/>
      <w:w w:val="90"/>
      <w:sz w:val="28"/>
      <w:szCs w:val="20"/>
    </w:rPr>
  </w:style>
  <w:style w:type="paragraph" w:customStyle="1" w:styleId="135">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宋体" w:cs="Times New Roman"/>
      <w:kern w:val="0"/>
      <w:sz w:val="24"/>
      <w:szCs w:val="24"/>
    </w:rPr>
  </w:style>
  <w:style w:type="paragraph" w:customStyle="1" w:styleId="136">
    <w:name w:val="标题 4 lzhw"/>
    <w:basedOn w:val="137"/>
    <w:next w:val="21"/>
    <w:qFormat/>
    <w:uiPriority w:val="0"/>
    <w:pPr>
      <w:tabs>
        <w:tab w:val="left" w:pos="0"/>
        <w:tab w:val="left" w:pos="709"/>
        <w:tab w:val="left" w:pos="720"/>
        <w:tab w:val="left" w:pos="1080"/>
      </w:tabs>
      <w:ind w:left="0" w:firstLine="0"/>
    </w:pPr>
  </w:style>
  <w:style w:type="paragraph" w:customStyle="1" w:styleId="137">
    <w:name w:val="标题 3 lzhw"/>
    <w:basedOn w:val="138"/>
    <w:qFormat/>
    <w:uiPriority w:val="0"/>
    <w:pPr>
      <w:tabs>
        <w:tab w:val="left" w:pos="0"/>
        <w:tab w:val="left" w:pos="709"/>
        <w:tab w:val="left" w:pos="720"/>
      </w:tabs>
      <w:ind w:left="709" w:hanging="709"/>
    </w:pPr>
  </w:style>
  <w:style w:type="paragraph" w:customStyle="1" w:styleId="138">
    <w:name w:val="样式 标题 3 + 仿宋_GB2312"/>
    <w:basedOn w:val="4"/>
    <w:qFormat/>
    <w:uiPriority w:val="0"/>
    <w:pPr>
      <w:tabs>
        <w:tab w:val="left" w:pos="0"/>
      </w:tabs>
      <w:adjustRightInd/>
      <w:spacing w:beforeLines="100" w:line="413" w:lineRule="auto"/>
      <w:jc w:val="both"/>
      <w:textAlignment w:val="auto"/>
    </w:pPr>
    <w:rPr>
      <w:rFonts w:ascii="仿宋_GB2312" w:hAnsi="仿宋_GB2312" w:eastAsia="仿宋_GB2312"/>
      <w:b w:val="0"/>
      <w:kern w:val="2"/>
      <w:szCs w:val="32"/>
    </w:rPr>
  </w:style>
  <w:style w:type="paragraph" w:customStyle="1" w:styleId="139">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b/>
      <w:bCs/>
      <w:kern w:val="0"/>
      <w:sz w:val="24"/>
      <w:szCs w:val="24"/>
    </w:rPr>
  </w:style>
  <w:style w:type="paragraph" w:customStyle="1" w:styleId="140">
    <w:name w:val="xl26"/>
    <w:basedOn w:val="1"/>
    <w:qFormat/>
    <w:uiPriority w:val="0"/>
    <w:pPr>
      <w:widowControl/>
      <w:spacing w:before="100" w:beforeAutospacing="1" w:after="100" w:afterAutospacing="1"/>
      <w:jc w:val="center"/>
    </w:pPr>
    <w:rPr>
      <w:rFonts w:ascii="Times New Roman" w:hAnsi="Times New Roman" w:eastAsia="Arial Unicode MS" w:cs="Times New Roman"/>
      <w:kern w:val="0"/>
      <w:sz w:val="24"/>
      <w:szCs w:val="24"/>
    </w:rPr>
  </w:style>
  <w:style w:type="paragraph" w:customStyle="1" w:styleId="141">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 w:val="20"/>
      <w:szCs w:val="20"/>
    </w:rPr>
  </w:style>
  <w:style w:type="paragraph" w:customStyle="1" w:styleId="142">
    <w:name w:val="样式 样式 标题 3 + 仿宋_GB2312 + 段前: 12 磅1"/>
    <w:basedOn w:val="138"/>
    <w:qFormat/>
    <w:uiPriority w:val="0"/>
    <w:pPr>
      <w:spacing w:beforeLines="0" w:line="360" w:lineRule="auto"/>
    </w:pPr>
    <w:rPr>
      <w:szCs w:val="20"/>
    </w:rPr>
  </w:style>
  <w:style w:type="paragraph" w:customStyle="1" w:styleId="143">
    <w:name w:val="样式 样式 样式 纯文本 + (西文) Times New Roman (中文) 黑体 四号 加粗2 + 段后: 1 行 + 段..."/>
    <w:basedOn w:val="144"/>
    <w:qFormat/>
    <w:uiPriority w:val="0"/>
    <w:pPr>
      <w:tabs>
        <w:tab w:val="left" w:pos="720"/>
      </w:tabs>
    </w:pPr>
  </w:style>
  <w:style w:type="paragraph" w:customStyle="1" w:styleId="144">
    <w:name w:val="样式 样式 纯文本 + (西文) Times New Roman (中文) 黑体 四号 加粗2 + 段后: 1 行"/>
    <w:basedOn w:val="131"/>
    <w:qFormat/>
    <w:uiPriority w:val="0"/>
    <w:pPr>
      <w:spacing w:beforeLines="100"/>
    </w:pPr>
    <w:rPr>
      <w:szCs w:val="20"/>
    </w:rPr>
  </w:style>
  <w:style w:type="paragraph" w:customStyle="1" w:styleId="145">
    <w:name w:val="hao01-T"/>
    <w:next w:val="125"/>
    <w:qFormat/>
    <w:uiPriority w:val="0"/>
    <w:pPr>
      <w:jc w:val="center"/>
    </w:pPr>
    <w:rPr>
      <w:rFonts w:ascii="Times New Roman" w:hAnsi="Times New Roman" w:eastAsia="宋体" w:cs="Times New Roman"/>
      <w:kern w:val="2"/>
      <w:sz w:val="24"/>
      <w:lang w:val="en-US" w:eastAsia="zh-CN" w:bidi="ar-SA"/>
    </w:rPr>
  </w:style>
  <w:style w:type="paragraph" w:customStyle="1" w:styleId="146">
    <w:name w:val="CM13"/>
    <w:basedOn w:val="81"/>
    <w:next w:val="81"/>
    <w:qFormat/>
    <w:uiPriority w:val="0"/>
    <w:pPr>
      <w:spacing w:line="468" w:lineRule="atLeast"/>
    </w:pPr>
    <w:rPr>
      <w:rFonts w:ascii="黑体" w:eastAsia="黑体" w:cs="Times New Roman"/>
      <w:color w:val="auto"/>
    </w:rPr>
  </w:style>
  <w:style w:type="paragraph" w:customStyle="1" w:styleId="147">
    <w:name w:val="xl95"/>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paragraph" w:customStyle="1" w:styleId="148">
    <w:name w:val="xl10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149">
    <w:name w:val="标题3"/>
    <w:basedOn w:val="1"/>
    <w:qFormat/>
    <w:uiPriority w:val="0"/>
    <w:rPr>
      <w:rFonts w:ascii="Times New Roman" w:hAnsi="Times New Roman" w:eastAsia="宋体" w:cs="Times New Roman"/>
      <w:b/>
      <w:bCs/>
      <w:sz w:val="32"/>
      <w:szCs w:val="24"/>
    </w:rPr>
  </w:style>
  <w:style w:type="paragraph" w:customStyle="1" w:styleId="150">
    <w:name w:val="xl60"/>
    <w:basedOn w:val="1"/>
    <w:qFormat/>
    <w:uiPriority w:val="0"/>
    <w:pPr>
      <w:widowControl/>
      <w:pBdr>
        <w:top w:val="single" w:color="auto" w:sz="4" w:space="0"/>
        <w:left w:val="single" w:color="auto" w:sz="4" w:space="0"/>
      </w:pBdr>
      <w:spacing w:before="100" w:beforeAutospacing="1" w:after="100" w:afterAutospacing="1"/>
      <w:jc w:val="center"/>
    </w:pPr>
    <w:rPr>
      <w:rFonts w:ascii="Arial Unicode MS" w:hAnsi="Arial Unicode MS" w:eastAsia="宋体" w:cs="Times New Roman"/>
      <w:color w:val="000000"/>
      <w:kern w:val="0"/>
      <w:sz w:val="24"/>
      <w:szCs w:val="24"/>
    </w:rPr>
  </w:style>
  <w:style w:type="paragraph" w:customStyle="1" w:styleId="151">
    <w:name w:val="xl62"/>
    <w:basedOn w:val="1"/>
    <w:qFormat/>
    <w:uiPriority w:val="0"/>
    <w:pPr>
      <w:widowControl/>
      <w:pBdr>
        <w:top w:val="single" w:color="auto" w:sz="4" w:space="0"/>
        <w:right w:val="single" w:color="auto" w:sz="4" w:space="0"/>
      </w:pBdr>
      <w:spacing w:before="100" w:beforeAutospacing="1" w:after="100" w:afterAutospacing="1"/>
      <w:jc w:val="center"/>
    </w:pPr>
    <w:rPr>
      <w:rFonts w:ascii="Arial Unicode MS" w:hAnsi="Arial Unicode MS" w:eastAsia="宋体" w:cs="Times New Roman"/>
      <w:color w:val="000000"/>
      <w:kern w:val="0"/>
      <w:sz w:val="24"/>
      <w:szCs w:val="24"/>
    </w:rPr>
  </w:style>
  <w:style w:type="paragraph" w:customStyle="1" w:styleId="152">
    <w:name w:val="hao01-Title"/>
    <w:next w:val="125"/>
    <w:qFormat/>
    <w:uiPriority w:val="0"/>
    <w:pPr>
      <w:jc w:val="center"/>
    </w:pPr>
    <w:rPr>
      <w:rFonts w:ascii="Times New Roman" w:hAnsi="Times New Roman" w:eastAsia="黑体" w:cs="Times New Roman"/>
      <w:kern w:val="2"/>
      <w:sz w:val="44"/>
      <w:lang w:val="en-US" w:eastAsia="zh-CN" w:bidi="ar-SA"/>
    </w:rPr>
  </w:style>
  <w:style w:type="paragraph" w:customStyle="1" w:styleId="153">
    <w:name w:val="xl42"/>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54">
    <w:name w:val="xl99"/>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155">
    <w:name w:val="样式 样式 样式 样式 标题 3 + 左侧:  1.5 厘米 首行缩进:  0 厘米 + 行距: 单倍行距 + 段后: 1 行 ..."/>
    <w:basedOn w:val="156"/>
    <w:qFormat/>
    <w:uiPriority w:val="0"/>
    <w:pPr>
      <w:ind w:left="709" w:hanging="709"/>
    </w:pPr>
    <w:rPr>
      <w:rFonts w:ascii="仿宋_GB2312"/>
    </w:rPr>
  </w:style>
  <w:style w:type="paragraph" w:customStyle="1" w:styleId="156">
    <w:name w:val="样式 样式 样式 标题 3 + 左侧:  1.5 厘米 首行缩进:  0 厘米 + 行距: 单倍行距 + 段后: 1 行"/>
    <w:basedOn w:val="157"/>
    <w:qFormat/>
    <w:uiPriority w:val="0"/>
    <w:pPr>
      <w:numPr>
        <w:ilvl w:val="3"/>
        <w:numId w:val="1"/>
      </w:numPr>
    </w:pPr>
  </w:style>
  <w:style w:type="paragraph" w:customStyle="1" w:styleId="157">
    <w:name w:val="样式 样式 标题 3 + 左侧:  1.5 厘米 首行缩进:  0 厘米 + 行距: 单倍行距"/>
    <w:basedOn w:val="158"/>
    <w:qFormat/>
    <w:uiPriority w:val="0"/>
    <w:pPr>
      <w:spacing w:afterLines="100" w:line="240" w:lineRule="auto"/>
      <w:ind w:left="1134" w:hanging="709"/>
    </w:pPr>
    <w:rPr>
      <w:szCs w:val="20"/>
    </w:rPr>
  </w:style>
  <w:style w:type="paragraph" w:customStyle="1" w:styleId="158">
    <w:name w:val="样式 标题 3 + 左侧:  1.5 厘米 首行缩进:  0 厘米"/>
    <w:basedOn w:val="5"/>
    <w:qFormat/>
    <w:uiPriority w:val="0"/>
    <w:pPr>
      <w:numPr>
        <w:ilvl w:val="0"/>
        <w:numId w:val="0"/>
      </w:numPr>
      <w:adjustRightInd/>
      <w:spacing w:line="12" w:lineRule="auto"/>
      <w:jc w:val="both"/>
      <w:textAlignment w:val="auto"/>
    </w:pPr>
    <w:rPr>
      <w:rFonts w:ascii="Arial" w:hAnsi="Arial" w:eastAsia="仿宋_GB2312"/>
      <w:kern w:val="2"/>
      <w:szCs w:val="28"/>
    </w:rPr>
  </w:style>
  <w:style w:type="paragraph" w:customStyle="1" w:styleId="159">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160">
    <w:name w:val="xl4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161">
    <w:name w:val="标题3＋"/>
    <w:basedOn w:val="3"/>
    <w:qFormat/>
    <w:uiPriority w:val="0"/>
    <w:pPr>
      <w:tabs>
        <w:tab w:val="left" w:pos="720"/>
      </w:tabs>
      <w:spacing w:before="0" w:after="0" w:line="420" w:lineRule="auto"/>
      <w:outlineLvl w:val="2"/>
    </w:pPr>
    <w:rPr>
      <w:rFonts w:ascii="宋体" w:hAnsi="宋体"/>
      <w:sz w:val="28"/>
      <w:szCs w:val="32"/>
    </w:rPr>
  </w:style>
  <w:style w:type="paragraph" w:customStyle="1" w:styleId="162">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24"/>
      <w:szCs w:val="24"/>
    </w:rPr>
  </w:style>
  <w:style w:type="paragraph" w:customStyle="1" w:styleId="163">
    <w:name w:val="标题4"/>
    <w:basedOn w:val="4"/>
    <w:qFormat/>
    <w:uiPriority w:val="0"/>
    <w:pPr>
      <w:adjustRightInd/>
      <w:jc w:val="both"/>
      <w:textAlignment w:val="auto"/>
    </w:pPr>
    <w:rPr>
      <w:rFonts w:eastAsia="仿宋_GB2312"/>
      <w:kern w:val="2"/>
      <w:sz w:val="24"/>
    </w:rPr>
  </w:style>
  <w:style w:type="paragraph" w:customStyle="1" w:styleId="164">
    <w:name w:val="xl7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165">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4"/>
      <w:szCs w:val="24"/>
    </w:rPr>
  </w:style>
  <w:style w:type="paragraph" w:customStyle="1" w:styleId="16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167">
    <w:name w:val="样式 四号 加粗 右侧:  -0.14 厘米"/>
    <w:basedOn w:val="4"/>
    <w:qFormat/>
    <w:uiPriority w:val="0"/>
    <w:pPr>
      <w:adjustRightInd/>
      <w:ind w:right="-78" w:firstLine="562" w:firstLineChars="200"/>
      <w:jc w:val="both"/>
      <w:textAlignment w:val="auto"/>
    </w:pPr>
    <w:rPr>
      <w:rFonts w:eastAsia="仿宋_GB2312"/>
      <w:b w:val="0"/>
      <w:kern w:val="2"/>
    </w:rPr>
  </w:style>
  <w:style w:type="paragraph" w:customStyle="1" w:styleId="168">
    <w:name w:val="xl24"/>
    <w:basedOn w:val="1"/>
    <w:qFormat/>
    <w:uiPriority w:val="0"/>
    <w:pPr>
      <w:widowControl/>
      <w:spacing w:before="100" w:after="100"/>
      <w:jc w:val="center"/>
      <w:textAlignment w:val="center"/>
    </w:pPr>
    <w:rPr>
      <w:rFonts w:ascii="宋体" w:hAnsi="宋体" w:eastAsia="宋体" w:cs="Times New Roman"/>
      <w:kern w:val="0"/>
      <w:sz w:val="24"/>
      <w:szCs w:val="24"/>
    </w:rPr>
  </w:style>
  <w:style w:type="paragraph" w:customStyle="1" w:styleId="169">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17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color w:val="000000"/>
      <w:kern w:val="0"/>
      <w:sz w:val="24"/>
      <w:szCs w:val="24"/>
    </w:rPr>
  </w:style>
  <w:style w:type="paragraph" w:customStyle="1" w:styleId="17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172">
    <w:name w:val="标题 2 lzhw"/>
    <w:basedOn w:val="3"/>
    <w:qFormat/>
    <w:uiPriority w:val="0"/>
    <w:pPr>
      <w:tabs>
        <w:tab w:val="left" w:pos="1168"/>
      </w:tabs>
      <w:spacing w:before="0" w:after="0"/>
      <w:ind w:left="1168" w:hanging="420"/>
    </w:pPr>
    <w:rPr>
      <w:rFonts w:eastAsia="仿宋_GB2312"/>
      <w:bCs/>
      <w:sz w:val="28"/>
      <w:szCs w:val="20"/>
    </w:rPr>
  </w:style>
  <w:style w:type="paragraph" w:customStyle="1" w:styleId="173">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0000"/>
      <w:kern w:val="0"/>
      <w:sz w:val="24"/>
      <w:szCs w:val="24"/>
    </w:rPr>
  </w:style>
  <w:style w:type="paragraph" w:customStyle="1" w:styleId="174">
    <w:name w:val="样式 仿宋_GB2312 四号 行距: 1.5 倍行距 首行缩进:  2 字符"/>
    <w:basedOn w:val="1"/>
    <w:qFormat/>
    <w:uiPriority w:val="0"/>
    <w:pPr>
      <w:spacing w:line="360" w:lineRule="auto"/>
      <w:ind w:firstLine="560" w:firstLineChars="200"/>
    </w:pPr>
    <w:rPr>
      <w:rFonts w:ascii="仿宋_GB2312" w:hAnsi="Times New Roman" w:eastAsia="仿宋_GB2312" w:cs="宋体"/>
      <w:sz w:val="32"/>
      <w:szCs w:val="20"/>
    </w:rPr>
  </w:style>
  <w:style w:type="paragraph" w:customStyle="1" w:styleId="175">
    <w:name w:val="样式 样式 样式 样式 标题 3 + 左侧:  1.5 厘米 首行缩进:  0 厘米 + 行距: 单倍行距 + 段后: 1 行 ...2"/>
    <w:basedOn w:val="156"/>
    <w:qFormat/>
    <w:uiPriority w:val="0"/>
    <w:pPr>
      <w:numPr>
        <w:ilvl w:val="0"/>
        <w:numId w:val="0"/>
      </w:numPr>
    </w:pPr>
  </w:style>
  <w:style w:type="paragraph" w:customStyle="1" w:styleId="176">
    <w:name w:val="hao02－2"/>
    <w:basedOn w:val="177"/>
    <w:qFormat/>
    <w:uiPriority w:val="0"/>
    <w:pPr>
      <w:tabs>
        <w:tab w:val="left" w:pos="567"/>
      </w:tabs>
      <w:autoSpaceDE w:val="0"/>
      <w:autoSpaceDN w:val="0"/>
      <w:adjustRightInd w:val="0"/>
      <w:ind w:left="0" w:firstLine="0"/>
    </w:pPr>
    <w:rPr>
      <w:rFonts w:ascii="TimesNewRomanPS-BoldMT" w:hAnsi="TimesNewRomanPS-BoldMT"/>
      <w:bCs/>
      <w:kern w:val="0"/>
    </w:rPr>
  </w:style>
  <w:style w:type="paragraph" w:customStyle="1" w:styleId="177">
    <w:name w:val="hao01-2"/>
    <w:next w:val="125"/>
    <w:qFormat/>
    <w:uiPriority w:val="0"/>
    <w:pPr>
      <w:tabs>
        <w:tab w:val="left" w:pos="567"/>
      </w:tabs>
      <w:ind w:left="567" w:hanging="567"/>
      <w:outlineLvl w:val="1"/>
    </w:pPr>
    <w:rPr>
      <w:rFonts w:ascii="Times New Roman" w:hAnsi="Times New Roman" w:eastAsia="黑体" w:cs="Times New Roman"/>
      <w:b/>
      <w:kern w:val="2"/>
      <w:sz w:val="28"/>
      <w:szCs w:val="28"/>
      <w:lang w:val="en-US" w:eastAsia="zh-CN" w:bidi="ar-SA"/>
    </w:rPr>
  </w:style>
  <w:style w:type="paragraph" w:customStyle="1" w:styleId="17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4"/>
      <w:szCs w:val="24"/>
    </w:rPr>
  </w:style>
  <w:style w:type="paragraph" w:customStyle="1" w:styleId="179">
    <w:name w:val="样式3"/>
    <w:basedOn w:val="1"/>
    <w:qFormat/>
    <w:uiPriority w:val="0"/>
    <w:rPr>
      <w:rFonts w:ascii="Times New Roman" w:hAnsi="Times New Roman" w:eastAsia="Times New Roman" w:cs="Times New Roman"/>
      <w:szCs w:val="24"/>
    </w:rPr>
  </w:style>
  <w:style w:type="paragraph" w:customStyle="1" w:styleId="180">
    <w:name w:val="xl106"/>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181">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kern w:val="0"/>
      <w:sz w:val="24"/>
      <w:szCs w:val="24"/>
    </w:rPr>
  </w:style>
  <w:style w:type="paragraph" w:customStyle="1" w:styleId="182">
    <w:name w:val="表——索引"/>
    <w:basedOn w:val="1"/>
    <w:qFormat/>
    <w:uiPriority w:val="0"/>
    <w:pPr>
      <w:widowControl/>
      <w:spacing w:line="360" w:lineRule="auto"/>
      <w:jc w:val="center"/>
    </w:pPr>
    <w:rPr>
      <w:rFonts w:ascii="宋体" w:hAnsi="宋体" w:eastAsia="宋体" w:cs="Times New Roman"/>
      <w:color w:val="000000"/>
      <w:sz w:val="24"/>
      <w:szCs w:val="24"/>
    </w:rPr>
  </w:style>
  <w:style w:type="paragraph" w:customStyle="1" w:styleId="183">
    <w:name w:val="xl10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184">
    <w:name w:val="hao01-TH"/>
    <w:next w:val="125"/>
    <w:qFormat/>
    <w:uiPriority w:val="0"/>
    <w:pPr>
      <w:widowControl w:val="0"/>
      <w:ind w:firstLine="840" w:firstLineChars="300"/>
      <w:jc w:val="both"/>
    </w:pPr>
    <w:rPr>
      <w:rFonts w:ascii="宋体" w:hAnsi="宋体" w:eastAsia="黑体" w:cs="Times New Roman"/>
      <w:bCs/>
      <w:kern w:val="2"/>
      <w:sz w:val="28"/>
      <w:szCs w:val="24"/>
      <w:lang w:val="en-US" w:eastAsia="zh-CN" w:bidi="ar-SA"/>
    </w:rPr>
  </w:style>
  <w:style w:type="paragraph" w:customStyle="1" w:styleId="185">
    <w:name w:val="标题字，首行缩进:  2 字符 + 首行缩进:  2 字符"/>
    <w:basedOn w:val="4"/>
    <w:qFormat/>
    <w:uiPriority w:val="0"/>
    <w:pPr>
      <w:adjustRightInd/>
      <w:ind w:firstLine="200" w:firstLineChars="200"/>
      <w:jc w:val="both"/>
      <w:textAlignment w:val="auto"/>
    </w:pPr>
    <w:rPr>
      <w:rFonts w:eastAsia="仿宋_GB2312"/>
      <w:bCs/>
      <w:kern w:val="2"/>
    </w:rPr>
  </w:style>
  <w:style w:type="paragraph" w:customStyle="1" w:styleId="186">
    <w:name w:val="xl38"/>
    <w:basedOn w:val="1"/>
    <w:qFormat/>
    <w:uiPriority w:val="0"/>
    <w:pPr>
      <w:widowControl/>
      <w:pBdr>
        <w:left w:val="single" w:color="auto" w:sz="4" w:space="0"/>
        <w:right w:val="single" w:color="auto" w:sz="4" w:space="0"/>
      </w:pBdr>
      <w:spacing w:before="100" w:beforeAutospacing="1" w:after="100" w:afterAutospacing="1"/>
      <w:jc w:val="center"/>
    </w:pPr>
    <w:rPr>
      <w:rFonts w:hint="eastAsia" w:ascii="宋体" w:hAnsi="宋体" w:eastAsia="宋体" w:cs="Times New Roman"/>
      <w:kern w:val="0"/>
      <w:sz w:val="28"/>
      <w:szCs w:val="24"/>
    </w:rPr>
  </w:style>
  <w:style w:type="paragraph" w:customStyle="1" w:styleId="187">
    <w:name w:val="font0"/>
    <w:basedOn w:val="1"/>
    <w:qFormat/>
    <w:uiPriority w:val="0"/>
    <w:pPr>
      <w:widowControl/>
      <w:spacing w:before="100" w:beforeAutospacing="1" w:after="100" w:afterAutospacing="1"/>
      <w:jc w:val="left"/>
    </w:pPr>
    <w:rPr>
      <w:rFonts w:hint="eastAsia" w:ascii="宋体" w:hAnsi="宋体" w:eastAsia="宋体" w:cs="Arial Unicode MS"/>
      <w:kern w:val="0"/>
      <w:sz w:val="24"/>
      <w:szCs w:val="24"/>
    </w:rPr>
  </w:style>
  <w:style w:type="paragraph" w:customStyle="1" w:styleId="188">
    <w:name w:val="表格名称 Char"/>
    <w:basedOn w:val="1"/>
    <w:qFormat/>
    <w:uiPriority w:val="0"/>
    <w:pPr>
      <w:widowControl/>
      <w:spacing w:line="360" w:lineRule="auto"/>
      <w:jc w:val="center"/>
    </w:pPr>
    <w:rPr>
      <w:rFonts w:ascii="黑体" w:hAnsi="Times New Roman" w:eastAsia="黑体" w:cs="Times New Roman"/>
      <w:sz w:val="24"/>
      <w:szCs w:val="24"/>
    </w:rPr>
  </w:style>
  <w:style w:type="paragraph" w:customStyle="1" w:styleId="189">
    <w:name w:val="xl36"/>
    <w:basedOn w:val="1"/>
    <w:qFormat/>
    <w:uiPriority w:val="0"/>
    <w:pPr>
      <w:widowControl/>
      <w:pBdr>
        <w:left w:val="single" w:color="auto" w:sz="4" w:space="0"/>
        <w:right w:val="single" w:color="auto" w:sz="4" w:space="0"/>
      </w:pBdr>
      <w:spacing w:before="100" w:beforeAutospacing="1" w:after="100" w:afterAutospacing="1"/>
      <w:jc w:val="right"/>
      <w:textAlignment w:val="center"/>
    </w:pPr>
    <w:rPr>
      <w:rFonts w:ascii="Times New Roman" w:hAnsi="Times New Roman" w:eastAsia="宋体" w:cs="Times New Roman"/>
      <w:kern w:val="0"/>
      <w:sz w:val="22"/>
    </w:rPr>
  </w:style>
  <w:style w:type="paragraph" w:customStyle="1" w:styleId="190">
    <w:name w:val="文章正文"/>
    <w:basedOn w:val="1"/>
    <w:next w:val="1"/>
    <w:qFormat/>
    <w:uiPriority w:val="0"/>
    <w:pPr>
      <w:widowControl/>
      <w:tabs>
        <w:tab w:val="center" w:pos="4153"/>
        <w:tab w:val="right" w:pos="8306"/>
      </w:tabs>
      <w:snapToGrid w:val="0"/>
      <w:spacing w:line="360" w:lineRule="auto"/>
      <w:ind w:firstLine="480" w:firstLineChars="200"/>
      <w:jc w:val="left"/>
    </w:pPr>
    <w:rPr>
      <w:rFonts w:ascii="Times New Roman" w:hAnsi="Times New Roman" w:eastAsia="宋体" w:cs="Times New Roman"/>
      <w:kern w:val="0"/>
      <w:sz w:val="24"/>
      <w:szCs w:val="20"/>
    </w:rPr>
  </w:style>
  <w:style w:type="paragraph" w:customStyle="1" w:styleId="191">
    <w:name w:val="font11"/>
    <w:basedOn w:val="1"/>
    <w:qFormat/>
    <w:uiPriority w:val="0"/>
    <w:pPr>
      <w:widowControl/>
      <w:spacing w:before="100" w:beforeAutospacing="1" w:after="100" w:afterAutospacing="1"/>
      <w:jc w:val="left"/>
    </w:pPr>
    <w:rPr>
      <w:rFonts w:ascii="Times New Roman" w:hAnsi="Times New Roman" w:eastAsia="宋体" w:cs="Times New Roman"/>
      <w:b/>
      <w:bCs/>
      <w:kern w:val="0"/>
      <w:sz w:val="28"/>
      <w:szCs w:val="28"/>
    </w:rPr>
  </w:style>
  <w:style w:type="paragraph" w:customStyle="1" w:styleId="192">
    <w:name w:val="table"/>
    <w:basedOn w:val="1"/>
    <w:qFormat/>
    <w:uiPriority w:val="0"/>
    <w:pPr>
      <w:widowControl/>
      <w:spacing w:before="100" w:beforeAutospacing="1" w:after="100" w:afterAutospacing="1" w:line="288" w:lineRule="atLeast"/>
      <w:jc w:val="left"/>
    </w:pPr>
    <w:rPr>
      <w:rFonts w:ascii="宋体" w:hAnsi="宋体" w:eastAsia="宋体" w:cs="Times New Roman"/>
      <w:kern w:val="0"/>
      <w:sz w:val="24"/>
      <w:szCs w:val="24"/>
    </w:rPr>
  </w:style>
  <w:style w:type="paragraph" w:customStyle="1" w:styleId="193">
    <w:name w:val="xl108"/>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194">
    <w:name w:val="hao02-3"/>
    <w:basedOn w:val="195"/>
    <w:next w:val="125"/>
    <w:qFormat/>
    <w:uiPriority w:val="0"/>
    <w:pPr>
      <w:tabs>
        <w:tab w:val="left" w:pos="450"/>
      </w:tabs>
      <w:autoSpaceDE w:val="0"/>
      <w:autoSpaceDN w:val="0"/>
      <w:adjustRightInd w:val="0"/>
      <w:ind w:left="0" w:firstLine="0"/>
    </w:pPr>
    <w:rPr>
      <w:rFonts w:ascii="TimesNewRomanPS-BoldMT" w:hAnsi="TimesNewRomanPS-BoldMT"/>
      <w:bCs/>
      <w:kern w:val="0"/>
      <w:sz w:val="28"/>
      <w:szCs w:val="28"/>
    </w:rPr>
  </w:style>
  <w:style w:type="paragraph" w:customStyle="1" w:styleId="195">
    <w:name w:val="hao01-3"/>
    <w:next w:val="125"/>
    <w:qFormat/>
    <w:uiPriority w:val="0"/>
    <w:pPr>
      <w:tabs>
        <w:tab w:val="left" w:pos="450"/>
      </w:tabs>
      <w:spacing w:line="360" w:lineRule="auto"/>
      <w:ind w:left="450" w:hanging="450"/>
      <w:outlineLvl w:val="2"/>
    </w:pPr>
    <w:rPr>
      <w:rFonts w:ascii="Times New Roman" w:hAnsi="Times New Roman" w:eastAsia="宋体" w:cs="Times New Roman"/>
      <w:b/>
      <w:kern w:val="2"/>
      <w:sz w:val="24"/>
      <w:lang w:val="en-US" w:eastAsia="zh-CN" w:bidi="ar-SA"/>
    </w:rPr>
  </w:style>
  <w:style w:type="paragraph" w:customStyle="1" w:styleId="196">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2"/>
    </w:rPr>
  </w:style>
  <w:style w:type="paragraph" w:customStyle="1" w:styleId="197">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宋体" w:cs="Arial"/>
      <w:b/>
      <w:bCs/>
      <w:kern w:val="0"/>
      <w:sz w:val="24"/>
      <w:szCs w:val="24"/>
    </w:rPr>
  </w:style>
  <w:style w:type="paragraph" w:customStyle="1" w:styleId="198">
    <w:name w:val="xl10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19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20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24"/>
      <w:szCs w:val="24"/>
    </w:rPr>
  </w:style>
  <w:style w:type="paragraph" w:customStyle="1" w:styleId="201">
    <w:name w:val="样式  + 仿宋_GB2312 四号 Char"/>
    <w:basedOn w:val="1"/>
    <w:qFormat/>
    <w:uiPriority w:val="0"/>
    <w:pPr>
      <w:ind w:left="200" w:leftChars="200"/>
    </w:pPr>
    <w:rPr>
      <w:rFonts w:ascii="仿宋_GB2312" w:hAnsi="仿宋_GB2312" w:eastAsia="仿宋_GB2312" w:cs="Times New Roman"/>
      <w:spacing w:val="-2"/>
      <w:sz w:val="28"/>
      <w:szCs w:val="24"/>
    </w:rPr>
  </w:style>
  <w:style w:type="paragraph" w:customStyle="1" w:styleId="202">
    <w:name w:val="xl53"/>
    <w:basedOn w:val="1"/>
    <w:qFormat/>
    <w:uiPriority w:val="0"/>
    <w:pPr>
      <w:widowControl/>
      <w:spacing w:before="100" w:beforeAutospacing="1" w:after="100" w:afterAutospacing="1"/>
      <w:jc w:val="center"/>
    </w:pPr>
    <w:rPr>
      <w:rFonts w:ascii="Arial Unicode MS" w:hAnsi="Arial Unicode MS" w:eastAsia="宋体" w:cs="Times New Roman"/>
      <w:b/>
      <w:bCs/>
      <w:kern w:val="0"/>
      <w:sz w:val="32"/>
      <w:szCs w:val="32"/>
    </w:rPr>
  </w:style>
  <w:style w:type="paragraph" w:customStyle="1" w:styleId="203">
    <w:name w:val="font13"/>
    <w:basedOn w:val="1"/>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204">
    <w:name w:val="xl55"/>
    <w:basedOn w:val="1"/>
    <w:qFormat/>
    <w:uiPriority w:val="0"/>
    <w:pPr>
      <w:widowControl/>
      <w:pBdr>
        <w:bottom w:val="single" w:color="auto" w:sz="4" w:space="0"/>
      </w:pBdr>
      <w:spacing w:before="100" w:beforeAutospacing="1" w:after="100" w:afterAutospacing="1"/>
      <w:jc w:val="left"/>
    </w:pPr>
    <w:rPr>
      <w:rFonts w:ascii="Arial Unicode MS" w:hAnsi="Arial Unicode MS" w:eastAsia="Arial Unicode MS" w:cs="Arial Unicode MS"/>
      <w:b/>
      <w:bCs/>
      <w:kern w:val="0"/>
      <w:sz w:val="20"/>
      <w:szCs w:val="20"/>
    </w:rPr>
  </w:style>
  <w:style w:type="paragraph" w:customStyle="1" w:styleId="20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b/>
      <w:bCs/>
      <w:color w:val="000000"/>
      <w:kern w:val="0"/>
      <w:sz w:val="24"/>
      <w:szCs w:val="24"/>
    </w:rPr>
  </w:style>
  <w:style w:type="paragraph" w:customStyle="1" w:styleId="206">
    <w:name w:val="标题1"/>
    <w:basedOn w:val="1"/>
    <w:qFormat/>
    <w:uiPriority w:val="0"/>
    <w:pPr>
      <w:keepNext/>
      <w:keepLines/>
      <w:spacing w:before="340" w:after="330" w:line="576" w:lineRule="auto"/>
      <w:jc w:val="center"/>
      <w:outlineLvl w:val="0"/>
    </w:pPr>
    <w:rPr>
      <w:rFonts w:ascii="Times New Roman" w:hAnsi="Times New Roman" w:eastAsia="宋体" w:cs="Times New Roman"/>
      <w:b/>
      <w:bCs/>
      <w:kern w:val="44"/>
      <w:sz w:val="44"/>
      <w:szCs w:val="20"/>
    </w:rPr>
  </w:style>
  <w:style w:type="paragraph" w:customStyle="1" w:styleId="207">
    <w:name w:val="font10"/>
    <w:basedOn w:val="1"/>
    <w:qFormat/>
    <w:uiPriority w:val="0"/>
    <w:pPr>
      <w:widowControl/>
      <w:spacing w:before="100" w:beforeAutospacing="1" w:after="100" w:afterAutospacing="1"/>
      <w:jc w:val="left"/>
    </w:pPr>
    <w:rPr>
      <w:rFonts w:hint="eastAsia" w:ascii="宋体" w:hAnsi="宋体" w:eastAsia="宋体" w:cs="Times New Roman"/>
      <w:b/>
      <w:bCs/>
      <w:kern w:val="0"/>
      <w:sz w:val="28"/>
      <w:szCs w:val="28"/>
    </w:rPr>
  </w:style>
  <w:style w:type="paragraph" w:customStyle="1" w:styleId="20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209">
    <w:name w:val="xl58"/>
    <w:basedOn w:val="1"/>
    <w:qFormat/>
    <w:uiPriority w:val="0"/>
    <w:pPr>
      <w:widowControl/>
      <w:spacing w:before="100" w:beforeAutospacing="1" w:after="100" w:afterAutospacing="1"/>
      <w:jc w:val="right"/>
    </w:pPr>
    <w:rPr>
      <w:rFonts w:ascii="Arial Unicode MS" w:hAnsi="Arial Unicode MS" w:eastAsia="宋体" w:cs="Times New Roman"/>
      <w:color w:val="000000"/>
      <w:kern w:val="0"/>
      <w:sz w:val="24"/>
      <w:szCs w:val="24"/>
    </w:rPr>
  </w:style>
  <w:style w:type="paragraph" w:customStyle="1" w:styleId="210">
    <w:name w:val="zhengwen"/>
    <w:basedOn w:val="1"/>
    <w:qFormat/>
    <w:uiPriority w:val="0"/>
    <w:pPr>
      <w:ind w:firstLine="200" w:firstLineChars="200"/>
    </w:pPr>
    <w:rPr>
      <w:rFonts w:ascii="Times New Roman" w:hAnsi="Times New Roman" w:eastAsia="宋体" w:cs="Times New Roman"/>
      <w:color w:val="000000"/>
      <w:kern w:val="0"/>
      <w:sz w:val="28"/>
      <w:szCs w:val="20"/>
    </w:rPr>
  </w:style>
  <w:style w:type="paragraph" w:customStyle="1" w:styleId="211">
    <w:name w:val="hao01-图"/>
    <w:qFormat/>
    <w:uiPriority w:val="0"/>
    <w:pPr>
      <w:jc w:val="both"/>
    </w:pPr>
    <w:rPr>
      <w:rFonts w:ascii="宋体" w:hAnsi="Times New Roman" w:eastAsia="宋体" w:cs="Times New Roman"/>
      <w:kern w:val="2"/>
      <w:sz w:val="21"/>
      <w:szCs w:val="21"/>
      <w:lang w:val="en-US" w:eastAsia="zh-CN" w:bidi="ar-SA"/>
    </w:rPr>
  </w:style>
  <w:style w:type="paragraph" w:customStyle="1" w:styleId="212">
    <w:name w:val="font8"/>
    <w:basedOn w:val="1"/>
    <w:qFormat/>
    <w:uiPriority w:val="0"/>
    <w:pPr>
      <w:widowControl/>
      <w:spacing w:before="100" w:beforeAutospacing="1" w:after="100" w:afterAutospacing="1"/>
      <w:jc w:val="left"/>
    </w:pPr>
    <w:rPr>
      <w:rFonts w:hint="eastAsia" w:ascii="宋体" w:hAnsi="宋体" w:eastAsia="宋体" w:cs="Times New Roman"/>
      <w:b/>
      <w:bCs/>
      <w:color w:val="000000"/>
      <w:kern w:val="0"/>
      <w:sz w:val="16"/>
      <w:szCs w:val="16"/>
    </w:rPr>
  </w:style>
  <w:style w:type="paragraph" w:customStyle="1" w:styleId="213">
    <w:name w:val="xl10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21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Times New Roman"/>
      <w:kern w:val="0"/>
      <w:sz w:val="22"/>
    </w:rPr>
  </w:style>
  <w:style w:type="paragraph" w:customStyle="1" w:styleId="215">
    <w:name w:val="样式1"/>
    <w:basedOn w:val="1"/>
    <w:qFormat/>
    <w:uiPriority w:val="0"/>
    <w:rPr>
      <w:rFonts w:ascii="Times New Roman" w:hAnsi="Times New Roman" w:eastAsia="宋体" w:cs="Times New Roman"/>
      <w:szCs w:val="24"/>
    </w:rPr>
  </w:style>
  <w:style w:type="paragraph" w:customStyle="1" w:styleId="216">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24"/>
      <w:szCs w:val="24"/>
    </w:rPr>
  </w:style>
  <w:style w:type="paragraph" w:customStyle="1" w:styleId="217">
    <w:name w:val="报告正文"/>
    <w:basedOn w:val="1"/>
    <w:qFormat/>
    <w:uiPriority w:val="0"/>
    <w:pPr>
      <w:tabs>
        <w:tab w:val="left" w:pos="0"/>
      </w:tabs>
      <w:spacing w:line="360" w:lineRule="auto"/>
      <w:ind w:firstLine="200" w:firstLineChars="200"/>
    </w:pPr>
    <w:rPr>
      <w:rFonts w:ascii="Times New Roman" w:hAnsi="Times New Roman" w:eastAsia="宋体" w:cs="Times New Roman"/>
      <w:color w:val="000000"/>
      <w:sz w:val="24"/>
      <w:szCs w:val="24"/>
    </w:rPr>
  </w:style>
  <w:style w:type="paragraph" w:customStyle="1" w:styleId="218">
    <w:name w:val="报告标题3"/>
    <w:basedOn w:val="4"/>
    <w:qFormat/>
    <w:uiPriority w:val="0"/>
    <w:pPr>
      <w:tabs>
        <w:tab w:val="left" w:pos="0"/>
      </w:tabs>
      <w:adjustRightInd/>
      <w:spacing w:line="360" w:lineRule="auto"/>
      <w:textAlignment w:val="auto"/>
    </w:pPr>
    <w:rPr>
      <w:rFonts w:ascii="Arial" w:hAnsi="Arial"/>
      <w:b w:val="0"/>
      <w:color w:val="000000"/>
      <w:kern w:val="2"/>
      <w:sz w:val="24"/>
      <w:szCs w:val="32"/>
    </w:rPr>
  </w:style>
  <w:style w:type="paragraph" w:customStyle="1" w:styleId="219">
    <w:name w:val="xl59"/>
    <w:basedOn w:val="1"/>
    <w:qFormat/>
    <w:uiPriority w:val="0"/>
    <w:pPr>
      <w:widowControl/>
      <w:pBdr>
        <w:left w:val="single" w:color="auto" w:sz="4" w:space="0"/>
        <w:bottom w:val="single" w:color="auto" w:sz="4" w:space="0"/>
      </w:pBdr>
      <w:spacing w:before="100" w:beforeAutospacing="1" w:after="100" w:afterAutospacing="1"/>
      <w:jc w:val="right"/>
    </w:pPr>
    <w:rPr>
      <w:rFonts w:ascii="Arial Unicode MS" w:hAnsi="Arial Unicode MS" w:eastAsia="宋体" w:cs="Times New Roman"/>
      <w:color w:val="000000"/>
      <w:kern w:val="0"/>
      <w:sz w:val="24"/>
      <w:szCs w:val="24"/>
    </w:rPr>
  </w:style>
  <w:style w:type="paragraph" w:customStyle="1" w:styleId="220">
    <w:name w:val="xl90"/>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Arial" w:hAnsi="Arial" w:eastAsia="宋体" w:cs="Arial"/>
      <w:color w:val="000000"/>
      <w:kern w:val="0"/>
      <w:sz w:val="24"/>
      <w:szCs w:val="24"/>
    </w:rPr>
  </w:style>
  <w:style w:type="paragraph" w:customStyle="1" w:styleId="221">
    <w:name w:val="样式 样式 样式 样式 样式 标题 3 + 左侧:  1.5 厘米 首行缩进:  0 厘米 + 行距: 单倍行距 + 段后: 1..."/>
    <w:basedOn w:val="155"/>
    <w:qFormat/>
    <w:uiPriority w:val="0"/>
    <w:pPr>
      <w:tabs>
        <w:tab w:val="left" w:pos="420"/>
      </w:tabs>
      <w:spacing w:afterLines="0"/>
    </w:pPr>
  </w:style>
  <w:style w:type="character" w:customStyle="1" w:styleId="222">
    <w:name w:val="正文文本 字符1"/>
    <w:semiHidden/>
    <w:qFormat/>
    <w:uiPriority w:val="99"/>
    <w:rPr>
      <w:rFonts w:ascii="Calibri" w:hAnsi="Calibri" w:eastAsia="宋体" w:cs="Times New Roman"/>
      <w:kern w:val="2"/>
      <w:sz w:val="21"/>
      <w:szCs w:val="24"/>
    </w:rPr>
  </w:style>
  <w:style w:type="character" w:customStyle="1" w:styleId="223">
    <w:name w:val="正文文本首行缩进 字符1"/>
    <w:semiHidden/>
    <w:qFormat/>
    <w:uiPriority w:val="99"/>
    <w:rPr>
      <w:rFonts w:ascii="Calibri" w:hAnsi="Calibri" w:eastAsia="宋体" w:cs="Times New Roman"/>
      <w:kern w:val="2"/>
      <w:sz w:val="21"/>
      <w:szCs w:val="24"/>
    </w:rPr>
  </w:style>
  <w:style w:type="paragraph" w:customStyle="1" w:styleId="224">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22"/>
    </w:rPr>
  </w:style>
  <w:style w:type="paragraph" w:customStyle="1" w:styleId="225">
    <w:name w:val="xl72"/>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226">
    <w:name w:val="CM20"/>
    <w:basedOn w:val="81"/>
    <w:next w:val="81"/>
    <w:qFormat/>
    <w:uiPriority w:val="0"/>
    <w:pPr>
      <w:spacing w:line="468" w:lineRule="atLeast"/>
    </w:pPr>
    <w:rPr>
      <w:rFonts w:ascii="黑体" w:eastAsia="黑体" w:cs="Times New Roman"/>
      <w:color w:val="auto"/>
    </w:rPr>
  </w:style>
  <w:style w:type="paragraph" w:customStyle="1" w:styleId="227">
    <w:name w:val="xl10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228">
    <w:name w:val="样式 样式 样式 样式 样式 标题 3 + 左侧:  1.5 厘米 首行缩进:  0 厘米 + 行距: 单倍行距 + 段后: 1...1"/>
    <w:basedOn w:val="229"/>
    <w:qFormat/>
    <w:uiPriority w:val="0"/>
    <w:pPr>
      <w:tabs>
        <w:tab w:val="left" w:pos="0"/>
        <w:tab w:val="left" w:pos="420"/>
      </w:tabs>
      <w:spacing w:afterLines="0"/>
    </w:pPr>
  </w:style>
  <w:style w:type="paragraph" w:customStyle="1" w:styleId="229">
    <w:name w:val="样式 样式 样式 样式 标题 3 + 左侧:  1.5 厘米 首行缩进:  0 厘米 + 行距: 单倍行距 + 段后: 1 行 ...1"/>
    <w:basedOn w:val="156"/>
    <w:qFormat/>
    <w:uiPriority w:val="0"/>
    <w:pPr>
      <w:tabs>
        <w:tab w:val="left" w:pos="420"/>
      </w:tabs>
      <w:ind w:left="709" w:hanging="709"/>
    </w:pPr>
    <w:rPr>
      <w:rFonts w:ascii="仿宋_GB2312"/>
    </w:rPr>
  </w:style>
  <w:style w:type="paragraph" w:customStyle="1" w:styleId="230">
    <w:name w:val="font14"/>
    <w:basedOn w:val="1"/>
    <w:qFormat/>
    <w:uiPriority w:val="0"/>
    <w:pPr>
      <w:widowControl/>
      <w:spacing w:before="100" w:beforeAutospacing="1" w:after="100" w:afterAutospacing="1"/>
      <w:jc w:val="left"/>
    </w:pPr>
    <w:rPr>
      <w:rFonts w:ascii="Times New Roman" w:hAnsi="Times New Roman" w:eastAsia="宋体" w:cs="Times New Roman"/>
      <w:kern w:val="0"/>
      <w:sz w:val="22"/>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b/>
      <w:bCs/>
      <w:kern w:val="0"/>
      <w:sz w:val="24"/>
      <w:szCs w:val="24"/>
    </w:rPr>
  </w:style>
  <w:style w:type="paragraph" w:customStyle="1" w:styleId="232">
    <w:name w:val="样式 标题 4 + 仿宋_GB2312 首行缩进:  0.99 厘米"/>
    <w:basedOn w:val="5"/>
    <w:qFormat/>
    <w:uiPriority w:val="0"/>
    <w:pPr>
      <w:numPr>
        <w:ilvl w:val="0"/>
        <w:numId w:val="0"/>
      </w:numPr>
      <w:adjustRightInd/>
      <w:jc w:val="both"/>
      <w:textAlignment w:val="auto"/>
    </w:pPr>
    <w:rPr>
      <w:rFonts w:ascii="仿宋_GB2312" w:hAnsi="Arial" w:eastAsia="仿宋_GB2312"/>
      <w:b/>
      <w:bCs/>
      <w:kern w:val="2"/>
      <w:szCs w:val="28"/>
    </w:rPr>
  </w:style>
  <w:style w:type="paragraph" w:customStyle="1" w:styleId="233">
    <w:name w:val="xl37"/>
    <w:basedOn w:val="1"/>
    <w:qFormat/>
    <w:uiPriority w:val="0"/>
    <w:pPr>
      <w:widowControl/>
      <w:pBdr>
        <w:left w:val="single" w:color="auto" w:sz="4" w:space="0"/>
        <w:right w:val="single" w:color="auto" w:sz="4" w:space="0"/>
      </w:pBdr>
      <w:spacing w:before="100" w:beforeAutospacing="1" w:after="100" w:afterAutospacing="1"/>
      <w:jc w:val="right"/>
      <w:textAlignment w:val="center"/>
    </w:pPr>
    <w:rPr>
      <w:rFonts w:ascii="Times New Roman" w:hAnsi="Times New Roman" w:eastAsia="宋体" w:cs="Times New Roman"/>
      <w:kern w:val="0"/>
      <w:sz w:val="22"/>
    </w:rPr>
  </w:style>
  <w:style w:type="paragraph" w:customStyle="1" w:styleId="234">
    <w:name w:val="xl2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235">
    <w:name w:val="标题1 + 小二 加粗 居中1"/>
    <w:basedOn w:val="2"/>
    <w:qFormat/>
    <w:uiPriority w:val="0"/>
    <w:pPr>
      <w:tabs>
        <w:tab w:val="left" w:pos="1080"/>
        <w:tab w:val="clear" w:pos="547"/>
      </w:tabs>
      <w:spacing w:before="0" w:after="0"/>
    </w:pPr>
    <w:rPr>
      <w:rFonts w:ascii="Times New Roman" w:hAnsi="Times New Roman"/>
      <w:b w:val="0"/>
      <w:kern w:val="2"/>
      <w:sz w:val="36"/>
      <w:szCs w:val="20"/>
    </w:rPr>
  </w:style>
  <w:style w:type="paragraph" w:customStyle="1" w:styleId="236">
    <w:name w:val="表格项目"/>
    <w:basedOn w:val="1"/>
    <w:qFormat/>
    <w:uiPriority w:val="0"/>
    <w:pPr>
      <w:widowControl/>
      <w:spacing w:line="360" w:lineRule="auto"/>
      <w:jc w:val="center"/>
    </w:pPr>
    <w:rPr>
      <w:rFonts w:ascii="Times New Roman" w:hAnsi="Times New Roman" w:eastAsia="宋体" w:cs="Times New Roman"/>
      <w:sz w:val="24"/>
      <w:szCs w:val="24"/>
    </w:rPr>
  </w:style>
  <w:style w:type="paragraph" w:customStyle="1" w:styleId="237">
    <w:name w:val="样式 样式 样式 样式 纯文本 + (西文) Times New Roman (中文) 黑体 四号 加粗2 + 段后: 1 行 ..."/>
    <w:basedOn w:val="238"/>
    <w:qFormat/>
    <w:uiPriority w:val="0"/>
    <w:pPr>
      <w:tabs>
        <w:tab w:val="left" w:pos="720"/>
      </w:tabs>
      <w:spacing w:beforeLines="0"/>
    </w:pPr>
  </w:style>
  <w:style w:type="paragraph" w:customStyle="1" w:styleId="238">
    <w:name w:val="样式 样式 样式 纯文本 + (西文) Times New Roman (中文) 黑体 四号 加粗2 + 段后: 1 行 + 段...1"/>
    <w:basedOn w:val="144"/>
    <w:qFormat/>
    <w:uiPriority w:val="0"/>
    <w:pPr>
      <w:spacing w:afterLines="0"/>
    </w:pPr>
  </w:style>
  <w:style w:type="paragraph" w:customStyle="1" w:styleId="239">
    <w:name w:val="font6"/>
    <w:basedOn w:val="1"/>
    <w:qFormat/>
    <w:uiPriority w:val="0"/>
    <w:pPr>
      <w:widowControl/>
      <w:spacing w:before="100" w:beforeAutospacing="1" w:after="100" w:afterAutospacing="1"/>
      <w:jc w:val="left"/>
    </w:pPr>
    <w:rPr>
      <w:rFonts w:ascii="Times New Roman" w:hAnsi="Times New Roman" w:eastAsia="Arial Unicode MS" w:cs="Times New Roman"/>
      <w:kern w:val="0"/>
      <w:sz w:val="24"/>
      <w:szCs w:val="24"/>
    </w:rPr>
  </w:style>
  <w:style w:type="paragraph" w:customStyle="1" w:styleId="240">
    <w:name w:val="我的正文"/>
    <w:basedOn w:val="1"/>
    <w:qFormat/>
    <w:uiPriority w:val="0"/>
    <w:pPr>
      <w:ind w:firstLine="200" w:firstLineChars="200"/>
    </w:pPr>
    <w:rPr>
      <w:rFonts w:ascii="Times New Roman" w:hAnsi="Times New Roman" w:eastAsia="宋体" w:cs="Times New Roman"/>
      <w:snapToGrid w:val="0"/>
      <w:kern w:val="0"/>
      <w:sz w:val="28"/>
      <w:szCs w:val="24"/>
    </w:rPr>
  </w:style>
  <w:style w:type="paragraph" w:customStyle="1" w:styleId="241">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w w:val="90"/>
      <w:kern w:val="0"/>
      <w:sz w:val="24"/>
      <w:szCs w:val="24"/>
    </w:rPr>
  </w:style>
  <w:style w:type="paragraph" w:customStyle="1" w:styleId="242">
    <w:name w:val="xl63"/>
    <w:basedOn w:val="1"/>
    <w:qFormat/>
    <w:uiPriority w:val="0"/>
    <w:pPr>
      <w:widowControl/>
      <w:pBdr>
        <w:top w:val="single" w:color="auto" w:sz="4" w:space="0"/>
        <w:left w:val="single" w:color="auto" w:sz="4" w:space="0"/>
      </w:pBdr>
      <w:spacing w:before="100" w:beforeAutospacing="1" w:after="100" w:afterAutospacing="1"/>
      <w:jc w:val="left"/>
    </w:pPr>
    <w:rPr>
      <w:rFonts w:ascii="Times New Roman" w:hAnsi="Times New Roman" w:eastAsia="宋体" w:cs="Times New Roman"/>
      <w:color w:val="000000"/>
      <w:kern w:val="0"/>
      <w:sz w:val="24"/>
      <w:szCs w:val="24"/>
    </w:rPr>
  </w:style>
  <w:style w:type="paragraph" w:customStyle="1" w:styleId="243">
    <w:name w:val="xl69"/>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宋体"/>
      <w:b/>
      <w:bCs/>
      <w:color w:val="000000"/>
      <w:kern w:val="0"/>
      <w:sz w:val="24"/>
      <w:szCs w:val="24"/>
    </w:rPr>
  </w:style>
  <w:style w:type="paragraph" w:customStyle="1" w:styleId="244">
    <w:name w:val="样式 样式 样式 样式 纯文本 + (西文) Times New Roman (中文) 黑体 四号 加粗2 + 段后: 1 行 ...1"/>
    <w:basedOn w:val="238"/>
    <w:qFormat/>
    <w:uiPriority w:val="0"/>
    <w:pPr>
      <w:spacing w:beforeLines="0"/>
    </w:pPr>
    <w:rPr>
      <w:rFonts w:ascii="仿宋_GB2312"/>
    </w:rPr>
  </w:style>
  <w:style w:type="paragraph" w:customStyle="1" w:styleId="245">
    <w:name w:val="样式 hao02-3 + 宋体"/>
    <w:basedOn w:val="194"/>
    <w:qFormat/>
    <w:uiPriority w:val="0"/>
    <w:rPr>
      <w:rFonts w:ascii="宋体" w:hAnsi="宋体"/>
      <w:b w:val="0"/>
      <w:bCs w:val="0"/>
    </w:rPr>
  </w:style>
  <w:style w:type="character" w:customStyle="1" w:styleId="246">
    <w:name w:val="注释标题 字符1"/>
    <w:semiHidden/>
    <w:qFormat/>
    <w:uiPriority w:val="99"/>
    <w:rPr>
      <w:rFonts w:ascii="Calibri" w:hAnsi="Calibri" w:eastAsia="宋体" w:cs="Times New Roman"/>
      <w:kern w:val="2"/>
      <w:sz w:val="21"/>
      <w:szCs w:val="24"/>
    </w:rPr>
  </w:style>
  <w:style w:type="paragraph" w:customStyle="1" w:styleId="247">
    <w:name w:val="xl76"/>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248">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4"/>
      <w:szCs w:val="24"/>
    </w:rPr>
  </w:style>
  <w:style w:type="paragraph" w:customStyle="1" w:styleId="249">
    <w:name w:val="xl41"/>
    <w:basedOn w:val="1"/>
    <w:qFormat/>
    <w:uiPriority w:val="0"/>
    <w:pPr>
      <w:widowControl/>
      <w:spacing w:before="100" w:beforeAutospacing="1" w:after="100" w:afterAutospacing="1"/>
      <w:jc w:val="center"/>
      <w:textAlignment w:val="center"/>
    </w:pPr>
    <w:rPr>
      <w:rFonts w:ascii="Times New Roman" w:hAnsi="Times New Roman" w:eastAsia="宋体" w:cs="Times New Roman"/>
      <w:kern w:val="0"/>
      <w:sz w:val="22"/>
    </w:rPr>
  </w:style>
  <w:style w:type="paragraph" w:customStyle="1" w:styleId="250">
    <w:name w:val="xl97"/>
    <w:basedOn w:val="1"/>
    <w:qFormat/>
    <w:uiPriority w:val="0"/>
    <w:pPr>
      <w:widowControl/>
      <w:spacing w:before="100" w:beforeAutospacing="1" w:after="100" w:afterAutospacing="1"/>
      <w:jc w:val="center"/>
    </w:pPr>
    <w:rPr>
      <w:rFonts w:ascii="宋体" w:hAnsi="宋体" w:eastAsia="宋体" w:cs="宋体"/>
      <w:b/>
      <w:bCs/>
      <w:color w:val="000000"/>
      <w:kern w:val="0"/>
      <w:sz w:val="32"/>
      <w:szCs w:val="32"/>
    </w:rPr>
  </w:style>
  <w:style w:type="paragraph" w:customStyle="1" w:styleId="251">
    <w:name w:val="样式 样式 标题 3 + 仿宋_GB2312 + 段前: 12 磅2"/>
    <w:basedOn w:val="138"/>
    <w:qFormat/>
    <w:uiPriority w:val="0"/>
    <w:pPr>
      <w:numPr>
        <w:ilvl w:val="2"/>
        <w:numId w:val="1"/>
      </w:numPr>
      <w:tabs>
        <w:tab w:val="clear" w:pos="0"/>
      </w:tabs>
      <w:adjustRightInd w:val="0"/>
      <w:spacing w:beforeLines="0" w:line="360" w:lineRule="auto"/>
    </w:pPr>
    <w:rPr>
      <w:szCs w:val="20"/>
    </w:rPr>
  </w:style>
  <w:style w:type="paragraph" w:customStyle="1" w:styleId="252">
    <w:name w:val="样式 样式 样式 样式 样式 标题 3 + 左侧:  1.5 厘米 首行缩进:  0 厘米 + 行距: 单倍行距 + 段后: 1...2"/>
    <w:basedOn w:val="175"/>
    <w:qFormat/>
    <w:uiPriority w:val="0"/>
    <w:pPr>
      <w:tabs>
        <w:tab w:val="left" w:pos="0"/>
      </w:tabs>
      <w:adjustRightInd w:val="0"/>
      <w:snapToGrid w:val="0"/>
      <w:spacing w:afterLines="0"/>
      <w:ind w:firstLine="425"/>
    </w:pPr>
  </w:style>
  <w:style w:type="paragraph" w:customStyle="1" w:styleId="253">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2"/>
    </w:rPr>
  </w:style>
  <w:style w:type="paragraph" w:customStyle="1" w:styleId="254">
    <w:name w:val="xl33"/>
    <w:basedOn w:val="1"/>
    <w:qFormat/>
    <w:uiPriority w:val="0"/>
    <w:pPr>
      <w:widowControl/>
      <w:pBdr>
        <w:left w:val="single" w:color="auto" w:sz="4" w:space="0"/>
        <w:right w:val="single" w:color="auto" w:sz="4" w:space="0"/>
      </w:pBdr>
      <w:spacing w:before="100" w:beforeAutospacing="1" w:after="100" w:afterAutospacing="1"/>
      <w:jc w:val="right"/>
      <w:textAlignment w:val="center"/>
    </w:pPr>
    <w:rPr>
      <w:rFonts w:ascii="Times New Roman" w:hAnsi="Times New Roman" w:eastAsia="宋体" w:cs="Times New Roman"/>
      <w:kern w:val="0"/>
      <w:sz w:val="24"/>
      <w:szCs w:val="24"/>
    </w:rPr>
  </w:style>
  <w:style w:type="paragraph" w:customStyle="1" w:styleId="255">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56">
    <w:name w:val="xl11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257">
    <w:name w:val="xl61"/>
    <w:basedOn w:val="1"/>
    <w:qFormat/>
    <w:uiPriority w:val="0"/>
    <w:pPr>
      <w:widowControl/>
      <w:pBdr>
        <w:top w:val="single" w:color="auto" w:sz="4" w:space="0"/>
      </w:pBdr>
      <w:spacing w:before="100" w:beforeAutospacing="1" w:after="100" w:afterAutospacing="1"/>
      <w:jc w:val="center"/>
    </w:pPr>
    <w:rPr>
      <w:rFonts w:ascii="Arial Unicode MS" w:hAnsi="Arial Unicode MS" w:eastAsia="宋体" w:cs="Times New Roman"/>
      <w:color w:val="000000"/>
      <w:kern w:val="0"/>
      <w:sz w:val="24"/>
      <w:szCs w:val="24"/>
    </w:rPr>
  </w:style>
  <w:style w:type="paragraph" w:customStyle="1" w:styleId="25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59">
    <w:name w:val="TOC 标题1"/>
    <w:basedOn w:val="2"/>
    <w:next w:val="1"/>
    <w:qFormat/>
    <w:uiPriority w:val="39"/>
    <w:pPr>
      <w:widowControl/>
      <w:tabs>
        <w:tab w:val="left" w:pos="1080"/>
        <w:tab w:val="clear" w:pos="547"/>
      </w:tabs>
      <w:spacing w:after="0" w:line="259" w:lineRule="auto"/>
      <w:jc w:val="left"/>
      <w:outlineLvl w:val="9"/>
    </w:pPr>
    <w:rPr>
      <w:rFonts w:ascii="等线 Light" w:hAnsi="等线 Light" w:eastAsia="等线 Light"/>
      <w:bCs w:val="0"/>
      <w:color w:val="2F5496"/>
      <w:kern w:val="0"/>
      <w:sz w:val="32"/>
      <w:szCs w:val="32"/>
    </w:rPr>
  </w:style>
  <w:style w:type="paragraph" w:customStyle="1" w:styleId="260">
    <w:name w:val="xl9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261">
    <w:name w:val="font12"/>
    <w:basedOn w:val="1"/>
    <w:qFormat/>
    <w:uiPriority w:val="0"/>
    <w:pPr>
      <w:widowControl/>
      <w:spacing w:before="100" w:beforeAutospacing="1" w:after="100" w:afterAutospacing="1"/>
      <w:jc w:val="left"/>
    </w:pPr>
    <w:rPr>
      <w:rFonts w:hint="eastAsia" w:ascii="宋体" w:hAnsi="宋体" w:eastAsia="宋体" w:cs="Times New Roman"/>
      <w:kern w:val="0"/>
      <w:sz w:val="20"/>
      <w:szCs w:val="20"/>
    </w:rPr>
  </w:style>
  <w:style w:type="paragraph" w:customStyle="1" w:styleId="262">
    <w:name w:val="正文标准样式"/>
    <w:basedOn w:val="1"/>
    <w:qFormat/>
    <w:uiPriority w:val="0"/>
    <w:pPr>
      <w:adjustRightInd w:val="0"/>
      <w:spacing w:line="300" w:lineRule="auto"/>
      <w:ind w:firstLine="482"/>
      <w:textAlignment w:val="baseline"/>
    </w:pPr>
    <w:rPr>
      <w:rFonts w:ascii="Times New Roman" w:hAnsi="Times New Roman" w:eastAsia="宋体" w:cs="Times New Roman"/>
      <w:kern w:val="0"/>
      <w:sz w:val="24"/>
      <w:szCs w:val="20"/>
    </w:rPr>
  </w:style>
  <w:style w:type="paragraph" w:customStyle="1" w:styleId="263">
    <w:name w:val="表图标"/>
    <w:basedOn w:val="14"/>
    <w:next w:val="14"/>
    <w:qFormat/>
    <w:uiPriority w:val="0"/>
    <w:pPr>
      <w:adjustRightInd w:val="0"/>
      <w:snapToGrid w:val="0"/>
      <w:spacing w:afterLines="50" w:line="400" w:lineRule="exact"/>
      <w:ind w:firstLine="560" w:firstLineChars="200"/>
      <w:jc w:val="center"/>
    </w:pPr>
    <w:rPr>
      <w:rFonts w:ascii="宋体" w:hAnsi="宋体"/>
      <w:b/>
      <w:sz w:val="28"/>
      <w:szCs w:val="24"/>
    </w:rPr>
  </w:style>
  <w:style w:type="paragraph" w:customStyle="1" w:styleId="264">
    <w:name w:val="xl4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 w:val="24"/>
      <w:szCs w:val="24"/>
    </w:rPr>
  </w:style>
  <w:style w:type="paragraph" w:customStyle="1" w:styleId="265">
    <w:name w:val="样式 样式 标题 3 + 仿宋_GB2312 + 段前: 12 磅"/>
    <w:basedOn w:val="138"/>
    <w:qFormat/>
    <w:uiPriority w:val="0"/>
    <w:pPr>
      <w:snapToGrid w:val="0"/>
      <w:spacing w:beforeLines="0" w:line="360" w:lineRule="auto"/>
    </w:pPr>
    <w:rPr>
      <w:szCs w:val="20"/>
    </w:rPr>
  </w:style>
  <w:style w:type="paragraph" w:customStyle="1" w:styleId="266">
    <w:name w:val="样式 仿宋_GB2312 四号 首行缩进:  0.74 厘米 行距: 1.5 倍行距"/>
    <w:basedOn w:val="1"/>
    <w:qFormat/>
    <w:uiPriority w:val="0"/>
    <w:pPr>
      <w:spacing w:line="360" w:lineRule="auto"/>
      <w:ind w:firstLine="420"/>
    </w:pPr>
    <w:rPr>
      <w:rFonts w:ascii="仿宋_GB2312" w:hAnsi="Times New Roman" w:eastAsia="仿宋_GB2312" w:cs="宋体"/>
      <w:sz w:val="32"/>
      <w:szCs w:val="20"/>
    </w:rPr>
  </w:style>
  <w:style w:type="paragraph" w:customStyle="1" w:styleId="267">
    <w:name w:val="s10"/>
    <w:basedOn w:val="1"/>
    <w:qFormat/>
    <w:uiPriority w:val="0"/>
    <w:pPr>
      <w:widowControl/>
      <w:spacing w:before="100" w:beforeAutospacing="1" w:after="100" w:afterAutospacing="1"/>
      <w:jc w:val="left"/>
    </w:pPr>
    <w:rPr>
      <w:rFonts w:ascii="宋体" w:hAnsi="宋体" w:eastAsia="宋体" w:cs="宋体"/>
      <w:kern w:val="0"/>
      <w:szCs w:val="20"/>
    </w:rPr>
  </w:style>
  <w:style w:type="paragraph" w:customStyle="1" w:styleId="268">
    <w:name w:val="xl57"/>
    <w:basedOn w:val="1"/>
    <w:qFormat/>
    <w:uiPriority w:val="0"/>
    <w:pPr>
      <w:widowControl/>
      <w:pBdr>
        <w:bottom w:val="single" w:color="auto" w:sz="4" w:space="0"/>
        <w:right w:val="single" w:color="auto" w:sz="4" w:space="0"/>
      </w:pBdr>
      <w:spacing w:before="100" w:beforeAutospacing="1" w:after="100" w:afterAutospacing="1"/>
      <w:jc w:val="left"/>
      <w:textAlignment w:val="center"/>
    </w:pPr>
    <w:rPr>
      <w:rFonts w:ascii="宋体" w:hAnsi="宋体" w:eastAsia="宋体" w:cs="Times New Roman"/>
      <w:kern w:val="0"/>
      <w:sz w:val="24"/>
      <w:szCs w:val="24"/>
    </w:rPr>
  </w:style>
  <w:style w:type="paragraph" w:customStyle="1" w:styleId="269">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270">
    <w:name w:val="目录"/>
    <w:qFormat/>
    <w:uiPriority w:val="0"/>
    <w:pPr>
      <w:tabs>
        <w:tab w:val="left" w:pos="1707"/>
      </w:tabs>
      <w:ind w:left="1707" w:hanging="856"/>
      <w:jc w:val="center"/>
      <w:outlineLvl w:val="0"/>
    </w:pPr>
    <w:rPr>
      <w:rFonts w:ascii="宋体" w:hAnsi="Times New Roman" w:eastAsia="宋体" w:cs="Times New Roman"/>
      <w:color w:val="FF0000"/>
      <w:sz w:val="32"/>
      <w:lang w:val="en-US" w:eastAsia="zh-CN" w:bidi="ar-SA"/>
    </w:rPr>
  </w:style>
  <w:style w:type="paragraph" w:customStyle="1" w:styleId="271">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272">
    <w:name w:val="二级"/>
    <w:basedOn w:val="1"/>
    <w:qFormat/>
    <w:uiPriority w:val="0"/>
    <w:pPr>
      <w:spacing w:line="520" w:lineRule="exact"/>
    </w:pPr>
    <w:rPr>
      <w:rFonts w:ascii="Times New Roman" w:hAnsi="Times New Roman" w:eastAsia="宋体" w:cs="Times New Roman"/>
      <w:sz w:val="28"/>
      <w:szCs w:val="24"/>
    </w:rPr>
  </w:style>
  <w:style w:type="paragraph" w:customStyle="1" w:styleId="273">
    <w:name w:val="xl104"/>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274">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75">
    <w:name w:val="样式 样式 标题 3 + 仿宋_GB2312 + 左侧:  0 厘米 悬挂缩进: 22.69 字符"/>
    <w:basedOn w:val="138"/>
    <w:qFormat/>
    <w:uiPriority w:val="0"/>
    <w:pPr>
      <w:tabs>
        <w:tab w:val="left" w:pos="900"/>
        <w:tab w:val="left" w:pos="1950"/>
        <w:tab w:val="clear" w:pos="0"/>
      </w:tabs>
      <w:spacing w:beforeLines="0"/>
      <w:ind w:left="1950" w:hanging="780"/>
    </w:pPr>
    <w:rPr>
      <w:rFonts w:ascii="宋体" w:hAnsi="宋体"/>
      <w:b/>
      <w:szCs w:val="20"/>
    </w:rPr>
  </w:style>
  <w:style w:type="paragraph" w:customStyle="1" w:styleId="276">
    <w:name w:val="正文缩进 Char"/>
    <w:basedOn w:val="1"/>
    <w:next w:val="24"/>
    <w:qFormat/>
    <w:uiPriority w:val="0"/>
    <w:pPr>
      <w:widowControl/>
      <w:jc w:val="left"/>
    </w:pPr>
    <w:rPr>
      <w:rFonts w:ascii="Courier New" w:hAnsi="Courier New" w:eastAsia="宋体" w:cs="Courier New"/>
      <w:kern w:val="0"/>
      <w:sz w:val="20"/>
      <w:szCs w:val="20"/>
    </w:rPr>
  </w:style>
  <w:style w:type="paragraph" w:customStyle="1" w:styleId="277">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 w:val="24"/>
      <w:szCs w:val="24"/>
    </w:rPr>
  </w:style>
  <w:style w:type="paragraph" w:customStyle="1" w:styleId="278">
    <w:name w:val="xl51"/>
    <w:basedOn w:val="1"/>
    <w:qFormat/>
    <w:uiPriority w:val="0"/>
    <w:pPr>
      <w:widowControl/>
      <w:spacing w:before="100" w:beforeAutospacing="1" w:after="100" w:afterAutospacing="1"/>
      <w:jc w:val="left"/>
    </w:pPr>
    <w:rPr>
      <w:rFonts w:ascii="Arial Unicode MS" w:hAnsi="Arial Unicode MS" w:eastAsia="宋体" w:cs="Times New Roman"/>
      <w:kern w:val="0"/>
      <w:sz w:val="24"/>
      <w:szCs w:val="24"/>
    </w:rPr>
  </w:style>
  <w:style w:type="paragraph" w:customStyle="1" w:styleId="279">
    <w:name w:val="正文2"/>
    <w:qFormat/>
    <w:uiPriority w:val="0"/>
    <w:pPr>
      <w:widowControl w:val="0"/>
      <w:adjustRightInd w:val="0"/>
      <w:spacing w:line="360" w:lineRule="atLeast"/>
    </w:pPr>
    <w:rPr>
      <w:rFonts w:ascii="宋体" w:hAnsi="Times New Roman" w:eastAsia="宋体" w:cs="Times New Roman"/>
      <w:sz w:val="24"/>
      <w:lang w:val="en-US" w:eastAsia="zh-CN" w:bidi="ar-SA"/>
    </w:rPr>
  </w:style>
  <w:style w:type="paragraph" w:customStyle="1" w:styleId="28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FF0000"/>
      <w:kern w:val="0"/>
      <w:sz w:val="24"/>
      <w:szCs w:val="24"/>
    </w:rPr>
  </w:style>
  <w:style w:type="paragraph" w:customStyle="1" w:styleId="281">
    <w:name w:val="font9"/>
    <w:basedOn w:val="1"/>
    <w:qFormat/>
    <w:uiPriority w:val="0"/>
    <w:pPr>
      <w:widowControl/>
      <w:spacing w:before="100" w:beforeAutospacing="1" w:after="100" w:afterAutospacing="1"/>
      <w:jc w:val="left"/>
    </w:pPr>
    <w:rPr>
      <w:rFonts w:ascii="Times New Roman" w:hAnsi="Times New Roman" w:eastAsia="宋体" w:cs="Times New Roman"/>
      <w:kern w:val="0"/>
      <w:sz w:val="22"/>
    </w:rPr>
  </w:style>
  <w:style w:type="paragraph" w:customStyle="1" w:styleId="282">
    <w:name w:val="xl10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283">
    <w:name w:val="font7"/>
    <w:basedOn w:val="1"/>
    <w:qFormat/>
    <w:uiPriority w:val="0"/>
    <w:pPr>
      <w:widowControl/>
      <w:spacing w:before="100" w:beforeAutospacing="1" w:after="100" w:afterAutospacing="1"/>
      <w:jc w:val="left"/>
    </w:pPr>
    <w:rPr>
      <w:rFonts w:hint="eastAsia" w:ascii="宋体" w:hAnsi="宋体" w:eastAsia="宋体" w:cs="Times New Roman"/>
      <w:color w:val="000000"/>
      <w:kern w:val="0"/>
      <w:sz w:val="16"/>
      <w:szCs w:val="16"/>
    </w:rPr>
  </w:style>
  <w:style w:type="paragraph" w:customStyle="1" w:styleId="28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 w:val="24"/>
      <w:szCs w:val="24"/>
    </w:rPr>
  </w:style>
  <w:style w:type="paragraph" w:customStyle="1" w:styleId="285">
    <w:name w:val="编号1"/>
    <w:basedOn w:val="14"/>
    <w:qFormat/>
    <w:uiPriority w:val="0"/>
    <w:pPr>
      <w:widowControl/>
      <w:tabs>
        <w:tab w:val="left" w:pos="644"/>
      </w:tabs>
      <w:ind w:left="420" w:hanging="136"/>
    </w:pPr>
    <w:rPr>
      <w:rFonts w:ascii="宋体" w:hAnsi="宋体"/>
      <w:b/>
      <w:bCs/>
      <w:spacing w:val="10"/>
      <w:kern w:val="0"/>
      <w:sz w:val="28"/>
    </w:rPr>
  </w:style>
  <w:style w:type="paragraph" w:customStyle="1" w:styleId="286">
    <w:name w:val="表格"/>
    <w:basedOn w:val="1"/>
    <w:qFormat/>
    <w:uiPriority w:val="0"/>
    <w:pPr>
      <w:adjustRightInd w:val="0"/>
      <w:spacing w:line="288" w:lineRule="auto"/>
      <w:textAlignment w:val="baseline"/>
    </w:pPr>
    <w:rPr>
      <w:rFonts w:ascii="宋体" w:hAnsi="Times New Roman" w:eastAsia="宋体" w:cs="Times New Roman"/>
      <w:kern w:val="0"/>
      <w:sz w:val="24"/>
      <w:szCs w:val="24"/>
    </w:rPr>
  </w:style>
  <w:style w:type="paragraph" w:customStyle="1" w:styleId="287">
    <w:name w:val="xl9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Arial" w:hAnsi="Arial" w:eastAsia="宋体" w:cs="Arial"/>
      <w:color w:val="000000"/>
      <w:kern w:val="0"/>
      <w:sz w:val="24"/>
      <w:szCs w:val="24"/>
    </w:rPr>
  </w:style>
  <w:style w:type="paragraph" w:customStyle="1" w:styleId="288">
    <w:name w:val="CM7"/>
    <w:basedOn w:val="1"/>
    <w:next w:val="1"/>
    <w:qFormat/>
    <w:uiPriority w:val="0"/>
    <w:pPr>
      <w:autoSpaceDE w:val="0"/>
      <w:autoSpaceDN w:val="0"/>
      <w:adjustRightInd w:val="0"/>
      <w:spacing w:after="258"/>
      <w:jc w:val="left"/>
    </w:pPr>
    <w:rPr>
      <w:rFonts w:ascii="Times New Roman" w:hAnsi="Times New Roman" w:eastAsia="宋体" w:cs="Times New Roman"/>
      <w:kern w:val="0"/>
      <w:sz w:val="20"/>
      <w:szCs w:val="24"/>
    </w:rPr>
  </w:style>
  <w:style w:type="paragraph" w:customStyle="1" w:styleId="289">
    <w:name w:val="正文1"/>
    <w:basedOn w:val="1"/>
    <w:qFormat/>
    <w:uiPriority w:val="0"/>
    <w:pPr>
      <w:spacing w:before="60" w:after="40" w:line="200" w:lineRule="exact"/>
    </w:pPr>
    <w:rPr>
      <w:rFonts w:ascii="Times New Roman" w:hAnsi="Times New Roman" w:eastAsia="宋体" w:cs="Times New Roman"/>
      <w:spacing w:val="6"/>
      <w:sz w:val="24"/>
      <w:szCs w:val="28"/>
    </w:rPr>
  </w:style>
  <w:style w:type="paragraph" w:customStyle="1" w:styleId="290">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b/>
      <w:bCs/>
      <w:color w:val="000000"/>
      <w:kern w:val="0"/>
      <w:sz w:val="24"/>
      <w:szCs w:val="24"/>
    </w:rPr>
  </w:style>
  <w:style w:type="paragraph" w:customStyle="1" w:styleId="29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292">
    <w:name w:val="hao01-4"/>
    <w:next w:val="125"/>
    <w:qFormat/>
    <w:uiPriority w:val="0"/>
    <w:pPr>
      <w:spacing w:line="360" w:lineRule="auto"/>
      <w:ind w:firstLine="482"/>
      <w:outlineLvl w:val="3"/>
    </w:pPr>
    <w:rPr>
      <w:rFonts w:ascii="Times New Roman" w:hAnsi="Times New Roman" w:eastAsia="宋体" w:cs="Times New Roman"/>
      <w:b/>
      <w:bCs/>
      <w:color w:val="000000"/>
      <w:kern w:val="2"/>
      <w:sz w:val="24"/>
      <w:szCs w:val="24"/>
      <w:lang w:val="en-US" w:eastAsia="zh-CN" w:bidi="ar-SA"/>
    </w:rPr>
  </w:style>
  <w:style w:type="paragraph" w:customStyle="1" w:styleId="293">
    <w:name w:val="表格内文字"/>
    <w:basedOn w:val="19"/>
    <w:qFormat/>
    <w:uiPriority w:val="0"/>
    <w:pPr>
      <w:spacing w:line="320" w:lineRule="exact"/>
    </w:pPr>
    <w:rPr>
      <w:rFonts w:ascii="Times New Roman" w:eastAsia="宋体"/>
      <w:spacing w:val="10"/>
      <w:sz w:val="24"/>
      <w:szCs w:val="28"/>
    </w:rPr>
  </w:style>
  <w:style w:type="paragraph" w:customStyle="1" w:styleId="294">
    <w:name w:val="font15"/>
    <w:basedOn w:val="1"/>
    <w:qFormat/>
    <w:uiPriority w:val="0"/>
    <w:pPr>
      <w:widowControl/>
      <w:spacing w:before="100" w:beforeAutospacing="1" w:after="100" w:afterAutospacing="1"/>
      <w:jc w:val="left"/>
    </w:pPr>
    <w:rPr>
      <w:rFonts w:ascii="Times New Roman" w:hAnsi="Times New Roman" w:eastAsia="宋体" w:cs="Times New Roman"/>
      <w:b/>
      <w:bCs/>
      <w:kern w:val="0"/>
      <w:sz w:val="20"/>
      <w:szCs w:val="20"/>
    </w:rPr>
  </w:style>
  <w:style w:type="paragraph" w:customStyle="1" w:styleId="295">
    <w:name w:val="ym2"/>
    <w:basedOn w:val="1"/>
    <w:qFormat/>
    <w:uiPriority w:val="0"/>
    <w:pPr>
      <w:widowControl/>
      <w:spacing w:before="100" w:beforeAutospacing="1" w:after="100" w:afterAutospacing="1" w:line="360" w:lineRule="auto"/>
      <w:ind w:firstLine="480"/>
      <w:jc w:val="left"/>
    </w:pPr>
    <w:rPr>
      <w:rFonts w:ascii="Times New Roman" w:hAnsi="Times New Roman" w:eastAsia="宋体" w:cs="Times New Roman"/>
      <w:kern w:val="0"/>
      <w:szCs w:val="20"/>
    </w:rPr>
  </w:style>
  <w:style w:type="paragraph" w:customStyle="1" w:styleId="296">
    <w:name w:val="xl54"/>
    <w:basedOn w:val="1"/>
    <w:qFormat/>
    <w:uiPriority w:val="0"/>
    <w:pPr>
      <w:widowControl/>
      <w:pBdr>
        <w:bottom w:val="single" w:color="auto" w:sz="4" w:space="0"/>
      </w:pBdr>
      <w:spacing w:before="100" w:beforeAutospacing="1" w:after="100" w:afterAutospacing="1"/>
      <w:jc w:val="left"/>
      <w:textAlignment w:val="center"/>
    </w:pPr>
    <w:rPr>
      <w:rFonts w:ascii="Arial Unicode MS" w:hAnsi="Arial Unicode MS" w:eastAsia="宋体" w:cs="Times New Roman"/>
      <w:b/>
      <w:bCs/>
      <w:kern w:val="0"/>
      <w:sz w:val="24"/>
      <w:szCs w:val="24"/>
    </w:rPr>
  </w:style>
  <w:style w:type="paragraph" w:customStyle="1" w:styleId="297">
    <w:name w:val="样式 标题 3"/>
    <w:basedOn w:val="4"/>
    <w:qFormat/>
    <w:uiPriority w:val="0"/>
    <w:pPr>
      <w:adjustRightInd/>
      <w:jc w:val="both"/>
      <w:textAlignment w:val="auto"/>
    </w:pPr>
    <w:rPr>
      <w:rFonts w:ascii="宋体" w:hAnsi="宋体" w:eastAsia="仿宋_GB2312"/>
      <w:kern w:val="2"/>
      <w:szCs w:val="32"/>
    </w:rPr>
  </w:style>
  <w:style w:type="paragraph" w:customStyle="1" w:styleId="298">
    <w:name w:val="样式  + 仿宋_GB2312 四号"/>
    <w:basedOn w:val="1"/>
    <w:qFormat/>
    <w:uiPriority w:val="0"/>
    <w:pPr>
      <w:ind w:left="200" w:leftChars="200"/>
    </w:pPr>
    <w:rPr>
      <w:rFonts w:ascii="仿宋_GB2312" w:hAnsi="仿宋_GB2312" w:eastAsia="仿宋_GB2312" w:cs="Times New Roman"/>
      <w:spacing w:val="-2"/>
      <w:sz w:val="28"/>
      <w:szCs w:val="24"/>
    </w:rPr>
  </w:style>
  <w:style w:type="paragraph" w:customStyle="1" w:styleId="299">
    <w:name w:val="列出段落2"/>
    <w:basedOn w:val="1"/>
    <w:qFormat/>
    <w:uiPriority w:val="34"/>
    <w:pPr>
      <w:ind w:firstLine="420" w:firstLineChars="200"/>
    </w:pPr>
    <w:rPr>
      <w:rFonts w:ascii="Times New Roman" w:hAnsi="Times New Roman" w:eastAsia="宋体" w:cs="Times New Roman"/>
      <w:szCs w:val="20"/>
    </w:rPr>
  </w:style>
  <w:style w:type="paragraph" w:customStyle="1" w:styleId="300">
    <w:name w:val="style2"/>
    <w:basedOn w:val="1"/>
    <w:qFormat/>
    <w:uiPriority w:val="0"/>
    <w:pPr>
      <w:widowControl/>
      <w:spacing w:before="100" w:beforeAutospacing="1" w:after="100" w:afterAutospacing="1"/>
      <w:jc w:val="left"/>
    </w:pPr>
    <w:rPr>
      <w:rFonts w:ascii="Arial" w:hAnsi="Arial" w:eastAsia="Arial Unicode MS" w:cs="Arial"/>
      <w:color w:val="000000"/>
      <w:kern w:val="0"/>
      <w:sz w:val="24"/>
      <w:szCs w:val="24"/>
    </w:rPr>
  </w:style>
  <w:style w:type="paragraph" w:customStyle="1" w:styleId="301">
    <w:name w:val="hao01.0"/>
    <w:qFormat/>
    <w:uiPriority w:val="0"/>
    <w:pPr>
      <w:spacing w:line="360" w:lineRule="auto"/>
      <w:ind w:firstLine="200" w:firstLineChars="200"/>
    </w:pPr>
    <w:rPr>
      <w:rFonts w:ascii="Times New Roman" w:hAnsi="Times New Roman" w:eastAsia="宋体" w:cs="Times New Roman"/>
      <w:bCs/>
      <w:kern w:val="44"/>
      <w:sz w:val="24"/>
      <w:szCs w:val="24"/>
      <w:lang w:val="en-US" w:eastAsia="zh-CN" w:bidi="ar-SA"/>
    </w:rPr>
  </w:style>
  <w:style w:type="paragraph" w:customStyle="1" w:styleId="302">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b/>
      <w:bCs/>
      <w:color w:val="000000"/>
      <w:kern w:val="0"/>
      <w:sz w:val="24"/>
      <w:szCs w:val="24"/>
    </w:rPr>
  </w:style>
  <w:style w:type="paragraph" w:customStyle="1" w:styleId="304">
    <w:name w:val="样式2"/>
    <w:basedOn w:val="1"/>
    <w:qFormat/>
    <w:uiPriority w:val="0"/>
    <w:rPr>
      <w:rFonts w:ascii="Times New Roman" w:hAnsi="Times New Roman" w:eastAsia="宋体" w:cs="Times New Roman"/>
      <w:szCs w:val="24"/>
    </w:rPr>
  </w:style>
  <w:style w:type="paragraph" w:customStyle="1" w:styleId="305">
    <w:name w:val="p0"/>
    <w:basedOn w:val="1"/>
    <w:qFormat/>
    <w:uiPriority w:val="0"/>
    <w:pPr>
      <w:widowControl/>
    </w:pPr>
    <w:rPr>
      <w:rFonts w:ascii="Times New Roman" w:hAnsi="Times New Roman" w:eastAsia="宋体" w:cs="Times New Roman"/>
      <w:kern w:val="0"/>
      <w:szCs w:val="20"/>
    </w:rPr>
  </w:style>
  <w:style w:type="paragraph" w:customStyle="1" w:styleId="306">
    <w:name w:val="xl49"/>
    <w:basedOn w:val="1"/>
    <w:qFormat/>
    <w:uiPriority w:val="0"/>
    <w:pPr>
      <w:widowControl/>
      <w:pBdr>
        <w:bottom w:val="single" w:color="auto" w:sz="4" w:space="0"/>
      </w:pBdr>
      <w:spacing w:before="100" w:beforeAutospacing="1" w:after="100" w:afterAutospacing="1"/>
      <w:jc w:val="left"/>
      <w:textAlignment w:val="center"/>
    </w:pPr>
    <w:rPr>
      <w:rFonts w:ascii="宋体" w:hAnsi="宋体" w:eastAsia="宋体" w:cs="Times New Roman"/>
      <w:kern w:val="0"/>
      <w:sz w:val="24"/>
      <w:szCs w:val="24"/>
    </w:rPr>
  </w:style>
  <w:style w:type="paragraph" w:customStyle="1" w:styleId="307">
    <w:name w:val="p"/>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308">
    <w:name w:val="15"/>
    <w:basedOn w:val="47"/>
    <w:qFormat/>
    <w:uiPriority w:val="0"/>
  </w:style>
  <w:style w:type="character" w:customStyle="1" w:styleId="309">
    <w:name w:val="style1"/>
    <w:qFormat/>
    <w:uiPriority w:val="0"/>
  </w:style>
  <w:style w:type="character" w:customStyle="1" w:styleId="310">
    <w:name w:val="style28"/>
    <w:qFormat/>
    <w:uiPriority w:val="0"/>
  </w:style>
  <w:style w:type="character" w:customStyle="1" w:styleId="311">
    <w:name w:val="未处理的提及1"/>
    <w:semiHidden/>
    <w:unhideWhenUsed/>
    <w:qFormat/>
    <w:uiPriority w:val="99"/>
    <w:rPr>
      <w:color w:val="605E5C"/>
      <w:shd w:val="clear" w:color="auto" w:fill="E1DFDD"/>
    </w:rPr>
  </w:style>
  <w:style w:type="paragraph" w:styleId="312">
    <w:name w:val="List Paragraph"/>
    <w:basedOn w:val="1"/>
    <w:qFormat/>
    <w:uiPriority w:val="99"/>
    <w:pPr>
      <w:jc w:val="left"/>
    </w:pPr>
    <w:rPr>
      <w:rFonts w:ascii="Calibri" w:hAnsi="Calibri" w:eastAsia="宋体" w:cs="Calibri"/>
      <w:kern w:val="0"/>
      <w:sz w:val="22"/>
      <w:lang w:eastAsia="en-US"/>
    </w:rPr>
  </w:style>
  <w:style w:type="paragraph" w:customStyle="1" w:styleId="313">
    <w:name w:val="Table Paragraph"/>
    <w:basedOn w:val="1"/>
    <w:qFormat/>
    <w:uiPriority w:val="99"/>
    <w:pPr>
      <w:jc w:val="left"/>
    </w:pPr>
    <w:rPr>
      <w:rFonts w:ascii="Calibri" w:hAnsi="Calibri" w:eastAsia="宋体" w:cs="Calibri"/>
      <w:kern w:val="0"/>
      <w:sz w:val="22"/>
      <w:lang w:eastAsia="en-US"/>
    </w:rPr>
  </w:style>
  <w:style w:type="paragraph" w:customStyle="1" w:styleId="314">
    <w:name w:val="表4"/>
    <w:basedOn w:val="1"/>
    <w:qFormat/>
    <w:uiPriority w:val="0"/>
    <w:pPr>
      <w:adjustRightInd w:val="0"/>
      <w:snapToGrid w:val="0"/>
      <w:spacing w:line="400" w:lineRule="exact"/>
      <w:jc w:val="center"/>
    </w:pPr>
    <w:rPr>
      <w:rFonts w:ascii="宋体" w:hAnsi="宋体" w:eastAsia="宋体" w:cs="宋体"/>
      <w:kern w:val="0"/>
      <w:sz w:val="24"/>
      <w:szCs w:val="24"/>
    </w:rPr>
  </w:style>
  <w:style w:type="character" w:customStyle="1" w:styleId="315">
    <w:name w:val="正文文本 (10) + 间距 0 pt"/>
    <w:qFormat/>
    <w:uiPriority w:val="0"/>
    <w:rPr>
      <w:rFonts w:ascii="MingLiU" w:eastAsia="MingLiU" w:cs="MingLiU"/>
      <w:spacing w:val="-2"/>
      <w:sz w:val="14"/>
      <w:szCs w:val="14"/>
      <w:u w:val="none"/>
    </w:rPr>
  </w:style>
  <w:style w:type="character" w:customStyle="1" w:styleId="316">
    <w:name w:val="正文文本 + Garamond3"/>
    <w:qFormat/>
    <w:uiPriority w:val="0"/>
    <w:rPr>
      <w:rFonts w:ascii="Garamond" w:hAnsi="Garamond" w:eastAsia="宋体" w:cs="Garamond"/>
      <w:spacing w:val="7"/>
      <w:sz w:val="15"/>
      <w:szCs w:val="15"/>
      <w:u w:val="none"/>
      <w:lang w:val="en-US" w:eastAsia="en-US"/>
    </w:rPr>
  </w:style>
  <w:style w:type="character" w:customStyle="1" w:styleId="317">
    <w:name w:val="正文文本 + MingLiU13"/>
    <w:qFormat/>
    <w:uiPriority w:val="0"/>
    <w:rPr>
      <w:rFonts w:ascii="MingLiU" w:eastAsia="MingLiU" w:cs="MingLiU"/>
      <w:spacing w:val="3"/>
      <w:sz w:val="14"/>
      <w:szCs w:val="14"/>
      <w:u w:val="none"/>
    </w:rPr>
  </w:style>
  <w:style w:type="character" w:customStyle="1" w:styleId="318">
    <w:name w:val="正文文本 (10) + Garamond1"/>
    <w:qFormat/>
    <w:uiPriority w:val="0"/>
    <w:rPr>
      <w:rFonts w:ascii="Garamond" w:hAnsi="Garamond" w:eastAsia="MingLiU" w:cs="Garamond"/>
      <w:spacing w:val="-4"/>
      <w:sz w:val="15"/>
      <w:szCs w:val="15"/>
      <w:u w:val="none"/>
      <w:lang w:val="en-US" w:eastAsia="en-US"/>
    </w:rPr>
  </w:style>
  <w:style w:type="paragraph" w:customStyle="1" w:styleId="319">
    <w:name w:val="TOC 标题2"/>
    <w:basedOn w:val="2"/>
    <w:next w:val="1"/>
    <w:qFormat/>
    <w:uiPriority w:val="39"/>
    <w:pPr>
      <w:widowControl/>
      <w:tabs>
        <w:tab w:val="left" w:pos="1080"/>
        <w:tab w:val="clear" w:pos="547"/>
      </w:tabs>
      <w:spacing w:after="0" w:line="259" w:lineRule="auto"/>
      <w:jc w:val="left"/>
      <w:outlineLvl w:val="9"/>
    </w:pPr>
    <w:rPr>
      <w:rFonts w:ascii="等线 Light" w:hAnsi="等线 Light" w:eastAsia="等线 Light"/>
      <w:bCs w:val="0"/>
      <w:color w:val="2F5496"/>
      <w:kern w:val="0"/>
      <w:sz w:val="32"/>
      <w:szCs w:val="32"/>
    </w:rPr>
  </w:style>
  <w:style w:type="character" w:customStyle="1" w:styleId="320">
    <w:name w:val="iu2"/>
    <w:basedOn w:val="47"/>
    <w:qFormat/>
    <w:uiPriority w:val="0"/>
  </w:style>
  <w:style w:type="character" w:customStyle="1" w:styleId="321">
    <w:name w:val="未处理的提及2"/>
    <w:semiHidden/>
    <w:unhideWhenUsed/>
    <w:qFormat/>
    <w:uiPriority w:val="99"/>
    <w:rPr>
      <w:color w:val="605E5C"/>
      <w:shd w:val="clear" w:color="auto" w:fill="E1DFDD"/>
    </w:rPr>
  </w:style>
  <w:style w:type="table" w:customStyle="1" w:styleId="322">
    <w:name w:val="网格型2"/>
    <w:basedOn w:val="45"/>
    <w:qFormat/>
    <w:uiPriority w:val="39"/>
    <w:rPr>
      <w:rFonts w:ascii="Calibri" w:hAnsi="Calibri"/>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3">
    <w:name w:val="图表"/>
    <w:basedOn w:val="1"/>
    <w:link w:val="324"/>
    <w:qFormat/>
    <w:uiPriority w:val="98"/>
    <w:pPr>
      <w:jc w:val="center"/>
      <w:textAlignment w:val="center"/>
    </w:pPr>
    <w:rPr>
      <w:rFonts w:ascii="仿宋_GB2312" w:hAnsi="Calibri" w:eastAsia="宋体" w:cs="Times New Roman"/>
      <w:sz w:val="18"/>
      <w:szCs w:val="21"/>
    </w:rPr>
  </w:style>
  <w:style w:type="character" w:customStyle="1" w:styleId="324">
    <w:name w:val="图表 Char"/>
    <w:link w:val="323"/>
    <w:qFormat/>
    <w:uiPriority w:val="98"/>
    <w:rPr>
      <w:rFonts w:ascii="仿宋_GB2312" w:hAnsi="Calibri" w:eastAsia="宋体" w:cs="Times New Roman"/>
      <w:sz w:val="18"/>
      <w:szCs w:val="21"/>
    </w:rPr>
  </w:style>
  <w:style w:type="paragraph" w:customStyle="1" w:styleId="325">
    <w:name w:val="二级标题"/>
    <w:basedOn w:val="1"/>
    <w:qFormat/>
    <w:uiPriority w:val="0"/>
    <w:pPr>
      <w:spacing w:line="500" w:lineRule="exact"/>
      <w:jc w:val="center"/>
      <w:outlineLvl w:val="1"/>
    </w:pPr>
    <w:rPr>
      <w:rFonts w:ascii="Times New Roman" w:hAnsi="Times New Roman" w:eastAsia="宋体" w:cs="Times New Roman"/>
      <w:b/>
      <w:bCs/>
      <w:szCs w:val="24"/>
    </w:rPr>
  </w:style>
  <w:style w:type="paragraph" w:customStyle="1" w:styleId="326">
    <w:name w:val="条文"/>
    <w:basedOn w:val="1"/>
    <w:qFormat/>
    <w:uiPriority w:val="0"/>
    <w:pPr>
      <w:spacing w:line="360" w:lineRule="auto"/>
      <w:textAlignment w:val="center"/>
    </w:pPr>
    <w:rPr>
      <w:rFonts w:ascii="Times New Roman" w:hAnsi="Times New Roman" w:eastAsia="宋体" w:cs="Times New Roman"/>
      <w:szCs w:val="24"/>
    </w:rPr>
  </w:style>
  <w:style w:type="paragraph" w:customStyle="1" w:styleId="327">
    <w:name w:val="前言"/>
    <w:basedOn w:val="1"/>
    <w:qFormat/>
    <w:uiPriority w:val="0"/>
    <w:pPr>
      <w:spacing w:line="560" w:lineRule="exact"/>
      <w:ind w:firstLine="566" w:firstLineChars="202"/>
    </w:pPr>
    <w:rPr>
      <w:rFonts w:ascii="Times New Roman" w:hAnsi="Times New Roman" w:eastAsia="宋体" w:cs="Times New Roman"/>
      <w:sz w:val="28"/>
      <w:szCs w:val="28"/>
    </w:rPr>
  </w:style>
  <w:style w:type="paragraph" w:customStyle="1" w:styleId="328">
    <w:name w:val="附录"/>
    <w:basedOn w:val="326"/>
    <w:qFormat/>
    <w:uiPriority w:val="0"/>
    <w:pPr>
      <w:keepNext/>
      <w:keepLines/>
      <w:spacing w:before="240" w:after="145"/>
      <w:ind w:left="420"/>
      <w:outlineLvl w:val="1"/>
    </w:pPr>
    <w:rPr>
      <w:sz w:val="24"/>
    </w:rPr>
  </w:style>
  <w:style w:type="paragraph" w:customStyle="1" w:styleId="329">
    <w:name w:val="内标题"/>
    <w:basedOn w:val="1"/>
    <w:qFormat/>
    <w:uiPriority w:val="0"/>
    <w:pPr>
      <w:widowControl/>
      <w:jc w:val="center"/>
      <w:outlineLvl w:val="0"/>
    </w:pPr>
    <w:rPr>
      <w:rFonts w:ascii="Calibri" w:hAnsi="Calibri" w:eastAsia="宋体" w:cs="Times New Roman"/>
      <w:b/>
      <w:sz w:val="32"/>
      <w:szCs w:val="32"/>
    </w:rPr>
  </w:style>
  <w:style w:type="paragraph" w:customStyle="1" w:styleId="330">
    <w:name w:val="表格标题"/>
    <w:basedOn w:val="1"/>
    <w:qFormat/>
    <w:uiPriority w:val="0"/>
    <w:pPr>
      <w:spacing w:line="440" w:lineRule="exact"/>
      <w:jc w:val="center"/>
    </w:pPr>
    <w:rPr>
      <w:rFonts w:ascii="Calibri" w:hAnsi="Calibri" w:eastAsia="宋体" w:cs="Times New Roman"/>
      <w:szCs w:val="24"/>
    </w:rPr>
  </w:style>
  <w:style w:type="paragraph" w:customStyle="1" w:styleId="331">
    <w:name w:val="公式"/>
    <w:basedOn w:val="1"/>
    <w:qFormat/>
    <w:uiPriority w:val="0"/>
    <w:pPr>
      <w:spacing w:line="360" w:lineRule="auto"/>
      <w:jc w:val="center"/>
    </w:pPr>
    <w:rPr>
      <w:rFonts w:ascii="Times New Roman" w:hAnsi="Times New Roman" w:eastAsia="宋体" w:cs="Times New Roman"/>
      <w:sz w:val="24"/>
      <w:szCs w:val="24"/>
    </w:rPr>
  </w:style>
  <w:style w:type="paragraph" w:customStyle="1" w:styleId="332">
    <w:name w:val="公式说明1"/>
    <w:basedOn w:val="1"/>
    <w:qFormat/>
    <w:uiPriority w:val="0"/>
    <w:pPr>
      <w:spacing w:line="360" w:lineRule="auto"/>
      <w:ind w:left="200" w:leftChars="200"/>
      <w:textAlignment w:val="center"/>
    </w:pPr>
    <w:rPr>
      <w:rFonts w:ascii="Calibri" w:hAnsi="Calibri" w:eastAsia="宋体" w:cs="Times New Roman"/>
      <w:szCs w:val="24"/>
    </w:rPr>
  </w:style>
  <w:style w:type="paragraph" w:customStyle="1" w:styleId="333">
    <w:name w:val="内标题2"/>
    <w:basedOn w:val="329"/>
    <w:qFormat/>
    <w:uiPriority w:val="0"/>
    <w:pPr>
      <w:outlineLvl w:val="9"/>
    </w:pPr>
  </w:style>
  <w:style w:type="paragraph" w:customStyle="1" w:styleId="334">
    <w:name w:val="修订1"/>
    <w:hidden/>
    <w:semiHidden/>
    <w:qFormat/>
    <w:uiPriority w:val="99"/>
    <w:rPr>
      <w:rFonts w:ascii="Calibri" w:hAnsi="Calibri" w:eastAsia="宋体" w:cs="Times New Roman"/>
      <w:kern w:val="2"/>
      <w:sz w:val="21"/>
      <w:szCs w:val="24"/>
      <w:lang w:val="en-US" w:eastAsia="zh-CN" w:bidi="ar-SA"/>
    </w:rPr>
  </w:style>
  <w:style w:type="paragraph" w:customStyle="1" w:styleId="335">
    <w:name w:val="标题无目录"/>
    <w:basedOn w:val="1"/>
    <w:link w:val="336"/>
    <w:qFormat/>
    <w:uiPriority w:val="0"/>
    <w:pPr>
      <w:snapToGrid w:val="0"/>
      <w:spacing w:after="50" w:afterLines="50" w:line="300" w:lineRule="auto"/>
      <w:jc w:val="center"/>
    </w:pPr>
    <w:rPr>
      <w:rFonts w:ascii="仿宋" w:hAnsi="仿宋" w:eastAsia="仿宋" w:cs="Times New Roman"/>
      <w:b/>
      <w:kern w:val="0"/>
      <w:sz w:val="28"/>
      <w:szCs w:val="21"/>
    </w:rPr>
  </w:style>
  <w:style w:type="character" w:customStyle="1" w:styleId="336">
    <w:name w:val="标题无目录 字符"/>
    <w:link w:val="335"/>
    <w:qFormat/>
    <w:uiPriority w:val="0"/>
    <w:rPr>
      <w:rFonts w:ascii="仿宋" w:hAnsi="仿宋" w:eastAsia="仿宋" w:cs="Times New Roman"/>
      <w:b/>
      <w:kern w:val="0"/>
      <w:sz w:val="28"/>
      <w:szCs w:val="21"/>
    </w:rPr>
  </w:style>
  <w:style w:type="character" w:customStyle="1" w:styleId="337">
    <w:name w:val="题注 字符"/>
    <w:link w:val="15"/>
    <w:qFormat/>
    <w:uiPriority w:val="99"/>
    <w:rPr>
      <w:rFonts w:ascii="Calibri Light" w:hAnsi="Calibri Light" w:eastAsia="黑体" w:cs="Times New Roman"/>
      <w:kern w:val="0"/>
      <w:szCs w:val="20"/>
    </w:rPr>
  </w:style>
  <w:style w:type="paragraph" w:customStyle="1" w:styleId="338">
    <w:name w:val="款"/>
    <w:basedOn w:val="326"/>
    <w:qFormat/>
    <w:uiPriority w:val="0"/>
    <w:pPr>
      <w:ind w:firstLine="200" w:firstLineChars="200"/>
    </w:pPr>
  </w:style>
  <w:style w:type="paragraph" w:customStyle="1" w:styleId="339">
    <w:name w:val="说明"/>
    <w:basedOn w:val="1"/>
    <w:qFormat/>
    <w:uiPriority w:val="1"/>
    <w:pPr>
      <w:jc w:val="left"/>
      <w:textAlignment w:val="center"/>
    </w:pPr>
    <w:rPr>
      <w:rFonts w:ascii="楷体" w:hAnsi="楷体" w:eastAsia="楷体" w:cs="Times New Roman"/>
    </w:rPr>
  </w:style>
  <w:style w:type="paragraph" w:customStyle="1" w:styleId="340">
    <w:name w:val="修订2"/>
    <w:hidden/>
    <w:semiHidden/>
    <w:qFormat/>
    <w:uiPriority w:val="99"/>
    <w:rPr>
      <w:rFonts w:ascii="Calibri" w:hAnsi="Calibri" w:eastAsia="宋体" w:cs="Times New Roman"/>
      <w:kern w:val="2"/>
      <w:sz w:val="21"/>
      <w:szCs w:val="24"/>
      <w:lang w:val="en-US" w:eastAsia="zh-CN" w:bidi="ar-SA"/>
    </w:rPr>
  </w:style>
  <w:style w:type="paragraph" w:customStyle="1" w:styleId="341">
    <w:name w:val="条文标题"/>
    <w:basedOn w:val="1"/>
    <w:link w:val="342"/>
    <w:qFormat/>
    <w:uiPriority w:val="1"/>
    <w:pPr>
      <w:spacing w:line="440" w:lineRule="exact"/>
      <w:jc w:val="center"/>
      <w:outlineLvl w:val="0"/>
    </w:pPr>
    <w:rPr>
      <w:rFonts w:ascii="Times New Roman" w:hAnsi="Times New Roman" w:eastAsia="宋体" w:cs="Times New Roman"/>
      <w:b/>
    </w:rPr>
  </w:style>
  <w:style w:type="character" w:customStyle="1" w:styleId="342">
    <w:name w:val="条文标题 字符"/>
    <w:link w:val="341"/>
    <w:qFormat/>
    <w:uiPriority w:val="1"/>
    <w:rPr>
      <w:rFonts w:ascii="Times New Roman" w:hAnsi="Times New Roman" w:eastAsia="宋体" w:cs="Times New Roman"/>
      <w:b/>
    </w:rPr>
  </w:style>
  <w:style w:type="paragraph" w:customStyle="1" w:styleId="343">
    <w:name w:val="标题 01"/>
    <w:basedOn w:val="2"/>
    <w:link w:val="344"/>
    <w:qFormat/>
    <w:uiPriority w:val="0"/>
    <w:pPr>
      <w:tabs>
        <w:tab w:val="left" w:pos="1620"/>
        <w:tab w:val="clear" w:pos="547"/>
      </w:tabs>
      <w:adjustRightInd w:val="0"/>
      <w:snapToGrid w:val="0"/>
      <w:spacing w:before="240" w:beforeLines="50" w:after="240" w:afterLines="0" w:line="240" w:lineRule="auto"/>
      <w:ind w:left="1620" w:leftChars="600" w:hanging="360" w:hangingChars="200"/>
      <w:jc w:val="both"/>
    </w:pPr>
    <w:rPr>
      <w:rFonts w:ascii="宋体" w:hAnsi="宋体" w:eastAsia="黑体"/>
      <w:szCs w:val="32"/>
      <w:lang w:val="zh-CN"/>
    </w:rPr>
  </w:style>
  <w:style w:type="character" w:customStyle="1" w:styleId="344">
    <w:name w:val="标题 01 Char"/>
    <w:link w:val="343"/>
    <w:qFormat/>
    <w:locked/>
    <w:uiPriority w:val="0"/>
    <w:rPr>
      <w:rFonts w:ascii="宋体" w:hAnsi="宋体" w:eastAsia="黑体" w:cs="Times New Roman"/>
      <w:b/>
      <w:bCs/>
      <w:kern w:val="44"/>
      <w:sz w:val="28"/>
      <w:szCs w:val="32"/>
      <w:lang w:val="zh-CN"/>
    </w:rPr>
  </w:style>
  <w:style w:type="paragraph" w:customStyle="1" w:styleId="345">
    <w:name w:val="标题02"/>
    <w:basedOn w:val="3"/>
    <w:qFormat/>
    <w:uiPriority w:val="0"/>
    <w:pPr>
      <w:numPr>
        <w:ilvl w:val="1"/>
        <w:numId w:val="2"/>
      </w:numPr>
      <w:adjustRightInd w:val="0"/>
      <w:snapToGrid w:val="0"/>
      <w:spacing w:before="120" w:beforeLines="50" w:after="120" w:line="240" w:lineRule="auto"/>
      <w:ind w:right="-51" w:firstLine="0"/>
    </w:pPr>
    <w:rPr>
      <w:rFonts w:ascii="宋体"/>
      <w:bCs/>
      <w:kern w:val="0"/>
      <w:szCs w:val="30"/>
      <w:lang w:val="zh-CN"/>
    </w:rPr>
  </w:style>
  <w:style w:type="paragraph" w:customStyle="1" w:styleId="346">
    <w:name w:val="标题03"/>
    <w:basedOn w:val="4"/>
    <w:qFormat/>
    <w:uiPriority w:val="0"/>
    <w:pPr>
      <w:numPr>
        <w:ilvl w:val="2"/>
        <w:numId w:val="2"/>
      </w:numPr>
      <w:tabs>
        <w:tab w:val="clear" w:pos="720"/>
      </w:tabs>
      <w:snapToGrid w:val="0"/>
      <w:spacing w:before="120" w:beforeLines="50" w:after="120"/>
      <w:ind w:right="-51"/>
      <w:textAlignment w:val="auto"/>
    </w:pPr>
    <w:rPr>
      <w:rFonts w:ascii="宋体" w:hAnsi="宋体"/>
      <w:bCs/>
      <w:sz w:val="24"/>
      <w:szCs w:val="28"/>
      <w:lang w:val="zh-CN"/>
    </w:rPr>
  </w:style>
  <w:style w:type="paragraph" w:customStyle="1" w:styleId="347">
    <w:name w:val="标题04"/>
    <w:basedOn w:val="5"/>
    <w:link w:val="348"/>
    <w:qFormat/>
    <w:uiPriority w:val="0"/>
    <w:pPr>
      <w:numPr>
        <w:numId w:val="2"/>
      </w:numPr>
      <w:snapToGrid w:val="0"/>
      <w:spacing w:beforeLines="50" w:after="120"/>
      <w:ind w:right="-51"/>
      <w:textAlignment w:val="auto"/>
    </w:pPr>
    <w:rPr>
      <w:rFonts w:ascii="黑体" w:hAnsi="宋体"/>
      <w:b/>
      <w:bCs/>
      <w:sz w:val="24"/>
      <w:szCs w:val="24"/>
      <w:lang w:val="zh-CN"/>
    </w:rPr>
  </w:style>
  <w:style w:type="character" w:customStyle="1" w:styleId="348">
    <w:name w:val="标题04 Char"/>
    <w:link w:val="347"/>
    <w:qFormat/>
    <w:locked/>
    <w:uiPriority w:val="0"/>
    <w:rPr>
      <w:rFonts w:ascii="黑体" w:hAnsi="宋体" w:eastAsia="宋体" w:cs="Times New Roman"/>
      <w:b/>
      <w:bCs/>
      <w:kern w:val="0"/>
      <w:sz w:val="24"/>
      <w:szCs w:val="24"/>
      <w:lang w:val="zh-CN"/>
    </w:rPr>
  </w:style>
  <w:style w:type="paragraph" w:customStyle="1" w:styleId="349">
    <w:name w:val="图表N4"/>
    <w:basedOn w:val="1"/>
    <w:next w:val="1"/>
    <w:qFormat/>
    <w:uiPriority w:val="6"/>
    <w:pPr>
      <w:adjustRightInd w:val="0"/>
      <w:snapToGrid w:val="0"/>
      <w:jc w:val="center"/>
    </w:pPr>
    <w:rPr>
      <w:rFonts w:ascii="仿宋_GB2312" w:hAnsi="Calibri" w:eastAsia="宋体" w:cs="Times New Roman"/>
    </w:rPr>
  </w:style>
  <w:style w:type="paragraph" w:customStyle="1" w:styleId="350">
    <w:name w:val="图表N11"/>
    <w:basedOn w:val="1"/>
    <w:next w:val="1"/>
    <w:link w:val="355"/>
    <w:qFormat/>
    <w:uiPriority w:val="10"/>
    <w:pPr>
      <w:snapToGrid w:val="0"/>
      <w:jc w:val="center"/>
    </w:pPr>
    <w:rPr>
      <w:rFonts w:ascii="Calibri" w:hAnsi="Calibri" w:eastAsia="仿宋_GB2312" w:cs="Times New Roman"/>
      <w:szCs w:val="21"/>
    </w:rPr>
  </w:style>
  <w:style w:type="paragraph" w:customStyle="1" w:styleId="351">
    <w:name w:val="项N8"/>
    <w:basedOn w:val="13"/>
    <w:link w:val="352"/>
    <w:qFormat/>
    <w:uiPriority w:val="0"/>
    <w:pPr>
      <w:spacing w:line="300" w:lineRule="auto"/>
      <w:ind w:left="0"/>
    </w:pPr>
    <w:rPr>
      <w:rFonts w:eastAsia="仿宋_GB2312"/>
      <w:sz w:val="24"/>
      <w:szCs w:val="21"/>
    </w:rPr>
  </w:style>
  <w:style w:type="character" w:customStyle="1" w:styleId="352">
    <w:name w:val="项N8 Char"/>
    <w:link w:val="351"/>
    <w:qFormat/>
    <w:uiPriority w:val="0"/>
    <w:rPr>
      <w:rFonts w:ascii="Calibri" w:hAnsi="Calibri" w:eastAsia="仿宋_GB2312" w:cs="Times New Roman"/>
      <w:sz w:val="24"/>
      <w:szCs w:val="21"/>
    </w:rPr>
  </w:style>
  <w:style w:type="paragraph" w:customStyle="1" w:styleId="353">
    <w:name w:val="题注N12"/>
    <w:basedOn w:val="15"/>
    <w:next w:val="1"/>
    <w:link w:val="354"/>
    <w:qFormat/>
    <w:uiPriority w:val="7"/>
    <w:pPr>
      <w:snapToGrid/>
    </w:pPr>
    <w:rPr>
      <w:rFonts w:ascii="Times New Roman" w:hAnsi="Times New Roman" w:eastAsia="宋体"/>
    </w:rPr>
  </w:style>
  <w:style w:type="character" w:customStyle="1" w:styleId="354">
    <w:name w:val="题注N12 Char"/>
    <w:link w:val="353"/>
    <w:qFormat/>
    <w:uiPriority w:val="7"/>
    <w:rPr>
      <w:rFonts w:ascii="Times New Roman" w:hAnsi="Times New Roman" w:eastAsia="宋体" w:cs="Times New Roman"/>
      <w:kern w:val="0"/>
      <w:szCs w:val="20"/>
    </w:rPr>
  </w:style>
  <w:style w:type="character" w:customStyle="1" w:styleId="355">
    <w:name w:val="图表N11 Char"/>
    <w:link w:val="350"/>
    <w:qFormat/>
    <w:uiPriority w:val="10"/>
    <w:rPr>
      <w:rFonts w:ascii="Calibri" w:hAnsi="Calibri" w:eastAsia="仿宋_GB2312" w:cs="Times New Roman"/>
      <w:szCs w:val="21"/>
    </w:rPr>
  </w:style>
  <w:style w:type="paragraph" w:customStyle="1" w:styleId="356">
    <w:name w:val="说明N10"/>
    <w:basedOn w:val="1"/>
    <w:next w:val="1"/>
    <w:qFormat/>
    <w:uiPriority w:val="9"/>
    <w:pPr>
      <w:ind w:firstLine="480"/>
    </w:pPr>
    <w:rPr>
      <w:rFonts w:ascii="楷体_GB2312" w:hAnsi="Calibri" w:eastAsia="楷体_GB2312" w:cs="Times New Roman"/>
      <w:szCs w:val="21"/>
    </w:rPr>
  </w:style>
  <w:style w:type="paragraph" w:customStyle="1" w:styleId="357">
    <w:name w:val="修订3"/>
    <w:hidden/>
    <w:semiHidden/>
    <w:qFormat/>
    <w:uiPriority w:val="99"/>
    <w:rPr>
      <w:rFonts w:ascii="Calibri" w:hAnsi="Calibri" w:eastAsia="宋体" w:cs="Times New Roman"/>
      <w:kern w:val="2"/>
      <w:sz w:val="21"/>
      <w:szCs w:val="24"/>
      <w:lang w:val="en-US" w:eastAsia="zh-CN" w:bidi="ar-SA"/>
    </w:rPr>
  </w:style>
  <w:style w:type="paragraph" w:customStyle="1" w:styleId="358">
    <w:name w:val="标准文件_二级条标题"/>
    <w:next w:val="1"/>
    <w:qFormat/>
    <w:uiPriority w:val="0"/>
    <w:pPr>
      <w:widowControl w:val="0"/>
      <w:numPr>
        <w:ilvl w:val="3"/>
        <w:numId w:val="3"/>
      </w:numPr>
      <w:spacing w:before="50" w:beforeLines="50" w:after="50" w:afterLines="50" w:line="259" w:lineRule="auto"/>
      <w:ind w:left="3687"/>
      <w:jc w:val="both"/>
      <w:outlineLvl w:val="2"/>
    </w:pPr>
    <w:rPr>
      <w:rFonts w:ascii="黑体" w:hAnsi="Times New Roman" w:eastAsia="黑体" w:cs="Times New Roman"/>
      <w:sz w:val="21"/>
      <w:lang w:val="en-US" w:eastAsia="zh-CN" w:bidi="ar-SA"/>
    </w:rPr>
  </w:style>
  <w:style w:type="paragraph" w:customStyle="1" w:styleId="359">
    <w:name w:val="标准文件_三级条标题"/>
    <w:basedOn w:val="358"/>
    <w:next w:val="1"/>
    <w:qFormat/>
    <w:uiPriority w:val="0"/>
    <w:pPr>
      <w:widowControl/>
      <w:numPr>
        <w:ilvl w:val="4"/>
      </w:numPr>
      <w:outlineLvl w:val="3"/>
    </w:pPr>
  </w:style>
  <w:style w:type="paragraph" w:customStyle="1" w:styleId="360">
    <w:name w:val="标准文件_四级条标题"/>
    <w:next w:val="1"/>
    <w:qFormat/>
    <w:uiPriority w:val="0"/>
    <w:pPr>
      <w:widowControl w:val="0"/>
      <w:numPr>
        <w:ilvl w:val="5"/>
        <w:numId w:val="3"/>
      </w:numPr>
      <w:spacing w:before="50" w:beforeLines="50" w:after="50" w:afterLines="50" w:line="259" w:lineRule="auto"/>
      <w:jc w:val="both"/>
      <w:outlineLvl w:val="4"/>
    </w:pPr>
    <w:rPr>
      <w:rFonts w:ascii="黑体" w:hAnsi="Times New Roman" w:eastAsia="黑体" w:cs="Times New Roman"/>
      <w:sz w:val="21"/>
      <w:lang w:val="en-US" w:eastAsia="zh-CN" w:bidi="ar-SA"/>
    </w:rPr>
  </w:style>
  <w:style w:type="paragraph" w:customStyle="1" w:styleId="361">
    <w:name w:val="标准文件_五级条标题"/>
    <w:next w:val="1"/>
    <w:qFormat/>
    <w:uiPriority w:val="0"/>
    <w:pPr>
      <w:widowControl w:val="0"/>
      <w:numPr>
        <w:ilvl w:val="6"/>
        <w:numId w:val="3"/>
      </w:numPr>
      <w:spacing w:before="50" w:beforeLines="50" w:after="50" w:afterLines="50" w:line="259" w:lineRule="auto"/>
      <w:jc w:val="both"/>
      <w:outlineLvl w:val="5"/>
    </w:pPr>
    <w:rPr>
      <w:rFonts w:ascii="黑体" w:hAnsi="Times New Roman" w:eastAsia="黑体" w:cs="Times New Roman"/>
      <w:sz w:val="21"/>
      <w:lang w:val="en-US" w:eastAsia="zh-CN" w:bidi="ar-SA"/>
    </w:rPr>
  </w:style>
  <w:style w:type="paragraph" w:customStyle="1" w:styleId="362">
    <w:name w:val="标准文件_章标题"/>
    <w:next w:val="1"/>
    <w:qFormat/>
    <w:uiPriority w:val="0"/>
    <w:pPr>
      <w:numPr>
        <w:ilvl w:val="1"/>
        <w:numId w:val="3"/>
      </w:numPr>
      <w:spacing w:before="100" w:beforeLines="100" w:after="100" w:afterLines="100" w:line="259" w:lineRule="auto"/>
      <w:ind w:left="0"/>
      <w:jc w:val="both"/>
      <w:outlineLvl w:val="0"/>
    </w:pPr>
    <w:rPr>
      <w:rFonts w:ascii="黑体" w:hAnsi="Times New Roman" w:eastAsia="黑体" w:cs="Times New Roman"/>
      <w:sz w:val="21"/>
      <w:lang w:val="en-US" w:eastAsia="zh-CN" w:bidi="ar-SA"/>
    </w:rPr>
  </w:style>
  <w:style w:type="paragraph" w:customStyle="1" w:styleId="363">
    <w:name w:val="标准文件_一级条标题"/>
    <w:basedOn w:val="362"/>
    <w:next w:val="1"/>
    <w:qFormat/>
    <w:uiPriority w:val="0"/>
    <w:pPr>
      <w:numPr>
        <w:ilvl w:val="2"/>
      </w:numPr>
      <w:spacing w:before="50" w:beforeLines="50" w:after="50" w:afterLines="50"/>
      <w:ind w:left="284"/>
      <w:outlineLvl w:val="1"/>
    </w:pPr>
  </w:style>
  <w:style w:type="paragraph" w:customStyle="1" w:styleId="364">
    <w:name w:val="前言标题"/>
    <w:next w:val="1"/>
    <w:qFormat/>
    <w:uiPriority w:val="0"/>
    <w:pPr>
      <w:numPr>
        <w:ilvl w:val="0"/>
        <w:numId w:val="3"/>
      </w:numPr>
      <w:shd w:val="clear" w:color="FFFFFF" w:fill="FFFFFF"/>
      <w:spacing w:before="540" w:after="600" w:line="259" w:lineRule="auto"/>
      <w:jc w:val="center"/>
      <w:outlineLvl w:val="0"/>
    </w:pPr>
    <w:rPr>
      <w:rFonts w:ascii="黑体" w:hAnsi="Times New Roman" w:eastAsia="黑体" w:cs="Times New Roman"/>
      <w:sz w:val="32"/>
      <w:lang w:val="en-US" w:eastAsia="zh-CN" w:bidi="ar-SA"/>
    </w:rPr>
  </w:style>
  <w:style w:type="paragraph" w:customStyle="1" w:styleId="365">
    <w:name w:val="标准文件_二级无标题"/>
    <w:basedOn w:val="358"/>
    <w:qFormat/>
    <w:uiPriority w:val="0"/>
    <w:pPr>
      <w:spacing w:before="0" w:beforeLines="0" w:after="0" w:afterLines="0"/>
      <w:ind w:left="7089"/>
      <w:outlineLvl w:val="9"/>
    </w:pPr>
    <w:rPr>
      <w:rFonts w:ascii="宋体" w:eastAsia="宋体"/>
    </w:rPr>
  </w:style>
  <w:style w:type="paragraph" w:customStyle="1" w:styleId="366">
    <w:name w:val="内标题3"/>
    <w:basedOn w:val="333"/>
    <w:qFormat/>
    <w:uiPriority w:val="0"/>
    <w:pPr>
      <w:outlineLvl w:val="3"/>
    </w:pPr>
    <w:rPr>
      <w:sz w:val="28"/>
    </w:rPr>
  </w:style>
  <w:style w:type="paragraph" w:customStyle="1" w:styleId="367">
    <w:name w:val="文字"/>
    <w:basedOn w:val="1"/>
    <w:link w:val="368"/>
    <w:qFormat/>
    <w:uiPriority w:val="0"/>
    <w:pPr>
      <w:snapToGrid w:val="0"/>
      <w:spacing w:after="50" w:afterLines="50" w:line="300" w:lineRule="auto"/>
      <w:ind w:firstLine="200" w:firstLineChars="200"/>
    </w:pPr>
    <w:rPr>
      <w:rFonts w:ascii="仿宋" w:hAnsi="仿宋" w:eastAsia="仿宋" w:cs="Times New Roman"/>
      <w:kern w:val="0"/>
      <w:sz w:val="24"/>
      <w:szCs w:val="21"/>
    </w:rPr>
  </w:style>
  <w:style w:type="character" w:customStyle="1" w:styleId="368">
    <w:name w:val="文字 Char"/>
    <w:link w:val="367"/>
    <w:qFormat/>
    <w:uiPriority w:val="0"/>
    <w:rPr>
      <w:rFonts w:ascii="仿宋" w:hAnsi="仿宋" w:eastAsia="仿宋" w:cs="Times New Roman"/>
      <w:kern w:val="0"/>
      <w:sz w:val="24"/>
      <w:szCs w:val="21"/>
    </w:rPr>
  </w:style>
  <w:style w:type="paragraph" w:customStyle="1" w:styleId="369">
    <w:name w:val="文字N9"/>
    <w:basedOn w:val="1"/>
    <w:link w:val="370"/>
    <w:qFormat/>
    <w:uiPriority w:val="1"/>
    <w:pPr>
      <w:spacing w:line="440" w:lineRule="exact"/>
      <w:ind w:firstLine="200" w:firstLineChars="200"/>
    </w:pPr>
    <w:rPr>
      <w:rFonts w:ascii="Times New Roman" w:hAnsi="Times New Roman" w:eastAsia="宋体" w:cs="Times New Roman"/>
      <w:sz w:val="24"/>
    </w:rPr>
  </w:style>
  <w:style w:type="character" w:customStyle="1" w:styleId="370">
    <w:name w:val="文字N9 Char"/>
    <w:link w:val="369"/>
    <w:qFormat/>
    <w:uiPriority w:val="1"/>
    <w:rPr>
      <w:rFonts w:ascii="Times New Roman" w:hAnsi="Times New Roman" w:eastAsia="宋体" w:cs="Times New Roman"/>
      <w:sz w:val="24"/>
    </w:rPr>
  </w:style>
  <w:style w:type="paragraph" w:customStyle="1" w:styleId="371">
    <w:name w:val="标准文件_附录表标题"/>
    <w:next w:val="1"/>
    <w:qFormat/>
    <w:uiPriority w:val="0"/>
    <w:pPr>
      <w:numPr>
        <w:ilvl w:val="1"/>
        <w:numId w:val="4"/>
      </w:numPr>
      <w:adjustRightInd w:val="0"/>
      <w:snapToGrid w:val="0"/>
      <w:spacing w:before="50" w:beforeLines="50" w:after="50" w:afterLines="50" w:line="259" w:lineRule="auto"/>
      <w:jc w:val="center"/>
      <w:textAlignment w:val="baseline"/>
    </w:pPr>
    <w:rPr>
      <w:rFonts w:ascii="黑体" w:hAnsi="Times New Roman" w:eastAsia="黑体" w:cs="Times New Roman"/>
      <w:kern w:val="21"/>
      <w:sz w:val="21"/>
      <w:lang w:val="en-US" w:eastAsia="zh-CN" w:bidi="ar-SA"/>
    </w:rPr>
  </w:style>
  <w:style w:type="paragraph" w:customStyle="1" w:styleId="372">
    <w:name w:val="标准文件_附录表标号"/>
    <w:basedOn w:val="1"/>
    <w:next w:val="1"/>
    <w:qFormat/>
    <w:uiPriority w:val="0"/>
    <w:pPr>
      <w:widowControl/>
      <w:numPr>
        <w:ilvl w:val="0"/>
        <w:numId w:val="4"/>
      </w:numPr>
      <w:autoSpaceDE w:val="0"/>
      <w:autoSpaceDN w:val="0"/>
      <w:spacing w:after="160" w:line="14" w:lineRule="exact"/>
      <w:ind w:firstLine="0"/>
      <w:jc w:val="center"/>
    </w:pPr>
    <w:rPr>
      <w:rFonts w:ascii="宋体" w:hAnsi="Times New Roman" w:eastAsia="黑体" w:cs="Times New Roman"/>
      <w:vanish/>
      <w:kern w:val="0"/>
      <w:sz w:val="2"/>
      <w:szCs w:val="20"/>
    </w:rPr>
  </w:style>
  <w:style w:type="paragraph" w:customStyle="1" w:styleId="373">
    <w:name w:val="公式带编号"/>
    <w:basedOn w:val="331"/>
    <w:qFormat/>
    <w:uiPriority w:val="0"/>
    <w:pPr>
      <w:tabs>
        <w:tab w:val="center" w:pos="4172"/>
        <w:tab w:val="right" w:pos="8287"/>
      </w:tabs>
    </w:pPr>
  </w:style>
  <w:style w:type="paragraph" w:customStyle="1" w:styleId="374">
    <w:name w:val="Revision1"/>
    <w:hidden/>
    <w:semiHidden/>
    <w:qFormat/>
    <w:uiPriority w:val="99"/>
    <w:rPr>
      <w:rFonts w:ascii="Calibri" w:hAnsi="Calibri" w:eastAsia="宋体" w:cs="Times New Roman"/>
      <w:kern w:val="2"/>
      <w:sz w:val="21"/>
      <w:szCs w:val="24"/>
      <w:lang w:val="en-US" w:eastAsia="zh-CN" w:bidi="ar-SA"/>
    </w:rPr>
  </w:style>
  <w:style w:type="character" w:customStyle="1" w:styleId="375">
    <w:name w:val="尾注文本 字符"/>
    <w:semiHidden/>
    <w:qFormat/>
    <w:uiPriority w:val="99"/>
    <w:rPr>
      <w:rFonts w:ascii="Calibri" w:hAnsi="Calibri" w:eastAsia="宋体" w:cs="Times New Roman"/>
      <w:kern w:val="2"/>
      <w:sz w:val="21"/>
      <w:szCs w:val="24"/>
    </w:rPr>
  </w:style>
  <w:style w:type="character" w:customStyle="1" w:styleId="376">
    <w:name w:val="页眉 字符"/>
    <w:basedOn w:val="47"/>
    <w:qFormat/>
    <w:uiPriority w:val="99"/>
  </w:style>
  <w:style w:type="paragraph" w:customStyle="1" w:styleId="377">
    <w:name w:val="列出段落21"/>
    <w:basedOn w:val="1"/>
    <w:qFormat/>
    <w:uiPriority w:val="34"/>
    <w:pPr>
      <w:ind w:firstLine="420" w:firstLineChars="200"/>
    </w:pPr>
    <w:rPr>
      <w:rFonts w:ascii="Times New Roman" w:hAnsi="Times New Roman" w:eastAsia="宋体" w:cs="Times New Roman"/>
      <w:szCs w:val="20"/>
    </w:rPr>
  </w:style>
  <w:style w:type="character" w:customStyle="1" w:styleId="378">
    <w:name w:val="批注文字 字符1"/>
    <w:semiHidden/>
    <w:qFormat/>
    <w:locked/>
    <w:uiPriority w:val="99"/>
    <w:rPr>
      <w:rFonts w:ascii="Calibri" w:hAnsi="Calibri"/>
      <w:kern w:val="2"/>
      <w:sz w:val="21"/>
      <w:szCs w:val="24"/>
    </w:rPr>
  </w:style>
  <w:style w:type="character" w:styleId="379">
    <w:name w:val="Placeholder Text"/>
    <w:basedOn w:val="47"/>
    <w:unhideWhenUsed/>
    <w:qFormat/>
    <w:uiPriority w:val="99"/>
    <w:rPr>
      <w:color w:val="808080"/>
    </w:rPr>
  </w:style>
  <w:style w:type="table" w:customStyle="1" w:styleId="380">
    <w:name w:val="Table Grid1"/>
    <w:basedOn w:val="45"/>
    <w:qFormat/>
    <w:uiPriority w:val="39"/>
    <w:rPr>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81">
    <w:name w:val="修订4"/>
    <w:hidden/>
    <w:unhideWhenUsed/>
    <w:qFormat/>
    <w:uiPriority w:val="99"/>
    <w:rPr>
      <w:rFonts w:asciiTheme="minorHAnsi" w:hAnsiTheme="minorHAnsi" w:eastAsiaTheme="minorEastAsia" w:cstheme="minorBidi"/>
      <w:kern w:val="2"/>
      <w:sz w:val="21"/>
      <w:szCs w:val="22"/>
      <w:lang w:val="en-US" w:eastAsia="zh-CN" w:bidi="ar-SA"/>
    </w:rPr>
  </w:style>
  <w:style w:type="table" w:customStyle="1" w:styleId="382">
    <w:name w:val="Table Grid2"/>
    <w:basedOn w:val="45"/>
    <w:qFormat/>
    <w:uiPriority w:val="39"/>
    <w:rPr>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83">
    <w:name w:val="图名 Char"/>
    <w:link w:val="384"/>
    <w:qFormat/>
    <w:uiPriority w:val="0"/>
    <w:rPr>
      <w:rFonts w:hint="eastAsia" w:ascii="Times New Roman" w:hAnsi="Times New Roman" w:eastAsia="黑体" w:cs="Times New Roman"/>
      <w:kern w:val="2"/>
      <w:sz w:val="21"/>
      <w:szCs w:val="21"/>
      <w:lang w:val="en-US" w:eastAsia="zh-CN" w:bidi="ar-SA"/>
    </w:rPr>
  </w:style>
  <w:style w:type="paragraph" w:customStyle="1" w:styleId="384">
    <w:name w:val="图名"/>
    <w:link w:val="383"/>
    <w:qFormat/>
    <w:uiPriority w:val="0"/>
    <w:pPr>
      <w:widowControl w:val="0"/>
      <w:jc w:val="center"/>
    </w:pPr>
    <w:rPr>
      <w:rFonts w:hint="eastAsia" w:ascii="Times New Roman" w:hAnsi="Times New Roman" w:eastAsia="黑体" w:cs="Times New Roman"/>
      <w:kern w:val="2"/>
      <w:sz w:val="21"/>
      <w:szCs w:val="21"/>
      <w:lang w:val="en-US" w:eastAsia="zh-CN" w:bidi="ar-SA"/>
    </w:rPr>
  </w:style>
  <w:style w:type="paragraph" w:customStyle="1" w:styleId="385">
    <w:name w:val="修订5"/>
    <w:hidden/>
    <w:unhideWhenUsed/>
    <w:qFormat/>
    <w:uiPriority w:val="99"/>
    <w:rPr>
      <w:rFonts w:asciiTheme="minorHAnsi" w:hAnsiTheme="minorHAnsi" w:eastAsiaTheme="minorEastAsia" w:cstheme="minorBidi"/>
      <w:kern w:val="2"/>
      <w:sz w:val="21"/>
      <w:szCs w:val="22"/>
      <w:lang w:val="en-US" w:eastAsia="zh-CN" w:bidi="ar-SA"/>
    </w:rPr>
  </w:style>
  <w:style w:type="table" w:customStyle="1" w:styleId="386">
    <w:name w:val="Table Normal1"/>
    <w:basedOn w:val="45"/>
    <w:semiHidden/>
    <w:qFormat/>
    <w:uiPriority w:val="0"/>
  </w:style>
  <w:style w:type="paragraph" w:customStyle="1" w:styleId="387">
    <w:name w:val="Revision2"/>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88">
    <w:name w:val="Revision3"/>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89">
    <w:name w:val="Revision4"/>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90">
    <w:name w:val="修订6"/>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7.bin"/><Relationship Id="rId98" Type="http://schemas.openxmlformats.org/officeDocument/2006/relationships/image" Target="media/image46.wmf"/><Relationship Id="rId97" Type="http://schemas.openxmlformats.org/officeDocument/2006/relationships/oleObject" Target="embeddings/oleObject46.bin"/><Relationship Id="rId96" Type="http://schemas.openxmlformats.org/officeDocument/2006/relationships/image" Target="media/image45.wmf"/><Relationship Id="rId95" Type="http://schemas.openxmlformats.org/officeDocument/2006/relationships/oleObject" Target="embeddings/oleObject45.bin"/><Relationship Id="rId94" Type="http://schemas.openxmlformats.org/officeDocument/2006/relationships/image" Target="media/image44.wmf"/><Relationship Id="rId93" Type="http://schemas.openxmlformats.org/officeDocument/2006/relationships/oleObject" Target="embeddings/oleObject44.bin"/><Relationship Id="rId92" Type="http://schemas.openxmlformats.org/officeDocument/2006/relationships/image" Target="media/image43.wmf"/><Relationship Id="rId91" Type="http://schemas.openxmlformats.org/officeDocument/2006/relationships/oleObject" Target="embeddings/oleObject43.bin"/><Relationship Id="rId90" Type="http://schemas.openxmlformats.org/officeDocument/2006/relationships/image" Target="media/image42.wmf"/><Relationship Id="rId9" Type="http://schemas.openxmlformats.org/officeDocument/2006/relationships/oleObject" Target="embeddings/oleObject2.bin"/><Relationship Id="rId89" Type="http://schemas.openxmlformats.org/officeDocument/2006/relationships/oleObject" Target="embeddings/oleObject42.bin"/><Relationship Id="rId88" Type="http://schemas.openxmlformats.org/officeDocument/2006/relationships/image" Target="media/image41.wmf"/><Relationship Id="rId87" Type="http://schemas.openxmlformats.org/officeDocument/2006/relationships/oleObject" Target="embeddings/oleObject41.bin"/><Relationship Id="rId86" Type="http://schemas.openxmlformats.org/officeDocument/2006/relationships/image" Target="media/image40.wmf"/><Relationship Id="rId85" Type="http://schemas.openxmlformats.org/officeDocument/2006/relationships/oleObject" Target="embeddings/oleObject40.bin"/><Relationship Id="rId84" Type="http://schemas.openxmlformats.org/officeDocument/2006/relationships/image" Target="media/image39.wmf"/><Relationship Id="rId83" Type="http://schemas.openxmlformats.org/officeDocument/2006/relationships/oleObject" Target="embeddings/oleObject39.bin"/><Relationship Id="rId82" Type="http://schemas.openxmlformats.org/officeDocument/2006/relationships/image" Target="media/image38.wmf"/><Relationship Id="rId81" Type="http://schemas.openxmlformats.org/officeDocument/2006/relationships/oleObject" Target="embeddings/oleObject38.bin"/><Relationship Id="rId80" Type="http://schemas.openxmlformats.org/officeDocument/2006/relationships/image" Target="media/image37.wmf"/><Relationship Id="rId8" Type="http://schemas.openxmlformats.org/officeDocument/2006/relationships/image" Target="media/image1.wmf"/><Relationship Id="rId79" Type="http://schemas.openxmlformats.org/officeDocument/2006/relationships/oleObject" Target="embeddings/oleObject37.bin"/><Relationship Id="rId78" Type="http://schemas.openxmlformats.org/officeDocument/2006/relationships/image" Target="media/image36.wmf"/><Relationship Id="rId77" Type="http://schemas.openxmlformats.org/officeDocument/2006/relationships/oleObject" Target="embeddings/oleObject36.bin"/><Relationship Id="rId76" Type="http://schemas.openxmlformats.org/officeDocument/2006/relationships/image" Target="media/image35.wmf"/><Relationship Id="rId75" Type="http://schemas.openxmlformats.org/officeDocument/2006/relationships/oleObject" Target="embeddings/oleObject35.bin"/><Relationship Id="rId74" Type="http://schemas.openxmlformats.org/officeDocument/2006/relationships/image" Target="media/image34.wmf"/><Relationship Id="rId73" Type="http://schemas.openxmlformats.org/officeDocument/2006/relationships/oleObject" Target="embeddings/oleObject34.bin"/><Relationship Id="rId72" Type="http://schemas.openxmlformats.org/officeDocument/2006/relationships/image" Target="media/image33.wmf"/><Relationship Id="rId71" Type="http://schemas.openxmlformats.org/officeDocument/2006/relationships/oleObject" Target="embeddings/oleObject33.bin"/><Relationship Id="rId70" Type="http://schemas.openxmlformats.org/officeDocument/2006/relationships/image" Target="media/image32.wmf"/><Relationship Id="rId7" Type="http://schemas.openxmlformats.org/officeDocument/2006/relationships/oleObject" Target="embeddings/oleObject1.bin"/><Relationship Id="rId69" Type="http://schemas.openxmlformats.org/officeDocument/2006/relationships/oleObject" Target="embeddings/oleObject32.bin"/><Relationship Id="rId68" Type="http://schemas.openxmlformats.org/officeDocument/2006/relationships/image" Target="media/image31.wmf"/><Relationship Id="rId67" Type="http://schemas.openxmlformats.org/officeDocument/2006/relationships/oleObject" Target="embeddings/oleObject31.bin"/><Relationship Id="rId66" Type="http://schemas.openxmlformats.org/officeDocument/2006/relationships/image" Target="media/image30.wmf"/><Relationship Id="rId65" Type="http://schemas.openxmlformats.org/officeDocument/2006/relationships/oleObject" Target="embeddings/oleObject30.bin"/><Relationship Id="rId64" Type="http://schemas.openxmlformats.org/officeDocument/2006/relationships/image" Target="media/image29.wmf"/><Relationship Id="rId63" Type="http://schemas.openxmlformats.org/officeDocument/2006/relationships/oleObject" Target="embeddings/oleObject29.bin"/><Relationship Id="rId62" Type="http://schemas.openxmlformats.org/officeDocument/2006/relationships/image" Target="media/image28.wmf"/><Relationship Id="rId61" Type="http://schemas.openxmlformats.org/officeDocument/2006/relationships/oleObject" Target="embeddings/oleObject28.bin"/><Relationship Id="rId60" Type="http://schemas.openxmlformats.org/officeDocument/2006/relationships/image" Target="media/image27.wmf"/><Relationship Id="rId6" Type="http://schemas.openxmlformats.org/officeDocument/2006/relationships/theme" Target="theme/theme1.xml"/><Relationship Id="rId59" Type="http://schemas.openxmlformats.org/officeDocument/2006/relationships/oleObject" Target="embeddings/oleObject27.bin"/><Relationship Id="rId58" Type="http://schemas.openxmlformats.org/officeDocument/2006/relationships/image" Target="media/image26.wmf"/><Relationship Id="rId57" Type="http://schemas.openxmlformats.org/officeDocument/2006/relationships/oleObject" Target="embeddings/oleObject26.bin"/><Relationship Id="rId56" Type="http://schemas.openxmlformats.org/officeDocument/2006/relationships/image" Target="media/image25.wmf"/><Relationship Id="rId55" Type="http://schemas.openxmlformats.org/officeDocument/2006/relationships/oleObject" Target="embeddings/oleObject25.bin"/><Relationship Id="rId54" Type="http://schemas.openxmlformats.org/officeDocument/2006/relationships/image" Target="media/image24.wmf"/><Relationship Id="rId53" Type="http://schemas.openxmlformats.org/officeDocument/2006/relationships/oleObject" Target="embeddings/oleObject24.bin"/><Relationship Id="rId52" Type="http://schemas.openxmlformats.org/officeDocument/2006/relationships/image" Target="media/image23.wmf"/><Relationship Id="rId51" Type="http://schemas.openxmlformats.org/officeDocument/2006/relationships/oleObject" Target="embeddings/oleObject23.bin"/><Relationship Id="rId50" Type="http://schemas.openxmlformats.org/officeDocument/2006/relationships/image" Target="media/image22.wmf"/><Relationship Id="rId5" Type="http://schemas.openxmlformats.org/officeDocument/2006/relationships/footer" Target="footer3.xml"/><Relationship Id="rId49" Type="http://schemas.openxmlformats.org/officeDocument/2006/relationships/oleObject" Target="embeddings/oleObject22.bin"/><Relationship Id="rId48" Type="http://schemas.openxmlformats.org/officeDocument/2006/relationships/image" Target="media/image21.wmf"/><Relationship Id="rId47" Type="http://schemas.openxmlformats.org/officeDocument/2006/relationships/oleObject" Target="embeddings/oleObject21.bin"/><Relationship Id="rId46" Type="http://schemas.openxmlformats.org/officeDocument/2006/relationships/image" Target="media/image20.wmf"/><Relationship Id="rId45" Type="http://schemas.openxmlformats.org/officeDocument/2006/relationships/oleObject" Target="embeddings/oleObject20.bin"/><Relationship Id="rId44" Type="http://schemas.openxmlformats.org/officeDocument/2006/relationships/image" Target="media/image19.wmf"/><Relationship Id="rId43" Type="http://schemas.openxmlformats.org/officeDocument/2006/relationships/oleObject" Target="embeddings/oleObject19.bin"/><Relationship Id="rId42" Type="http://schemas.openxmlformats.org/officeDocument/2006/relationships/image" Target="media/image18.wmf"/><Relationship Id="rId41" Type="http://schemas.openxmlformats.org/officeDocument/2006/relationships/oleObject" Target="embeddings/oleObject18.bin"/><Relationship Id="rId40" Type="http://schemas.openxmlformats.org/officeDocument/2006/relationships/image" Target="media/image17.wmf"/><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image" Target="media/image16.wmf"/><Relationship Id="rId37" Type="http://schemas.openxmlformats.org/officeDocument/2006/relationships/oleObject" Target="embeddings/oleObject16.bin"/><Relationship Id="rId36" Type="http://schemas.openxmlformats.org/officeDocument/2006/relationships/image" Target="media/image15.wmf"/><Relationship Id="rId35" Type="http://schemas.openxmlformats.org/officeDocument/2006/relationships/oleObject" Target="embeddings/oleObject15.bin"/><Relationship Id="rId34" Type="http://schemas.openxmlformats.org/officeDocument/2006/relationships/image" Target="media/image14.wmf"/><Relationship Id="rId33" Type="http://schemas.openxmlformats.org/officeDocument/2006/relationships/oleObject" Target="embeddings/oleObject14.bin"/><Relationship Id="rId32" Type="http://schemas.openxmlformats.org/officeDocument/2006/relationships/image" Target="media/image13.wmf"/><Relationship Id="rId31" Type="http://schemas.openxmlformats.org/officeDocument/2006/relationships/oleObject" Target="embeddings/oleObject13.bin"/><Relationship Id="rId30" Type="http://schemas.openxmlformats.org/officeDocument/2006/relationships/image" Target="media/image12.w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1.wmf"/><Relationship Id="rId27" Type="http://schemas.openxmlformats.org/officeDocument/2006/relationships/oleObject" Target="embeddings/oleObject11.bin"/><Relationship Id="rId263" Type="http://schemas.openxmlformats.org/officeDocument/2006/relationships/fontTable" Target="fontTable.xml"/><Relationship Id="rId262" Type="http://schemas.openxmlformats.org/officeDocument/2006/relationships/numbering" Target="numbering.xml"/><Relationship Id="rId261" Type="http://schemas.openxmlformats.org/officeDocument/2006/relationships/customXml" Target="../customXml/item1.xml"/><Relationship Id="rId260" Type="http://schemas.openxmlformats.org/officeDocument/2006/relationships/image" Target="media/image132.png"/><Relationship Id="rId26" Type="http://schemas.openxmlformats.org/officeDocument/2006/relationships/image" Target="media/image10.wmf"/><Relationship Id="rId259" Type="http://schemas.openxmlformats.org/officeDocument/2006/relationships/image" Target="media/image131.png"/><Relationship Id="rId258" Type="http://schemas.openxmlformats.org/officeDocument/2006/relationships/image" Target="media/image130.emf"/><Relationship Id="rId257" Type="http://schemas.openxmlformats.org/officeDocument/2006/relationships/oleObject" Target="embeddings/oleObject122.bin"/><Relationship Id="rId256" Type="http://schemas.openxmlformats.org/officeDocument/2006/relationships/image" Target="media/image129.jpeg"/><Relationship Id="rId255" Type="http://schemas.openxmlformats.org/officeDocument/2006/relationships/image" Target="media/image128.jpeg"/><Relationship Id="rId254" Type="http://schemas.microsoft.com/office/2007/relationships/hdphoto" Target="media/image127.wdp"/><Relationship Id="rId253" Type="http://schemas.openxmlformats.org/officeDocument/2006/relationships/image" Target="media/image126.png"/><Relationship Id="rId252" Type="http://schemas.microsoft.com/office/2007/relationships/hdphoto" Target="media/image125.wdp"/><Relationship Id="rId251" Type="http://schemas.openxmlformats.org/officeDocument/2006/relationships/image" Target="media/image124.png"/><Relationship Id="rId250" Type="http://schemas.openxmlformats.org/officeDocument/2006/relationships/image" Target="media/image123.png"/><Relationship Id="rId25" Type="http://schemas.openxmlformats.org/officeDocument/2006/relationships/oleObject" Target="embeddings/oleObject10.bin"/><Relationship Id="rId249" Type="http://schemas.openxmlformats.org/officeDocument/2006/relationships/image" Target="media/image122.png"/><Relationship Id="rId248" Type="http://schemas.openxmlformats.org/officeDocument/2006/relationships/image" Target="media/image121.emf"/><Relationship Id="rId247" Type="http://schemas.openxmlformats.org/officeDocument/2006/relationships/image" Target="media/image120.emf"/><Relationship Id="rId246" Type="http://schemas.openxmlformats.org/officeDocument/2006/relationships/oleObject" Target="embeddings/oleObject121.bin"/><Relationship Id="rId245" Type="http://schemas.openxmlformats.org/officeDocument/2006/relationships/oleObject" Target="embeddings/oleObject120.bin"/><Relationship Id="rId244" Type="http://schemas.openxmlformats.org/officeDocument/2006/relationships/image" Target="media/image119.wmf"/><Relationship Id="rId243" Type="http://schemas.openxmlformats.org/officeDocument/2006/relationships/oleObject" Target="embeddings/oleObject119.bin"/><Relationship Id="rId242" Type="http://schemas.openxmlformats.org/officeDocument/2006/relationships/image" Target="media/image118.wmf"/><Relationship Id="rId241" Type="http://schemas.openxmlformats.org/officeDocument/2006/relationships/oleObject" Target="embeddings/oleObject118.bin"/><Relationship Id="rId240" Type="http://schemas.openxmlformats.org/officeDocument/2006/relationships/image" Target="media/image117.wmf"/><Relationship Id="rId24" Type="http://schemas.openxmlformats.org/officeDocument/2006/relationships/image" Target="media/image9.wmf"/><Relationship Id="rId239" Type="http://schemas.openxmlformats.org/officeDocument/2006/relationships/oleObject" Target="embeddings/oleObject117.bin"/><Relationship Id="rId238" Type="http://schemas.openxmlformats.org/officeDocument/2006/relationships/image" Target="media/image116.wmf"/><Relationship Id="rId237" Type="http://schemas.openxmlformats.org/officeDocument/2006/relationships/oleObject" Target="embeddings/oleObject116.bin"/><Relationship Id="rId236" Type="http://schemas.openxmlformats.org/officeDocument/2006/relationships/image" Target="media/image115.wmf"/><Relationship Id="rId235" Type="http://schemas.openxmlformats.org/officeDocument/2006/relationships/oleObject" Target="embeddings/oleObject115.bin"/><Relationship Id="rId234" Type="http://schemas.openxmlformats.org/officeDocument/2006/relationships/image" Target="media/image114.wmf"/><Relationship Id="rId233" Type="http://schemas.openxmlformats.org/officeDocument/2006/relationships/oleObject" Target="embeddings/oleObject114.bin"/><Relationship Id="rId232" Type="http://schemas.openxmlformats.org/officeDocument/2006/relationships/image" Target="media/image113.wmf"/><Relationship Id="rId231" Type="http://schemas.openxmlformats.org/officeDocument/2006/relationships/oleObject" Target="embeddings/oleObject113.bin"/><Relationship Id="rId230" Type="http://schemas.openxmlformats.org/officeDocument/2006/relationships/image" Target="media/image112.wmf"/><Relationship Id="rId23" Type="http://schemas.openxmlformats.org/officeDocument/2006/relationships/oleObject" Target="embeddings/oleObject9.bin"/><Relationship Id="rId229" Type="http://schemas.openxmlformats.org/officeDocument/2006/relationships/oleObject" Target="embeddings/oleObject112.bin"/><Relationship Id="rId228" Type="http://schemas.openxmlformats.org/officeDocument/2006/relationships/image" Target="media/image111.wmf"/><Relationship Id="rId227" Type="http://schemas.openxmlformats.org/officeDocument/2006/relationships/oleObject" Target="embeddings/oleObject111.bin"/><Relationship Id="rId226" Type="http://schemas.openxmlformats.org/officeDocument/2006/relationships/image" Target="media/image110.wmf"/><Relationship Id="rId225" Type="http://schemas.openxmlformats.org/officeDocument/2006/relationships/oleObject" Target="embeddings/oleObject110.bin"/><Relationship Id="rId224" Type="http://schemas.openxmlformats.org/officeDocument/2006/relationships/image" Target="media/image109.wmf"/><Relationship Id="rId223" Type="http://schemas.openxmlformats.org/officeDocument/2006/relationships/oleObject" Target="embeddings/oleObject109.bin"/><Relationship Id="rId222" Type="http://schemas.openxmlformats.org/officeDocument/2006/relationships/image" Target="media/image108.wmf"/><Relationship Id="rId221" Type="http://schemas.openxmlformats.org/officeDocument/2006/relationships/oleObject" Target="embeddings/oleObject108.bin"/><Relationship Id="rId220" Type="http://schemas.openxmlformats.org/officeDocument/2006/relationships/image" Target="media/image107.png"/><Relationship Id="rId22" Type="http://schemas.openxmlformats.org/officeDocument/2006/relationships/image" Target="media/image8.wmf"/><Relationship Id="rId219" Type="http://schemas.openxmlformats.org/officeDocument/2006/relationships/oleObject" Target="embeddings/oleObject107.bin"/><Relationship Id="rId218" Type="http://schemas.openxmlformats.org/officeDocument/2006/relationships/image" Target="media/image106.wmf"/><Relationship Id="rId217" Type="http://schemas.openxmlformats.org/officeDocument/2006/relationships/oleObject" Target="embeddings/oleObject106.bin"/><Relationship Id="rId216" Type="http://schemas.openxmlformats.org/officeDocument/2006/relationships/image" Target="media/image105.wmf"/><Relationship Id="rId215" Type="http://schemas.openxmlformats.org/officeDocument/2006/relationships/oleObject" Target="embeddings/oleObject105.bin"/><Relationship Id="rId214" Type="http://schemas.openxmlformats.org/officeDocument/2006/relationships/image" Target="media/image104.wmf"/><Relationship Id="rId213" Type="http://schemas.openxmlformats.org/officeDocument/2006/relationships/oleObject" Target="embeddings/oleObject104.bin"/><Relationship Id="rId212" Type="http://schemas.openxmlformats.org/officeDocument/2006/relationships/image" Target="media/image103.emf"/><Relationship Id="rId211" Type="http://schemas.openxmlformats.org/officeDocument/2006/relationships/oleObject" Target="embeddings/oleObject103.bin"/><Relationship Id="rId210" Type="http://schemas.openxmlformats.org/officeDocument/2006/relationships/image" Target="media/image102.emf"/><Relationship Id="rId21" Type="http://schemas.openxmlformats.org/officeDocument/2006/relationships/oleObject" Target="embeddings/oleObject8.bin"/><Relationship Id="rId209" Type="http://schemas.openxmlformats.org/officeDocument/2006/relationships/oleObject" Target="embeddings/oleObject102.bin"/><Relationship Id="rId208" Type="http://schemas.openxmlformats.org/officeDocument/2006/relationships/image" Target="media/image101.wmf"/><Relationship Id="rId207" Type="http://schemas.openxmlformats.org/officeDocument/2006/relationships/oleObject" Target="embeddings/oleObject101.bin"/><Relationship Id="rId206" Type="http://schemas.openxmlformats.org/officeDocument/2006/relationships/image" Target="media/image100.wmf"/><Relationship Id="rId205" Type="http://schemas.openxmlformats.org/officeDocument/2006/relationships/oleObject" Target="embeddings/oleObject100.bin"/><Relationship Id="rId204" Type="http://schemas.openxmlformats.org/officeDocument/2006/relationships/image" Target="media/image99.wmf"/><Relationship Id="rId203" Type="http://schemas.openxmlformats.org/officeDocument/2006/relationships/oleObject" Target="embeddings/oleObject99.bin"/><Relationship Id="rId202" Type="http://schemas.openxmlformats.org/officeDocument/2006/relationships/image" Target="media/image98.wmf"/><Relationship Id="rId201" Type="http://schemas.openxmlformats.org/officeDocument/2006/relationships/oleObject" Target="embeddings/oleObject98.bin"/><Relationship Id="rId200" Type="http://schemas.openxmlformats.org/officeDocument/2006/relationships/image" Target="media/image97.wmf"/><Relationship Id="rId20" Type="http://schemas.openxmlformats.org/officeDocument/2006/relationships/image" Target="media/image7.wmf"/><Relationship Id="rId2" Type="http://schemas.openxmlformats.org/officeDocument/2006/relationships/settings" Target="settings.xml"/><Relationship Id="rId199" Type="http://schemas.openxmlformats.org/officeDocument/2006/relationships/oleObject" Target="embeddings/oleObject97.bin"/><Relationship Id="rId198" Type="http://schemas.openxmlformats.org/officeDocument/2006/relationships/image" Target="media/image96.wmf"/><Relationship Id="rId197" Type="http://schemas.openxmlformats.org/officeDocument/2006/relationships/oleObject" Target="embeddings/oleObject96.bin"/><Relationship Id="rId196" Type="http://schemas.openxmlformats.org/officeDocument/2006/relationships/image" Target="media/image95.wmf"/><Relationship Id="rId195" Type="http://schemas.openxmlformats.org/officeDocument/2006/relationships/oleObject" Target="embeddings/oleObject95.bin"/><Relationship Id="rId194" Type="http://schemas.openxmlformats.org/officeDocument/2006/relationships/image" Target="media/image94.wmf"/><Relationship Id="rId193" Type="http://schemas.openxmlformats.org/officeDocument/2006/relationships/oleObject" Target="embeddings/oleObject94.bin"/><Relationship Id="rId192" Type="http://schemas.openxmlformats.org/officeDocument/2006/relationships/image" Target="media/image93.wmf"/><Relationship Id="rId191" Type="http://schemas.openxmlformats.org/officeDocument/2006/relationships/oleObject" Target="embeddings/oleObject93.bin"/><Relationship Id="rId190" Type="http://schemas.openxmlformats.org/officeDocument/2006/relationships/image" Target="media/image92.wmf"/><Relationship Id="rId19" Type="http://schemas.openxmlformats.org/officeDocument/2006/relationships/oleObject" Target="embeddings/oleObject7.bin"/><Relationship Id="rId189" Type="http://schemas.openxmlformats.org/officeDocument/2006/relationships/oleObject" Target="embeddings/oleObject92.bin"/><Relationship Id="rId188" Type="http://schemas.openxmlformats.org/officeDocument/2006/relationships/image" Target="media/image91.wmf"/><Relationship Id="rId187" Type="http://schemas.openxmlformats.org/officeDocument/2006/relationships/oleObject" Target="embeddings/oleObject91.bin"/><Relationship Id="rId186" Type="http://schemas.openxmlformats.org/officeDocument/2006/relationships/image" Target="media/image90.wmf"/><Relationship Id="rId185" Type="http://schemas.openxmlformats.org/officeDocument/2006/relationships/oleObject" Target="embeddings/oleObject90.bin"/><Relationship Id="rId184" Type="http://schemas.openxmlformats.org/officeDocument/2006/relationships/image" Target="media/image89.wmf"/><Relationship Id="rId183" Type="http://schemas.openxmlformats.org/officeDocument/2006/relationships/oleObject" Target="embeddings/oleObject89.bin"/><Relationship Id="rId182" Type="http://schemas.openxmlformats.org/officeDocument/2006/relationships/image" Target="media/image88.wmf"/><Relationship Id="rId181" Type="http://schemas.openxmlformats.org/officeDocument/2006/relationships/oleObject" Target="embeddings/oleObject88.bin"/><Relationship Id="rId180" Type="http://schemas.openxmlformats.org/officeDocument/2006/relationships/image" Target="media/image87.wmf"/><Relationship Id="rId18" Type="http://schemas.openxmlformats.org/officeDocument/2006/relationships/image" Target="media/image6.wmf"/><Relationship Id="rId179" Type="http://schemas.openxmlformats.org/officeDocument/2006/relationships/oleObject" Target="embeddings/oleObject87.bin"/><Relationship Id="rId178" Type="http://schemas.openxmlformats.org/officeDocument/2006/relationships/image" Target="media/image86.wmf"/><Relationship Id="rId177" Type="http://schemas.openxmlformats.org/officeDocument/2006/relationships/oleObject" Target="embeddings/oleObject86.bin"/><Relationship Id="rId176" Type="http://schemas.openxmlformats.org/officeDocument/2006/relationships/image" Target="media/image85.wmf"/><Relationship Id="rId175" Type="http://schemas.openxmlformats.org/officeDocument/2006/relationships/oleObject" Target="embeddings/oleObject85.bin"/><Relationship Id="rId174" Type="http://schemas.openxmlformats.org/officeDocument/2006/relationships/image" Target="media/image84.wmf"/><Relationship Id="rId173" Type="http://schemas.openxmlformats.org/officeDocument/2006/relationships/oleObject" Target="embeddings/oleObject84.bin"/><Relationship Id="rId172" Type="http://schemas.openxmlformats.org/officeDocument/2006/relationships/image" Target="media/image83.wmf"/><Relationship Id="rId171" Type="http://schemas.openxmlformats.org/officeDocument/2006/relationships/oleObject" Target="embeddings/oleObject83.bin"/><Relationship Id="rId170" Type="http://schemas.openxmlformats.org/officeDocument/2006/relationships/image" Target="media/image82.wmf"/><Relationship Id="rId17" Type="http://schemas.openxmlformats.org/officeDocument/2006/relationships/oleObject" Target="embeddings/oleObject6.bin"/><Relationship Id="rId169" Type="http://schemas.openxmlformats.org/officeDocument/2006/relationships/oleObject" Target="embeddings/oleObject82.bin"/><Relationship Id="rId168" Type="http://schemas.openxmlformats.org/officeDocument/2006/relationships/image" Target="media/image81.wmf"/><Relationship Id="rId167" Type="http://schemas.openxmlformats.org/officeDocument/2006/relationships/oleObject" Target="embeddings/oleObject81.bin"/><Relationship Id="rId166" Type="http://schemas.openxmlformats.org/officeDocument/2006/relationships/image" Target="media/image80.wmf"/><Relationship Id="rId165" Type="http://schemas.openxmlformats.org/officeDocument/2006/relationships/oleObject" Target="embeddings/oleObject80.bin"/><Relationship Id="rId164" Type="http://schemas.openxmlformats.org/officeDocument/2006/relationships/image" Target="media/image79.wmf"/><Relationship Id="rId163" Type="http://schemas.openxmlformats.org/officeDocument/2006/relationships/oleObject" Target="embeddings/oleObject79.bin"/><Relationship Id="rId162" Type="http://schemas.openxmlformats.org/officeDocument/2006/relationships/image" Target="media/image78.wmf"/><Relationship Id="rId161" Type="http://schemas.openxmlformats.org/officeDocument/2006/relationships/oleObject" Target="embeddings/oleObject78.bin"/><Relationship Id="rId160" Type="http://schemas.openxmlformats.org/officeDocument/2006/relationships/image" Target="media/image77.wmf"/><Relationship Id="rId16" Type="http://schemas.openxmlformats.org/officeDocument/2006/relationships/image" Target="media/image5.wmf"/><Relationship Id="rId159" Type="http://schemas.openxmlformats.org/officeDocument/2006/relationships/oleObject" Target="embeddings/oleObject77.bin"/><Relationship Id="rId158" Type="http://schemas.openxmlformats.org/officeDocument/2006/relationships/image" Target="media/image76.wmf"/><Relationship Id="rId157" Type="http://schemas.openxmlformats.org/officeDocument/2006/relationships/oleObject" Target="embeddings/oleObject76.bin"/><Relationship Id="rId156" Type="http://schemas.openxmlformats.org/officeDocument/2006/relationships/image" Target="media/image75.wmf"/><Relationship Id="rId155" Type="http://schemas.openxmlformats.org/officeDocument/2006/relationships/oleObject" Target="embeddings/oleObject75.bin"/><Relationship Id="rId154" Type="http://schemas.openxmlformats.org/officeDocument/2006/relationships/image" Target="media/image74.wmf"/><Relationship Id="rId153" Type="http://schemas.openxmlformats.org/officeDocument/2006/relationships/oleObject" Target="embeddings/oleObject74.bin"/><Relationship Id="rId152" Type="http://schemas.openxmlformats.org/officeDocument/2006/relationships/image" Target="media/image73.wmf"/><Relationship Id="rId151" Type="http://schemas.openxmlformats.org/officeDocument/2006/relationships/oleObject" Target="embeddings/oleObject73.bin"/><Relationship Id="rId150" Type="http://schemas.openxmlformats.org/officeDocument/2006/relationships/image" Target="media/image72.wmf"/><Relationship Id="rId15" Type="http://schemas.openxmlformats.org/officeDocument/2006/relationships/oleObject" Target="embeddings/oleObject5.bin"/><Relationship Id="rId149" Type="http://schemas.openxmlformats.org/officeDocument/2006/relationships/oleObject" Target="embeddings/oleObject72.bin"/><Relationship Id="rId148" Type="http://schemas.openxmlformats.org/officeDocument/2006/relationships/image" Target="media/image71.wmf"/><Relationship Id="rId147" Type="http://schemas.openxmlformats.org/officeDocument/2006/relationships/oleObject" Target="embeddings/oleObject71.bin"/><Relationship Id="rId146" Type="http://schemas.openxmlformats.org/officeDocument/2006/relationships/image" Target="media/image70.wmf"/><Relationship Id="rId145" Type="http://schemas.openxmlformats.org/officeDocument/2006/relationships/oleObject" Target="embeddings/oleObject70.bin"/><Relationship Id="rId144" Type="http://schemas.openxmlformats.org/officeDocument/2006/relationships/image" Target="media/image69.wmf"/><Relationship Id="rId143" Type="http://schemas.openxmlformats.org/officeDocument/2006/relationships/oleObject" Target="embeddings/oleObject69.bin"/><Relationship Id="rId142" Type="http://schemas.openxmlformats.org/officeDocument/2006/relationships/image" Target="media/image68.wmf"/><Relationship Id="rId141" Type="http://schemas.openxmlformats.org/officeDocument/2006/relationships/oleObject" Target="embeddings/oleObject68.bin"/><Relationship Id="rId140" Type="http://schemas.openxmlformats.org/officeDocument/2006/relationships/image" Target="media/image67.wmf"/><Relationship Id="rId14" Type="http://schemas.openxmlformats.org/officeDocument/2006/relationships/image" Target="media/image4.wmf"/><Relationship Id="rId139" Type="http://schemas.openxmlformats.org/officeDocument/2006/relationships/oleObject" Target="embeddings/oleObject67.bin"/><Relationship Id="rId138" Type="http://schemas.openxmlformats.org/officeDocument/2006/relationships/image" Target="media/image66.wmf"/><Relationship Id="rId137" Type="http://schemas.openxmlformats.org/officeDocument/2006/relationships/oleObject" Target="embeddings/oleObject66.bin"/><Relationship Id="rId136" Type="http://schemas.openxmlformats.org/officeDocument/2006/relationships/image" Target="media/image65.wmf"/><Relationship Id="rId135" Type="http://schemas.openxmlformats.org/officeDocument/2006/relationships/oleObject" Target="embeddings/oleObject65.bin"/><Relationship Id="rId134" Type="http://schemas.openxmlformats.org/officeDocument/2006/relationships/image" Target="media/image64.wmf"/><Relationship Id="rId133" Type="http://schemas.openxmlformats.org/officeDocument/2006/relationships/oleObject" Target="embeddings/oleObject64.bin"/><Relationship Id="rId132" Type="http://schemas.openxmlformats.org/officeDocument/2006/relationships/image" Target="media/image63.wmf"/><Relationship Id="rId131" Type="http://schemas.openxmlformats.org/officeDocument/2006/relationships/oleObject" Target="embeddings/oleObject63.bin"/><Relationship Id="rId130" Type="http://schemas.openxmlformats.org/officeDocument/2006/relationships/image" Target="media/image62.wmf"/><Relationship Id="rId13" Type="http://schemas.openxmlformats.org/officeDocument/2006/relationships/oleObject" Target="embeddings/oleObject4.bin"/><Relationship Id="rId129" Type="http://schemas.openxmlformats.org/officeDocument/2006/relationships/oleObject" Target="embeddings/oleObject62.bin"/><Relationship Id="rId128" Type="http://schemas.openxmlformats.org/officeDocument/2006/relationships/image" Target="media/image61.wmf"/><Relationship Id="rId127" Type="http://schemas.openxmlformats.org/officeDocument/2006/relationships/oleObject" Target="embeddings/oleObject61.bin"/><Relationship Id="rId126" Type="http://schemas.openxmlformats.org/officeDocument/2006/relationships/image" Target="media/image60.wmf"/><Relationship Id="rId125" Type="http://schemas.openxmlformats.org/officeDocument/2006/relationships/oleObject" Target="embeddings/oleObject60.bin"/><Relationship Id="rId124" Type="http://schemas.openxmlformats.org/officeDocument/2006/relationships/image" Target="media/image59.wmf"/><Relationship Id="rId123" Type="http://schemas.openxmlformats.org/officeDocument/2006/relationships/oleObject" Target="embeddings/oleObject59.bin"/><Relationship Id="rId122" Type="http://schemas.openxmlformats.org/officeDocument/2006/relationships/image" Target="media/image58.wmf"/><Relationship Id="rId121" Type="http://schemas.openxmlformats.org/officeDocument/2006/relationships/oleObject" Target="embeddings/oleObject58.bin"/><Relationship Id="rId120" Type="http://schemas.openxmlformats.org/officeDocument/2006/relationships/image" Target="media/image57.wmf"/><Relationship Id="rId12" Type="http://schemas.openxmlformats.org/officeDocument/2006/relationships/image" Target="media/image3.wmf"/><Relationship Id="rId119" Type="http://schemas.openxmlformats.org/officeDocument/2006/relationships/oleObject" Target="embeddings/oleObject57.bin"/><Relationship Id="rId118" Type="http://schemas.openxmlformats.org/officeDocument/2006/relationships/image" Target="media/image56.wmf"/><Relationship Id="rId117" Type="http://schemas.openxmlformats.org/officeDocument/2006/relationships/oleObject" Target="embeddings/oleObject56.bin"/><Relationship Id="rId116" Type="http://schemas.openxmlformats.org/officeDocument/2006/relationships/image" Target="media/image55.wmf"/><Relationship Id="rId115" Type="http://schemas.openxmlformats.org/officeDocument/2006/relationships/oleObject" Target="embeddings/oleObject55.bin"/><Relationship Id="rId114" Type="http://schemas.openxmlformats.org/officeDocument/2006/relationships/image" Target="media/image54.wmf"/><Relationship Id="rId113" Type="http://schemas.openxmlformats.org/officeDocument/2006/relationships/oleObject" Target="embeddings/oleObject54.bin"/><Relationship Id="rId112" Type="http://schemas.openxmlformats.org/officeDocument/2006/relationships/image" Target="media/image53.wmf"/><Relationship Id="rId111" Type="http://schemas.openxmlformats.org/officeDocument/2006/relationships/oleObject" Target="embeddings/oleObject53.bin"/><Relationship Id="rId110" Type="http://schemas.openxmlformats.org/officeDocument/2006/relationships/image" Target="media/image52.wmf"/><Relationship Id="rId11" Type="http://schemas.openxmlformats.org/officeDocument/2006/relationships/oleObject" Target="embeddings/oleObject3.bin"/><Relationship Id="rId109" Type="http://schemas.openxmlformats.org/officeDocument/2006/relationships/oleObject" Target="embeddings/oleObject52.bin"/><Relationship Id="rId108" Type="http://schemas.openxmlformats.org/officeDocument/2006/relationships/image" Target="media/image51.wmf"/><Relationship Id="rId107" Type="http://schemas.openxmlformats.org/officeDocument/2006/relationships/oleObject" Target="embeddings/oleObject51.bin"/><Relationship Id="rId106" Type="http://schemas.openxmlformats.org/officeDocument/2006/relationships/image" Target="media/image50.wmf"/><Relationship Id="rId105" Type="http://schemas.openxmlformats.org/officeDocument/2006/relationships/oleObject" Target="embeddings/oleObject50.bin"/><Relationship Id="rId104" Type="http://schemas.openxmlformats.org/officeDocument/2006/relationships/image" Target="media/image49.wmf"/><Relationship Id="rId103" Type="http://schemas.openxmlformats.org/officeDocument/2006/relationships/oleObject" Target="embeddings/oleObject49.bin"/><Relationship Id="rId102" Type="http://schemas.openxmlformats.org/officeDocument/2006/relationships/image" Target="media/image48.wmf"/><Relationship Id="rId101" Type="http://schemas.openxmlformats.org/officeDocument/2006/relationships/oleObject" Target="embeddings/oleObject48.bin"/><Relationship Id="rId100" Type="http://schemas.openxmlformats.org/officeDocument/2006/relationships/image" Target="media/image47.wmf"/><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67</Pages>
  <Words>1035</Words>
  <Characters>1371</Characters>
  <Lines>1569</Lines>
  <Paragraphs>1695</Paragraphs>
  <TotalTime>19</TotalTime>
  <ScaleCrop>false</ScaleCrop>
  <LinksUpToDate>false</LinksUpToDate>
  <CharactersWithSpaces>1732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2025-07-02T10:44:00Z</dcterms:created>
  <dc:creator>168657566@qq.com</dc:creator>
  <cp:lastModifiedBy>班夫</cp:lastModifiedBy>
  <cp:lastPrinted>2023-09-09T09:55:00Z</cp:lastPrinted>
  <dcterms:modified xsi:type="dcterms:W3CDTF">2025-07-14T07:36:30Z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3912d004-60b4-4b98-aa2a-3b5f063a67ff</vt:lpwstr>
  </property>
  <property fmtid="{D5CDD505-2E9C-101B-9397-08002B2CF9AE}" pid="3" name="KSOProductBuildVer">
    <vt:lpwstr>2052-12.1.0.21915</vt:lpwstr>
  </property>
  <property fmtid="{D5CDD505-2E9C-101B-9397-08002B2CF9AE}" pid="4" name="ICV">
    <vt:lpwstr>D394C1717ED84DC8B119BEEB9C851B53_13</vt:lpwstr>
  </property>
  <property fmtid="{D5CDD505-2E9C-101B-9397-08002B2CF9AE}" pid="5" name="KSOTemplateDocerSaveRecord">
    <vt:lpwstr>eyJoZGlkIjoiODViY2JkMjU3NGYzZTEwMzZmMGFkZWViYmNkYWU3NDIiLCJ1c2VySWQiOiIyNTk0OTY4NDQifQ==</vt:lpwstr>
  </property>
</Properties>
</file>